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591185</wp:posOffset>
            </wp:positionH>
            <wp:positionV relativeFrom="page">
              <wp:posOffset>607060</wp:posOffset>
            </wp:positionV>
            <wp:extent cx="63754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75400" cy="8255"/>
                    </a:xfrm>
                    <a:prstGeom prst="rect">
                      <a:avLst/>
                    </a:prstGeom>
                    <a:noFill/>
                  </pic:spPr>
                </pic:pic>
              </a:graphicData>
            </a:graphic>
          </wp:anchor>
        </w:drawing>
        <w:drawing>
          <wp:anchor simplePos="0" relativeHeight="251657728" behindDoc="1" locked="0" layoutInCell="0" allowOverlap="1">
            <wp:simplePos x="0" y="0"/>
            <wp:positionH relativeFrom="page">
              <wp:posOffset>591185</wp:posOffset>
            </wp:positionH>
            <wp:positionV relativeFrom="page">
              <wp:posOffset>573405</wp:posOffset>
            </wp:positionV>
            <wp:extent cx="6375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75400" cy="825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39" w:lineRule="exact"/>
        <w:rPr>
          <w:sz w:val="24"/>
          <w:szCs w:val="24"/>
          <w:color w:val="auto"/>
        </w:rPr>
      </w:pPr>
    </w:p>
    <w:p>
      <w:pPr>
        <w:ind w:left="480" w:right="2220" w:hanging="383"/>
        <w:spacing w:after="0" w:line="232" w:lineRule="auto"/>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46" w:lineRule="exact"/>
        <w:rPr>
          <w:sz w:val="24"/>
          <w:szCs w:val="24"/>
          <w:color w:val="auto"/>
        </w:rPr>
      </w:pPr>
    </w:p>
    <w:p>
      <w:pPr>
        <w:ind w:left="480" w:hanging="383"/>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tbl>
      <w:tblPr>
        <w:tblLayout w:type="fixed"/>
        <w:tblInd w:w="480" w:type="dxa"/>
        <w:tblCellMar>
          <w:top w:w="0" w:type="dxa"/>
          <w:left w:w="0" w:type="dxa"/>
          <w:bottom w:w="0" w:type="dxa"/>
          <w:right w:w="0" w:type="dxa"/>
        </w:tblCellMar>
      </w:tblPr>
      <w:tr>
        <w:trPr>
          <w:trHeight w:val="230"/>
        </w:trPr>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w:t>
            </w:r>
          </w:p>
        </w:tc>
        <w:tc>
          <w:tcPr>
            <w:tcW w:w="2220" w:type="dxa"/>
            <w:vAlign w:val="bottom"/>
            <w:gridSpan w:val="2"/>
          </w:tcPr>
          <w:p>
            <w:pPr>
              <w:jc w:val="right"/>
              <w:ind w:right="1132"/>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263"/>
        </w:trPr>
        <w:tc>
          <w:tcPr>
            <w:tcW w:w="18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40" w:type="dxa"/>
            <w:vAlign w:val="bottom"/>
            <w:gridSpan w:val="3"/>
          </w:tcPr>
          <w:p>
            <w:pPr>
              <w:jc w:val="center"/>
              <w:ind w:left="230"/>
              <w:spacing w:after="0"/>
              <w:rPr>
                <w:sz w:val="20"/>
                <w:szCs w:val="20"/>
                <w:color w:val="auto"/>
              </w:rPr>
            </w:pPr>
            <w:r>
              <w:rPr>
                <w:rFonts w:ascii="Times New Roman" w:cs="Times New Roman" w:eastAsia="Times New Roman" w:hAnsi="Times New Roman"/>
                <w:sz w:val="16"/>
                <w:szCs w:val="16"/>
                <w:b w:val="1"/>
                <w:bCs w:val="1"/>
                <w:color w:val="auto"/>
                <w:w w:val="98"/>
              </w:rPr>
              <w:t>Commission file No. 001-15891</w:t>
            </w:r>
          </w:p>
        </w:tc>
        <w:tc>
          <w:tcPr>
            <w:tcW w:w="2720" w:type="dxa"/>
            <w:vAlign w:val="bottom"/>
          </w:tcPr>
          <w:p>
            <w:pPr>
              <w:spacing w:after="0"/>
              <w:rPr>
                <w:sz w:val="22"/>
                <w:szCs w:val="22"/>
                <w:color w:val="auto"/>
              </w:rPr>
            </w:pPr>
          </w:p>
        </w:tc>
      </w:tr>
      <w:tr>
        <w:trPr>
          <w:trHeight w:val="391"/>
        </w:trPr>
        <w:tc>
          <w:tcPr>
            <w:tcW w:w="1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gridSpan w:val="3"/>
          </w:tcPr>
          <w:p>
            <w:pPr>
              <w:ind w:left="680"/>
              <w:spacing w:after="0"/>
              <w:rPr>
                <w:sz w:val="20"/>
                <w:szCs w:val="20"/>
                <w:color w:val="auto"/>
              </w:rPr>
            </w:pPr>
            <w:r>
              <w:rPr>
                <w:rFonts w:ascii="Times New Roman" w:cs="Times New Roman" w:eastAsia="Times New Roman" w:hAnsi="Times New Roman"/>
                <w:sz w:val="28"/>
                <w:szCs w:val="28"/>
                <w:b w:val="1"/>
                <w:bCs w:val="1"/>
                <w:color w:val="auto"/>
              </w:rPr>
              <w:t>NRG Energy, Inc.</w:t>
            </w:r>
          </w:p>
        </w:tc>
        <w:tc>
          <w:tcPr>
            <w:tcW w:w="2720" w:type="dxa"/>
            <w:vAlign w:val="bottom"/>
          </w:tcPr>
          <w:p>
            <w:pPr>
              <w:spacing w:after="0"/>
              <w:rPr>
                <w:sz w:val="24"/>
                <w:szCs w:val="24"/>
                <w:color w:val="auto"/>
              </w:rPr>
            </w:pPr>
          </w:p>
        </w:tc>
      </w:tr>
      <w:tr>
        <w:trPr>
          <w:trHeight w:val="214"/>
        </w:trPr>
        <w:tc>
          <w:tcPr>
            <w:tcW w:w="1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60" w:type="dxa"/>
            <w:vAlign w:val="bottom"/>
            <w:gridSpan w:val="4"/>
          </w:tcPr>
          <w:p>
            <w:pPr>
              <w:jc w:val="center"/>
              <w:ind w:right="2301"/>
              <w:spacing w:after="0"/>
              <w:rPr>
                <w:sz w:val="20"/>
                <w:szCs w:val="20"/>
                <w:color w:val="auto"/>
              </w:rPr>
            </w:pPr>
            <w:r>
              <w:rPr>
                <w:rFonts w:ascii="Times New Roman" w:cs="Times New Roman" w:eastAsia="Times New Roman" w:hAnsi="Times New Roman"/>
                <w:sz w:val="16"/>
                <w:szCs w:val="16"/>
                <w:i w:val="1"/>
                <w:iCs w:val="1"/>
                <w:color w:val="auto"/>
                <w:w w:val="98"/>
              </w:rPr>
              <w:t>(Exact name of registrant as specified in its charter)</w:t>
            </w:r>
          </w:p>
        </w:tc>
      </w:tr>
      <w:tr>
        <w:trPr>
          <w:trHeight w:val="176"/>
        </w:trPr>
        <w:tc>
          <w:tcPr>
            <w:tcW w:w="1800" w:type="dxa"/>
            <w:vAlign w:val="bottom"/>
          </w:tcPr>
          <w:p>
            <w:pPr>
              <w:spacing w:after="0"/>
              <w:rPr>
                <w:sz w:val="15"/>
                <w:szCs w:val="15"/>
                <w:color w:val="auto"/>
              </w:rPr>
            </w:pPr>
          </w:p>
        </w:tc>
        <w:tc>
          <w:tcPr>
            <w:tcW w:w="1340" w:type="dxa"/>
            <w:vAlign w:val="bottom"/>
            <w:gridSpan w:val="2"/>
          </w:tcPr>
          <w:p>
            <w:pPr>
              <w:jc w:val="center"/>
              <w:ind w:left="141"/>
              <w:spacing w:after="0" w:line="176" w:lineRule="exact"/>
              <w:rPr>
                <w:sz w:val="20"/>
                <w:szCs w:val="20"/>
                <w:color w:val="auto"/>
              </w:rPr>
            </w:pPr>
            <w:r>
              <w:rPr>
                <w:rFonts w:ascii="Times New Roman" w:cs="Times New Roman" w:eastAsia="Times New Roman" w:hAnsi="Times New Roman"/>
                <w:sz w:val="16"/>
                <w:szCs w:val="16"/>
                <w:b w:val="1"/>
                <w:bCs w:val="1"/>
                <w:color w:val="auto"/>
                <w:w w:val="98"/>
              </w:rPr>
              <w:t>Delaware</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720" w:type="dxa"/>
            <w:vAlign w:val="bottom"/>
          </w:tcPr>
          <w:p>
            <w:pPr>
              <w:jc w:val="right"/>
              <w:ind w:right="1021"/>
              <w:spacing w:after="0" w:line="176" w:lineRule="exact"/>
              <w:rPr>
                <w:sz w:val="20"/>
                <w:szCs w:val="20"/>
                <w:color w:val="auto"/>
              </w:rPr>
            </w:pPr>
            <w:r>
              <w:rPr>
                <w:rFonts w:ascii="Times New Roman" w:cs="Times New Roman" w:eastAsia="Times New Roman" w:hAnsi="Times New Roman"/>
                <w:sz w:val="16"/>
                <w:szCs w:val="16"/>
                <w:b w:val="1"/>
                <w:bCs w:val="1"/>
                <w:color w:val="auto"/>
              </w:rPr>
              <w:t>41-1724239</w:t>
            </w:r>
          </w:p>
        </w:tc>
      </w:tr>
      <w:tr>
        <w:trPr>
          <w:trHeight w:val="209"/>
        </w:trPr>
        <w:tc>
          <w:tcPr>
            <w:tcW w:w="6500" w:type="dxa"/>
            <w:vAlign w:val="bottom"/>
            <w:gridSpan w:val="7"/>
          </w:tcPr>
          <w:p>
            <w:pPr>
              <w:jc w:val="center"/>
              <w:ind w:right="1380"/>
              <w:spacing w:after="0"/>
              <w:rPr>
                <w:sz w:val="20"/>
                <w:szCs w:val="20"/>
                <w:color w:val="auto"/>
              </w:rPr>
            </w:pPr>
            <w:r>
              <w:rPr>
                <w:rFonts w:ascii="Times New Roman" w:cs="Times New Roman" w:eastAsia="Times New Roman" w:hAnsi="Times New Roman"/>
                <w:sz w:val="16"/>
                <w:szCs w:val="16"/>
                <w:i w:val="1"/>
                <w:iCs w:val="1"/>
                <w:color w:val="auto"/>
                <w:w w:val="98"/>
              </w:rPr>
              <w:t>(State or other jurisdiction of incorporation or organization)</w:t>
            </w:r>
          </w:p>
        </w:tc>
        <w:tc>
          <w:tcPr>
            <w:tcW w:w="2720" w:type="dxa"/>
            <w:vAlign w:val="bottom"/>
          </w:tcPr>
          <w:p>
            <w:pPr>
              <w:jc w:val="center"/>
              <w:ind w:right="221"/>
              <w:spacing w:after="0"/>
              <w:rPr>
                <w:sz w:val="20"/>
                <w:szCs w:val="20"/>
                <w:color w:val="auto"/>
              </w:rPr>
            </w:pPr>
            <w:r>
              <w:rPr>
                <w:rFonts w:ascii="Times New Roman" w:cs="Times New Roman" w:eastAsia="Times New Roman" w:hAnsi="Times New Roman"/>
                <w:sz w:val="16"/>
                <w:szCs w:val="16"/>
                <w:i w:val="1"/>
                <w:iCs w:val="1"/>
                <w:color w:val="auto"/>
                <w:w w:val="98"/>
              </w:rPr>
              <w:t>(I.R.S. Employer Identification No.)</w:t>
            </w:r>
          </w:p>
        </w:tc>
      </w:tr>
      <w:tr>
        <w:trPr>
          <w:trHeight w:val="212"/>
        </w:trPr>
        <w:tc>
          <w:tcPr>
            <w:tcW w:w="6500" w:type="dxa"/>
            <w:vAlign w:val="bottom"/>
            <w:gridSpan w:val="7"/>
          </w:tcPr>
          <w:p>
            <w:pPr>
              <w:jc w:val="center"/>
              <w:ind w:right="1360"/>
              <w:spacing w:after="0"/>
              <w:rPr>
                <w:sz w:val="20"/>
                <w:szCs w:val="20"/>
                <w:color w:val="auto"/>
              </w:rPr>
            </w:pPr>
            <w:r>
              <w:rPr>
                <w:rFonts w:ascii="Times New Roman" w:cs="Times New Roman" w:eastAsia="Times New Roman" w:hAnsi="Times New Roman"/>
                <w:sz w:val="16"/>
                <w:szCs w:val="16"/>
                <w:b w:val="1"/>
                <w:bCs w:val="1"/>
                <w:color w:val="auto"/>
                <w:w w:val="98"/>
              </w:rPr>
              <w:t>1301 McKinney Street, Houston, Texas</w:t>
            </w:r>
          </w:p>
        </w:tc>
        <w:tc>
          <w:tcPr>
            <w:tcW w:w="2720" w:type="dxa"/>
            <w:vAlign w:val="bottom"/>
          </w:tcPr>
          <w:p>
            <w:pPr>
              <w:jc w:val="right"/>
              <w:ind w:right="1221"/>
              <w:spacing w:after="0"/>
              <w:rPr>
                <w:sz w:val="20"/>
                <w:szCs w:val="20"/>
                <w:color w:val="auto"/>
              </w:rPr>
            </w:pPr>
            <w:r>
              <w:rPr>
                <w:rFonts w:ascii="Times New Roman" w:cs="Times New Roman" w:eastAsia="Times New Roman" w:hAnsi="Times New Roman"/>
                <w:sz w:val="16"/>
                <w:szCs w:val="16"/>
                <w:b w:val="1"/>
                <w:bCs w:val="1"/>
                <w:color w:val="auto"/>
              </w:rPr>
              <w:t>77010</w:t>
            </w:r>
          </w:p>
        </w:tc>
      </w:tr>
      <w:tr>
        <w:trPr>
          <w:trHeight w:val="209"/>
        </w:trPr>
        <w:tc>
          <w:tcPr>
            <w:tcW w:w="6500" w:type="dxa"/>
            <w:vAlign w:val="bottom"/>
            <w:gridSpan w:val="7"/>
          </w:tcPr>
          <w:p>
            <w:pPr>
              <w:jc w:val="center"/>
              <w:ind w:right="1360"/>
              <w:spacing w:after="0"/>
              <w:rPr>
                <w:sz w:val="20"/>
                <w:szCs w:val="20"/>
                <w:color w:val="auto"/>
              </w:rPr>
            </w:pPr>
            <w:r>
              <w:rPr>
                <w:rFonts w:ascii="Times New Roman" w:cs="Times New Roman" w:eastAsia="Times New Roman" w:hAnsi="Times New Roman"/>
                <w:sz w:val="16"/>
                <w:szCs w:val="16"/>
                <w:i w:val="1"/>
                <w:iCs w:val="1"/>
                <w:color w:val="auto"/>
                <w:w w:val="98"/>
              </w:rPr>
              <w:t>(Address of principal executive offices)</w:t>
            </w:r>
          </w:p>
        </w:tc>
        <w:tc>
          <w:tcPr>
            <w:tcW w:w="2720" w:type="dxa"/>
            <w:vAlign w:val="bottom"/>
          </w:tcPr>
          <w:p>
            <w:pPr>
              <w:jc w:val="center"/>
              <w:ind w:right="221"/>
              <w:spacing w:after="0"/>
              <w:rPr>
                <w:sz w:val="20"/>
                <w:szCs w:val="20"/>
                <w:color w:val="auto"/>
              </w:rPr>
            </w:pPr>
            <w:r>
              <w:rPr>
                <w:rFonts w:ascii="Times New Roman" w:cs="Times New Roman" w:eastAsia="Times New Roman" w:hAnsi="Times New Roman"/>
                <w:sz w:val="16"/>
                <w:szCs w:val="16"/>
                <w:i w:val="1"/>
                <w:iCs w:val="1"/>
                <w:color w:val="auto"/>
              </w:rPr>
              <w:t>(Zip Code)</w:t>
            </w:r>
          </w:p>
        </w:tc>
      </w:tr>
      <w:tr>
        <w:trPr>
          <w:trHeight w:val="262"/>
        </w:trPr>
        <w:tc>
          <w:tcPr>
            <w:tcW w:w="18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20" w:type="dxa"/>
            <w:vAlign w:val="bottom"/>
            <w:gridSpan w:val="2"/>
          </w:tcPr>
          <w:p>
            <w:pPr>
              <w:jc w:val="center"/>
              <w:ind w:left="1070"/>
              <w:spacing w:after="0"/>
              <w:rPr>
                <w:sz w:val="20"/>
                <w:szCs w:val="20"/>
                <w:color w:val="auto"/>
              </w:rPr>
            </w:pPr>
            <w:r>
              <w:rPr>
                <w:rFonts w:ascii="Times New Roman" w:cs="Times New Roman" w:eastAsia="Times New Roman" w:hAnsi="Times New Roman"/>
                <w:sz w:val="16"/>
                <w:szCs w:val="16"/>
                <w:b w:val="1"/>
                <w:bCs w:val="1"/>
                <w:color w:val="auto"/>
                <w:w w:val="97"/>
              </w:rPr>
              <w:t>(713) 537-3000</w:t>
            </w:r>
          </w:p>
        </w:tc>
        <w:tc>
          <w:tcPr>
            <w:tcW w:w="82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209"/>
        </w:trPr>
        <w:tc>
          <w:tcPr>
            <w:tcW w:w="1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60" w:type="dxa"/>
            <w:vAlign w:val="bottom"/>
            <w:gridSpan w:val="4"/>
          </w:tcPr>
          <w:p>
            <w:pPr>
              <w:jc w:val="center"/>
              <w:ind w:right="2321"/>
              <w:spacing w:after="0"/>
              <w:rPr>
                <w:sz w:val="20"/>
                <w:szCs w:val="20"/>
                <w:color w:val="auto"/>
              </w:rPr>
            </w:pPr>
            <w:r>
              <w:rPr>
                <w:rFonts w:ascii="Times New Roman" w:cs="Times New Roman" w:eastAsia="Times New Roman" w:hAnsi="Times New Roman"/>
                <w:sz w:val="16"/>
                <w:szCs w:val="16"/>
                <w:i w:val="1"/>
                <w:iCs w:val="1"/>
                <w:color w:val="auto"/>
                <w:w w:val="98"/>
              </w:rPr>
              <w:t>(Registrant's telephone number, including area code)</w:t>
            </w:r>
          </w:p>
        </w:tc>
      </w:tr>
      <w:tr>
        <w:trPr>
          <w:trHeight w:val="250"/>
        </w:trPr>
        <w:tc>
          <w:tcPr>
            <w:tcW w:w="18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80" w:type="dxa"/>
            <w:vAlign w:val="bottom"/>
            <w:gridSpan w:val="5"/>
          </w:tcPr>
          <w:p>
            <w:pPr>
              <w:jc w:val="center"/>
              <w:ind w:right="1981"/>
              <w:spacing w:after="0"/>
              <w:rPr>
                <w:sz w:val="20"/>
                <w:szCs w:val="20"/>
                <w:color w:val="auto"/>
              </w:rPr>
            </w:pPr>
            <w:r>
              <w:rPr>
                <w:rFonts w:ascii="Times New Roman" w:cs="Times New Roman" w:eastAsia="Times New Roman" w:hAnsi="Times New Roman"/>
                <w:sz w:val="16"/>
                <w:szCs w:val="16"/>
                <w:b w:val="1"/>
                <w:bCs w:val="1"/>
                <w:color w:val="auto"/>
                <w:w w:val="98"/>
              </w:rPr>
              <w:t>Securities registered pursuant to Section 12(b) of the Act:</w:t>
            </w:r>
          </w:p>
        </w:tc>
      </w:tr>
      <w:tr>
        <w:trPr>
          <w:trHeight w:val="202"/>
        </w:trPr>
        <w:tc>
          <w:tcPr>
            <w:tcW w:w="1800" w:type="dxa"/>
            <w:vAlign w:val="bottom"/>
          </w:tcPr>
          <w:p>
            <w:pPr>
              <w:spacing w:after="0"/>
              <w:rPr>
                <w:sz w:val="17"/>
                <w:szCs w:val="17"/>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Title of Each Class</w:t>
            </w:r>
          </w:p>
        </w:tc>
        <w:tc>
          <w:tcPr>
            <w:tcW w:w="320" w:type="dxa"/>
            <w:vAlign w:val="bottom"/>
          </w:tcPr>
          <w:p>
            <w:pPr>
              <w:spacing w:after="0"/>
              <w:rPr>
                <w:sz w:val="17"/>
                <w:szCs w:val="17"/>
                <w:color w:val="auto"/>
              </w:rPr>
            </w:pPr>
          </w:p>
        </w:tc>
        <w:tc>
          <w:tcPr>
            <w:tcW w:w="3040" w:type="dxa"/>
            <w:vAlign w:val="bottom"/>
            <w:gridSpan w:val="3"/>
          </w:tcPr>
          <w:p>
            <w:pPr>
              <w:ind w:left="840"/>
              <w:spacing w:after="0" w:line="202" w:lineRule="exact"/>
              <w:rPr>
                <w:sz w:val="20"/>
                <w:szCs w:val="20"/>
                <w:color w:val="auto"/>
              </w:rPr>
            </w:pPr>
            <w:r>
              <w:rPr>
                <w:rFonts w:ascii="Times New Roman" w:cs="Times New Roman" w:eastAsia="Times New Roman" w:hAnsi="Times New Roman"/>
                <w:sz w:val="18"/>
                <w:szCs w:val="18"/>
                <w:b w:val="1"/>
                <w:bCs w:val="1"/>
                <w:color w:val="auto"/>
              </w:rPr>
              <w:t>Trading Symbol(s)</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Exchange on Which Registered</w:t>
            </w:r>
          </w:p>
        </w:tc>
      </w:tr>
      <w:tr>
        <w:trPr>
          <w:trHeight w:val="20"/>
        </w:trPr>
        <w:tc>
          <w:tcPr>
            <w:tcW w:w="18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r>
      <w:tr>
        <w:trPr>
          <w:trHeight w:val="238"/>
        </w:trPr>
        <w:tc>
          <w:tcPr>
            <w:tcW w:w="3460" w:type="dxa"/>
            <w:vAlign w:val="bottom"/>
            <w:gridSpan w:val="4"/>
          </w:tcPr>
          <w:p>
            <w:pPr>
              <w:jc w:val="center"/>
              <w:ind w:left="1340"/>
              <w:spacing w:after="0"/>
              <w:rPr>
                <w:sz w:val="20"/>
                <w:szCs w:val="20"/>
                <w:color w:val="auto"/>
              </w:rPr>
            </w:pPr>
            <w:r>
              <w:rPr>
                <w:rFonts w:ascii="Times New Roman" w:cs="Times New Roman" w:eastAsia="Times New Roman" w:hAnsi="Times New Roman"/>
                <w:sz w:val="16"/>
                <w:szCs w:val="16"/>
                <w:color w:val="auto"/>
                <w:w w:val="98"/>
              </w:rPr>
              <w:t>Common Stock, par value $0.01</w:t>
            </w:r>
          </w:p>
        </w:tc>
        <w:tc>
          <w:tcPr>
            <w:tcW w:w="840" w:type="dxa"/>
            <w:vAlign w:val="bottom"/>
          </w:tcPr>
          <w:p>
            <w:pPr>
              <w:spacing w:after="0"/>
              <w:rPr>
                <w:sz w:val="20"/>
                <w:szCs w:val="20"/>
                <w:color w:val="auto"/>
              </w:rPr>
            </w:pPr>
          </w:p>
        </w:tc>
        <w:tc>
          <w:tcPr>
            <w:tcW w:w="22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4"/>
              </w:rPr>
              <w:t>NRG</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New York Stock Exchange</w:t>
            </w:r>
          </w:p>
        </w:tc>
      </w:tr>
      <w:tr>
        <w:trPr>
          <w:trHeight w:val="228"/>
        </w:trPr>
        <w:tc>
          <w:tcPr>
            <w:tcW w:w="3460" w:type="dxa"/>
            <w:vAlign w:val="bottom"/>
            <w:gridSpan w:val="4"/>
          </w:tcPr>
          <w:p>
            <w:pPr>
              <w:jc w:val="center"/>
              <w:ind w:left="1340"/>
              <w:spacing w:after="0"/>
              <w:rPr>
                <w:sz w:val="20"/>
                <w:szCs w:val="20"/>
                <w:color w:val="auto"/>
              </w:rPr>
            </w:pPr>
            <w:r>
              <w:rPr>
                <w:rFonts w:ascii="Times New Roman" w:cs="Times New Roman" w:eastAsia="Times New Roman" w:hAnsi="Times New Roman"/>
                <w:sz w:val="16"/>
                <w:szCs w:val="16"/>
                <w:color w:val="auto"/>
                <w:w w:val="98"/>
              </w:rPr>
              <w:t>Common Stock, par value $0.01</w:t>
            </w:r>
          </w:p>
        </w:tc>
        <w:tc>
          <w:tcPr>
            <w:tcW w:w="840" w:type="dxa"/>
            <w:vAlign w:val="bottom"/>
          </w:tcPr>
          <w:p>
            <w:pPr>
              <w:spacing w:after="0"/>
              <w:rPr>
                <w:sz w:val="19"/>
                <w:szCs w:val="19"/>
                <w:color w:val="auto"/>
              </w:rPr>
            </w:pPr>
          </w:p>
        </w:tc>
        <w:tc>
          <w:tcPr>
            <w:tcW w:w="22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4"/>
              </w:rPr>
              <w:t>NRG</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NYSE Texas</w:t>
            </w:r>
          </w:p>
        </w:tc>
      </w:tr>
    </w:tbl>
    <w:p>
      <w:pPr>
        <w:spacing w:after="0" w:line="7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20" w:lineRule="exact"/>
        <w:rPr>
          <w:sz w:val="24"/>
          <w:szCs w:val="24"/>
          <w:color w:val="auto"/>
        </w:rPr>
      </w:pPr>
    </w:p>
    <w:p>
      <w:pPr>
        <w:ind w:left="280"/>
        <w:spacing w:after="0" w:line="184" w:lineRule="exact"/>
        <w:tabs>
          <w:tab w:leader="none" w:pos="7940" w:val="left"/>
        </w:tabs>
        <w:rPr>
          <w:sz w:val="20"/>
          <w:szCs w:val="20"/>
          <w:color w:val="auto"/>
        </w:rPr>
      </w:pPr>
      <w:r>
        <w:rPr>
          <w:rFonts w:ascii="Times New Roman" w:cs="Times New Roman" w:eastAsia="Times New Roman" w:hAnsi="Times New Roman"/>
          <w:sz w:val="16"/>
          <w:szCs w:val="16"/>
          <w:color w:val="auto"/>
        </w:rPr>
        <w:t>I</w:t>
      </w:r>
      <w:r>
        <w:rPr>
          <w:rFonts w:ascii="Times New Roman" w:cs="Times New Roman" w:eastAsia="Times New Roman" w:hAnsi="Times New Roman"/>
          <w:sz w:val="14"/>
          <w:szCs w:val="14"/>
          <w:color w:val="auto"/>
        </w:rPr>
        <w:t>ndicate by check mark if the registrant is a well-known seasoned issuer, as defined in Rule 405 of the Securities Act.  Yes</w:t>
      </w:r>
      <w:r>
        <w:rPr>
          <w:rFonts w:ascii="Times New Roman" w:cs="Times New Roman" w:eastAsia="Times New Roman" w:hAnsi="Times New Roman"/>
          <w:sz w:val="16"/>
          <w:szCs w:val="16"/>
          <w:color w:val="auto"/>
        </w:rPr>
        <w:t xml:space="preserve">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25" w:lineRule="exact"/>
        <w:rPr>
          <w:sz w:val="24"/>
          <w:szCs w:val="24"/>
          <w:color w:val="auto"/>
        </w:rPr>
      </w:pPr>
    </w:p>
    <w:p>
      <w:pPr>
        <w:ind w:left="280"/>
        <w:spacing w:after="0" w:line="173" w:lineRule="exact"/>
        <w:tabs>
          <w:tab w:leader="none" w:pos="8160" w:val="left"/>
          <w:tab w:leader="none" w:pos="8700" w:val="left"/>
        </w:tabs>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Section 15(d) of the Exchange Act.</w:t>
        <w:tab/>
        <w:t xml:space="preserve">Yes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71" w:lineRule="exact"/>
        <w:rPr>
          <w:sz w:val="24"/>
          <w:szCs w:val="24"/>
          <w:color w:val="auto"/>
        </w:rPr>
      </w:pPr>
    </w:p>
    <w:p>
      <w:pPr>
        <w:ind w:firstLine="276"/>
        <w:spacing w:after="0" w:line="20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7" w:lineRule="exact"/>
        <w:rPr>
          <w:sz w:val="24"/>
          <w:szCs w:val="24"/>
          <w:color w:val="auto"/>
        </w:rPr>
      </w:pPr>
    </w:p>
    <w:p>
      <w:pPr>
        <w:ind w:firstLine="276"/>
        <w:spacing w:after="0" w:line="20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660" w:type="dxa"/>
        <w:tblCellMar>
          <w:top w:w="0" w:type="dxa"/>
          <w:left w:w="0" w:type="dxa"/>
          <w:bottom w:w="0" w:type="dxa"/>
          <w:right w:w="0" w:type="dxa"/>
        </w:tblCellMar>
      </w:tblPr>
      <w:tr>
        <w:trPr>
          <w:trHeight w:val="197"/>
        </w:trPr>
        <w:tc>
          <w:tcPr>
            <w:tcW w:w="4400" w:type="dxa"/>
            <w:vAlign w:val="bottom"/>
          </w:tcPr>
          <w:p>
            <w:pPr>
              <w:jc w:val="center"/>
              <w:ind w:right="2850"/>
              <w:spacing w:after="0" w:line="161" w:lineRule="exact"/>
              <w:rPr>
                <w:sz w:val="20"/>
                <w:szCs w:val="20"/>
                <w:color w:val="auto"/>
              </w:rPr>
            </w:pPr>
            <w:r>
              <w:rPr>
                <w:rFonts w:ascii="Times New Roman" w:cs="Times New Roman" w:eastAsia="Times New Roman" w:hAnsi="Times New Roman"/>
                <w:sz w:val="14"/>
                <w:szCs w:val="14"/>
                <w:color w:val="auto"/>
                <w:w w:val="98"/>
              </w:rPr>
              <w:t xml:space="preserve">Large Accelerated Filer </w:t>
            </w:r>
            <w:r>
              <w:rPr>
                <w:rFonts w:ascii="MS PGothic" w:cs="MS PGothic" w:eastAsia="MS PGothic" w:hAnsi="MS PGothic"/>
                <w:sz w:val="14"/>
                <w:szCs w:val="14"/>
                <w:color w:val="auto"/>
                <w:w w:val="98"/>
              </w:rPr>
              <w:t>☒</w:t>
            </w:r>
          </w:p>
        </w:tc>
        <w:tc>
          <w:tcPr>
            <w:tcW w:w="4800" w:type="dxa"/>
            <w:vAlign w:val="bottom"/>
          </w:tcPr>
          <w:p>
            <w:pPr>
              <w:ind w:left="3460"/>
              <w:spacing w:after="0"/>
              <w:rPr>
                <w:sz w:val="20"/>
                <w:szCs w:val="20"/>
                <w:color w:val="auto"/>
              </w:rPr>
            </w:pPr>
            <w:r>
              <w:rPr>
                <w:rFonts w:ascii="Times New Roman" w:cs="Times New Roman" w:eastAsia="Times New Roman" w:hAnsi="Times New Roman"/>
                <w:sz w:val="14"/>
                <w:szCs w:val="14"/>
                <w:color w:val="auto"/>
              </w:rPr>
              <w:t>Accelerated filer</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1"/>
        </w:trPr>
        <w:tc>
          <w:tcPr>
            <w:tcW w:w="4400" w:type="dxa"/>
            <w:vAlign w:val="bottom"/>
          </w:tcPr>
          <w:p>
            <w:pPr>
              <w:jc w:val="center"/>
              <w:ind w:right="2850"/>
              <w:spacing w:after="0" w:line="161" w:lineRule="exact"/>
              <w:rPr>
                <w:sz w:val="20"/>
                <w:szCs w:val="20"/>
                <w:color w:val="auto"/>
              </w:rPr>
            </w:pPr>
            <w:r>
              <w:rPr>
                <w:rFonts w:ascii="Times New Roman" w:cs="Times New Roman" w:eastAsia="Times New Roman" w:hAnsi="Times New Roman"/>
                <w:sz w:val="14"/>
                <w:szCs w:val="14"/>
                <w:color w:val="auto"/>
                <w:w w:val="99"/>
              </w:rPr>
              <w:t xml:space="preserve">Non-accelerated filer </w:t>
            </w:r>
            <w:r>
              <w:rPr>
                <w:rFonts w:ascii="MS PGothic" w:cs="MS PGothic" w:eastAsia="MS PGothic" w:hAnsi="MS PGothic"/>
                <w:sz w:val="14"/>
                <w:szCs w:val="14"/>
                <w:color w:val="auto"/>
                <w:w w:val="99"/>
              </w:rPr>
              <w:t>☐</w:t>
            </w:r>
          </w:p>
        </w:tc>
        <w:tc>
          <w:tcPr>
            <w:tcW w:w="4800" w:type="dxa"/>
            <w:vAlign w:val="bottom"/>
          </w:tcPr>
          <w:p>
            <w:pPr>
              <w:ind w:left="29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6"/>
        </w:trPr>
        <w:tc>
          <w:tcPr>
            <w:tcW w:w="4400" w:type="dxa"/>
            <w:vAlign w:val="bottom"/>
          </w:tcPr>
          <w:p>
            <w:pPr>
              <w:spacing w:after="0"/>
              <w:rPr>
                <w:sz w:val="20"/>
                <w:szCs w:val="20"/>
                <w:color w:val="auto"/>
              </w:rPr>
            </w:pPr>
          </w:p>
        </w:tc>
        <w:tc>
          <w:tcPr>
            <w:tcW w:w="4800" w:type="dxa"/>
            <w:vAlign w:val="bottom"/>
          </w:tcPr>
          <w:p>
            <w:pPr>
              <w:ind w:left="2920"/>
              <w:spacing w:after="0"/>
              <w:rPr>
                <w:sz w:val="20"/>
                <w:szCs w:val="20"/>
                <w:color w:val="auto"/>
              </w:rPr>
            </w:pPr>
            <w:r>
              <w:rPr>
                <w:rFonts w:ascii="Times New Roman" w:cs="Times New Roman" w:eastAsia="Times New Roman" w:hAnsi="Times New Roman"/>
                <w:sz w:val="14"/>
                <w:szCs w:val="14"/>
                <w:color w:val="auto"/>
              </w:rPr>
              <w:t>Emerging growth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06" w:lineRule="exact"/>
        <w:rPr>
          <w:sz w:val="24"/>
          <w:szCs w:val="24"/>
          <w:color w:val="auto"/>
        </w:rPr>
      </w:pPr>
    </w:p>
    <w:p>
      <w:pPr>
        <w:ind w:firstLine="276"/>
        <w:spacing w:after="0" w:line="21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 w:lineRule="exact"/>
        <w:rPr>
          <w:sz w:val="24"/>
          <w:szCs w:val="24"/>
          <w:color w:val="auto"/>
        </w:rPr>
      </w:pPr>
    </w:p>
    <w:p>
      <w:pPr>
        <w:ind w:firstLine="276"/>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ind w:firstLine="276"/>
        <w:spacing w:after="0" w:line="204"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ind w:firstLine="276"/>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ind w:left="280"/>
        <w:spacing w:after="0" w:line="184" w:lineRule="exact"/>
        <w:tabs>
          <w:tab w:leader="none" w:pos="6920" w:val="left"/>
          <w:tab w:leader="none" w:pos="75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40" w:lineRule="exact"/>
        <w:rPr>
          <w:sz w:val="24"/>
          <w:szCs w:val="24"/>
          <w:color w:val="auto"/>
        </w:rPr>
      </w:pPr>
    </w:p>
    <w:p>
      <w:pPr>
        <w:ind w:firstLine="276"/>
        <w:spacing w:after="0" w:line="260" w:lineRule="auto"/>
        <w:rPr>
          <w:sz w:val="20"/>
          <w:szCs w:val="20"/>
          <w:color w:val="auto"/>
        </w:rPr>
      </w:pPr>
      <w:r>
        <w:rPr>
          <w:rFonts w:ascii="Times New Roman" w:cs="Times New Roman" w:eastAsia="Times New Roman" w:hAnsi="Times New Roman"/>
          <w:sz w:val="16"/>
          <w:szCs w:val="16"/>
          <w:color w:val="auto"/>
        </w:rPr>
        <w:t>As of the last business day of the most recently completed second fiscal quarter, the aggregate market value of the common stock of the registrant held by non-affiliates was approximately $26,643,647,974 based on the closing sale price of $160.58 as reported on the New York Stock Exchange.</w:t>
      </w:r>
    </w:p>
    <w:p>
      <w:pPr>
        <w:spacing w:after="0" w:line="2"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registrant's classes of common stock as of the latest practicable date.</w:t>
      </w:r>
    </w:p>
    <w:p>
      <w:pPr>
        <w:spacing w:after="0" w:line="28" w:lineRule="exact"/>
        <w:rPr>
          <w:sz w:val="24"/>
          <w:szCs w:val="24"/>
          <w:color w:val="auto"/>
        </w:rPr>
      </w:pPr>
    </w:p>
    <w:tbl>
      <w:tblPr>
        <w:tblLayout w:type="fixed"/>
        <w:tblInd w:w="2300"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2300" w:type="dxa"/>
            <w:vAlign w:val="bottom"/>
            <w:gridSpan w:val="2"/>
          </w:tcPr>
          <w:p>
            <w:pPr>
              <w:jc w:val="center"/>
              <w:ind w:right="1940"/>
              <w:spacing w:after="0"/>
              <w:rPr>
                <w:sz w:val="20"/>
                <w:szCs w:val="20"/>
                <w:color w:val="auto"/>
              </w:rPr>
            </w:pPr>
            <w:r>
              <w:rPr>
                <w:rFonts w:ascii="Times New Roman" w:cs="Times New Roman" w:eastAsia="Times New Roman" w:hAnsi="Times New Roman"/>
                <w:sz w:val="16"/>
                <w:szCs w:val="16"/>
                <w:b w:val="1"/>
                <w:bCs w:val="1"/>
                <w:color w:val="auto"/>
                <w:w w:val="98"/>
              </w:rPr>
              <w:t>Class</w:t>
            </w:r>
          </w:p>
        </w:tc>
        <w:tc>
          <w:tcPr>
            <w:tcW w:w="2980" w:type="dxa"/>
            <w:vAlign w:val="bottom"/>
            <w:gridSpan w:val="2"/>
          </w:tcPr>
          <w:p>
            <w:pPr>
              <w:jc w:val="center"/>
              <w:ind w:left="701"/>
              <w:spacing w:after="0"/>
              <w:rPr>
                <w:sz w:val="20"/>
                <w:szCs w:val="20"/>
                <w:color w:val="auto"/>
              </w:rPr>
            </w:pPr>
            <w:r>
              <w:rPr>
                <w:rFonts w:ascii="Times New Roman" w:cs="Times New Roman" w:eastAsia="Times New Roman" w:hAnsi="Times New Roman"/>
                <w:sz w:val="16"/>
                <w:szCs w:val="16"/>
                <w:b w:val="1"/>
                <w:bCs w:val="1"/>
                <w:color w:val="auto"/>
                <w:w w:val="98"/>
              </w:rPr>
              <w:t>Outstanding at January 31, 2026</w:t>
            </w:r>
          </w:p>
        </w:tc>
      </w:tr>
      <w:tr>
        <w:trPr>
          <w:trHeight w:val="20"/>
        </w:trPr>
        <w:tc>
          <w:tcPr>
            <w:tcW w:w="1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r>
      <w:tr>
        <w:trPr>
          <w:trHeight w:val="225"/>
        </w:trPr>
        <w:tc>
          <w:tcPr>
            <w:tcW w:w="3440" w:type="dxa"/>
            <w:vAlign w:val="bottom"/>
            <w:gridSpan w:val="3"/>
          </w:tcPr>
          <w:p>
            <w:pPr>
              <w:jc w:val="center"/>
              <w:ind w:right="780"/>
              <w:spacing w:after="0"/>
              <w:rPr>
                <w:sz w:val="20"/>
                <w:szCs w:val="20"/>
                <w:color w:val="auto"/>
              </w:rPr>
            </w:pPr>
            <w:r>
              <w:rPr>
                <w:rFonts w:ascii="Times New Roman" w:cs="Times New Roman" w:eastAsia="Times New Roman" w:hAnsi="Times New Roman"/>
                <w:sz w:val="16"/>
                <w:szCs w:val="16"/>
                <w:color w:val="auto"/>
                <w:w w:val="98"/>
              </w:rPr>
              <w:t>Common Stock, par value $0.01 per share</w:t>
            </w:r>
          </w:p>
        </w:tc>
        <w:tc>
          <w:tcPr>
            <w:tcW w:w="298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color w:val="auto"/>
              </w:rPr>
              <w:t>214,677,543</w:t>
            </w:r>
          </w:p>
        </w:tc>
      </w:tr>
    </w:tbl>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Portions of the Registrant's definitive Proxy Statement relating to its 2026 Annual Meeting of Stockholders</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387985</wp:posOffset>
            </wp:positionH>
            <wp:positionV relativeFrom="paragraph">
              <wp:posOffset>53340</wp:posOffset>
            </wp:positionV>
            <wp:extent cx="6375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7540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19685</wp:posOffset>
            </wp:positionV>
            <wp:extent cx="63754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75400" cy="825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1" w:name="page2"/>
    <w:bookmarkEnd w:id="1"/>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00" w:type="dxa"/>
            <w:vAlign w:val="bottom"/>
            <w:gridSpan w:val="9"/>
          </w:tcPr>
          <w:p>
            <w:pPr>
              <w:ind w:left="3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160" w:type="dxa"/>
            <w:vAlign w:val="bottom"/>
          </w:tcPr>
          <w:p>
            <w:pPr>
              <w:spacing w:after="0"/>
              <w:rPr>
                <w:sz w:val="18"/>
                <w:szCs w:val="18"/>
                <w:color w:val="auto"/>
              </w:rPr>
            </w:pPr>
          </w:p>
        </w:tc>
        <w:tc>
          <w:tcPr>
            <w:tcW w:w="18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6"/>
              </w:rPr>
              <w:t>GLOSSARY OF TERMS</w:t>
            </w:r>
          </w:p>
        </w:tc>
        <w:tc>
          <w:tcPr>
            <w:tcW w:w="8640" w:type="dxa"/>
            <w:vAlign w:val="bottom"/>
            <w:gridSpan w:val="18"/>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1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4"/>
        </w:trPr>
        <w:tc>
          <w:tcPr>
            <w:tcW w:w="58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b w:val="1"/>
                <w:bCs w:val="1"/>
                <w:color w:val="0000FF"/>
                <w:w w:val="92"/>
              </w:rPr>
              <w:t>PART I</w:t>
            </w:r>
          </w:p>
        </w:tc>
        <w:tc>
          <w:tcPr>
            <w:tcW w:w="12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7</w:t>
            </w:r>
          </w:p>
        </w:tc>
      </w:tr>
      <w:tr>
        <w:trPr>
          <w:trHeight w:val="20"/>
        </w:trPr>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4"/>
        </w:trPr>
        <w:tc>
          <w:tcPr>
            <w:tcW w:w="160" w:type="dxa"/>
            <w:vAlign w:val="bottom"/>
          </w:tcPr>
          <w:p>
            <w:pPr>
              <w:spacing w:after="0"/>
              <w:rPr>
                <w:sz w:val="17"/>
                <w:szCs w:val="17"/>
                <w:color w:val="auto"/>
              </w:rPr>
            </w:pPr>
          </w:p>
        </w:tc>
        <w:tc>
          <w:tcPr>
            <w:tcW w:w="1340" w:type="dxa"/>
            <w:vAlign w:val="bottom"/>
            <w:gridSpan w:val="5"/>
          </w:tcPr>
          <w:p>
            <w:pPr>
              <w:spacing w:after="0" w:line="204" w:lineRule="exact"/>
              <w:rPr>
                <w:sz w:val="20"/>
                <w:szCs w:val="20"/>
                <w:color w:val="auto"/>
              </w:rPr>
            </w:pPr>
            <w:r>
              <w:rPr>
                <w:rFonts w:ascii="Times New Roman" w:cs="Times New Roman" w:eastAsia="Times New Roman" w:hAnsi="Times New Roman"/>
                <w:sz w:val="18"/>
                <w:szCs w:val="18"/>
                <w:color w:val="0000FF"/>
                <w:w w:val="95"/>
              </w:rPr>
              <w:t>Item 1 — Business</w:t>
            </w:r>
          </w:p>
        </w:tc>
        <w:tc>
          <w:tcPr>
            <w:tcW w:w="9120" w:type="dxa"/>
            <w:vAlign w:val="bottom"/>
            <w:gridSpan w:val="21"/>
          </w:tcPr>
          <w:p>
            <w:pPr>
              <w:spacing w:after="0"/>
              <w:rPr>
                <w:sz w:val="17"/>
                <w:szCs w:val="17"/>
                <w:color w:val="auto"/>
              </w:rPr>
            </w:pP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7</w:t>
            </w:r>
          </w:p>
        </w:tc>
      </w:tr>
      <w:tr>
        <w:trPr>
          <w:trHeight w:val="20"/>
        </w:trPr>
        <w:tc>
          <w:tcPr>
            <w:tcW w:w="16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4"/>
        </w:trPr>
        <w:tc>
          <w:tcPr>
            <w:tcW w:w="160" w:type="dxa"/>
            <w:vAlign w:val="bottom"/>
          </w:tcPr>
          <w:p>
            <w:pPr>
              <w:spacing w:after="0"/>
              <w:rPr>
                <w:sz w:val="17"/>
                <w:szCs w:val="17"/>
                <w:color w:val="auto"/>
              </w:rPr>
            </w:pPr>
          </w:p>
        </w:tc>
        <w:tc>
          <w:tcPr>
            <w:tcW w:w="1720" w:type="dxa"/>
            <w:vAlign w:val="bottom"/>
            <w:gridSpan w:val="7"/>
          </w:tcPr>
          <w:p>
            <w:pPr>
              <w:spacing w:after="0" w:line="204" w:lineRule="exact"/>
              <w:rPr>
                <w:sz w:val="20"/>
                <w:szCs w:val="20"/>
                <w:color w:val="auto"/>
              </w:rPr>
            </w:pPr>
            <w:r>
              <w:rPr>
                <w:rFonts w:ascii="Times New Roman" w:cs="Times New Roman" w:eastAsia="Times New Roman" w:hAnsi="Times New Roman"/>
                <w:sz w:val="18"/>
                <w:szCs w:val="18"/>
                <w:color w:val="0000FF"/>
                <w:w w:val="96"/>
              </w:rPr>
              <w:t>Item 1A — Risk Factors</w:t>
            </w:r>
          </w:p>
        </w:tc>
        <w:tc>
          <w:tcPr>
            <w:tcW w:w="8740" w:type="dxa"/>
            <w:vAlign w:val="bottom"/>
            <w:gridSpan w:val="19"/>
          </w:tcPr>
          <w:p>
            <w:pPr>
              <w:spacing w:after="0"/>
              <w:rPr>
                <w:sz w:val="17"/>
                <w:szCs w:val="17"/>
                <w:color w:val="auto"/>
              </w:rPr>
            </w:pP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23</w:t>
            </w:r>
          </w:p>
        </w:tc>
      </w:tr>
      <w:tr>
        <w:trPr>
          <w:trHeight w:val="20"/>
        </w:trPr>
        <w:tc>
          <w:tcPr>
            <w:tcW w:w="16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04"/>
        </w:trPr>
        <w:tc>
          <w:tcPr>
            <w:tcW w:w="160" w:type="dxa"/>
            <w:vAlign w:val="bottom"/>
          </w:tcPr>
          <w:p>
            <w:pPr>
              <w:spacing w:after="0"/>
              <w:rPr>
                <w:sz w:val="17"/>
                <w:szCs w:val="17"/>
                <w:color w:val="auto"/>
              </w:rPr>
            </w:pPr>
          </w:p>
        </w:tc>
        <w:tc>
          <w:tcPr>
            <w:tcW w:w="10460" w:type="dxa"/>
            <w:vAlign w:val="bottom"/>
            <w:gridSpan w:val="26"/>
          </w:tcPr>
          <w:p>
            <w:pPr>
              <w:spacing w:after="0" w:line="204" w:lineRule="exact"/>
              <w:rPr>
                <w:sz w:val="20"/>
                <w:szCs w:val="20"/>
                <w:color w:val="auto"/>
              </w:rPr>
            </w:pPr>
            <w:r>
              <w:rPr>
                <w:rFonts w:ascii="Times New Roman" w:cs="Times New Roman" w:eastAsia="Times New Roman" w:hAnsi="Times New Roman"/>
                <w:sz w:val="18"/>
                <w:szCs w:val="18"/>
                <w:color w:val="0000FF"/>
              </w:rPr>
              <w:t>Item 1B — Unresolved Staff Comments</w:t>
            </w: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39</w:t>
            </w:r>
          </w:p>
        </w:tc>
      </w:tr>
      <w:tr>
        <w:trPr>
          <w:trHeight w:val="20"/>
        </w:trPr>
        <w:tc>
          <w:tcPr>
            <w:tcW w:w="16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04"/>
        </w:trPr>
        <w:tc>
          <w:tcPr>
            <w:tcW w:w="160" w:type="dxa"/>
            <w:vAlign w:val="bottom"/>
          </w:tcPr>
          <w:p>
            <w:pPr>
              <w:spacing w:after="0"/>
              <w:rPr>
                <w:sz w:val="17"/>
                <w:szCs w:val="17"/>
                <w:color w:val="auto"/>
              </w:rPr>
            </w:pPr>
          </w:p>
        </w:tc>
        <w:tc>
          <w:tcPr>
            <w:tcW w:w="1820" w:type="dxa"/>
            <w:vAlign w:val="bottom"/>
            <w:gridSpan w:val="8"/>
          </w:tcPr>
          <w:p>
            <w:pPr>
              <w:spacing w:after="0" w:line="204" w:lineRule="exact"/>
              <w:rPr>
                <w:sz w:val="20"/>
                <w:szCs w:val="20"/>
                <w:color w:val="auto"/>
              </w:rPr>
            </w:pPr>
            <w:r>
              <w:rPr>
                <w:rFonts w:ascii="Times New Roman" w:cs="Times New Roman" w:eastAsia="Times New Roman" w:hAnsi="Times New Roman"/>
                <w:sz w:val="18"/>
                <w:szCs w:val="18"/>
                <w:color w:val="0000FF"/>
                <w:w w:val="96"/>
              </w:rPr>
              <w:t>Item 1C — Cybersecurity</w:t>
            </w:r>
          </w:p>
        </w:tc>
        <w:tc>
          <w:tcPr>
            <w:tcW w:w="1000" w:type="dxa"/>
            <w:vAlign w:val="bottom"/>
            <w:gridSpan w:val="6"/>
          </w:tcPr>
          <w:p>
            <w:pPr>
              <w:spacing w:after="0"/>
              <w:rPr>
                <w:sz w:val="17"/>
                <w:szCs w:val="17"/>
                <w:color w:val="auto"/>
              </w:rPr>
            </w:pPr>
          </w:p>
        </w:tc>
        <w:tc>
          <w:tcPr>
            <w:tcW w:w="7640" w:type="dxa"/>
            <w:vAlign w:val="bottom"/>
            <w:gridSpan w:val="12"/>
          </w:tcPr>
          <w:p>
            <w:pPr>
              <w:spacing w:after="0"/>
              <w:rPr>
                <w:sz w:val="17"/>
                <w:szCs w:val="17"/>
                <w:color w:val="auto"/>
              </w:rPr>
            </w:pP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39</w:t>
            </w:r>
          </w:p>
        </w:tc>
      </w:tr>
      <w:tr>
        <w:trPr>
          <w:trHeight w:val="20"/>
        </w:trPr>
        <w:tc>
          <w:tcPr>
            <w:tcW w:w="16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04"/>
        </w:trPr>
        <w:tc>
          <w:tcPr>
            <w:tcW w:w="160" w:type="dxa"/>
            <w:vAlign w:val="bottom"/>
          </w:tcPr>
          <w:p>
            <w:pPr>
              <w:spacing w:after="0"/>
              <w:rPr>
                <w:sz w:val="17"/>
                <w:szCs w:val="17"/>
                <w:color w:val="auto"/>
              </w:rPr>
            </w:pPr>
          </w:p>
        </w:tc>
        <w:tc>
          <w:tcPr>
            <w:tcW w:w="1820" w:type="dxa"/>
            <w:vAlign w:val="bottom"/>
            <w:gridSpan w:val="8"/>
          </w:tcPr>
          <w:p>
            <w:pPr>
              <w:spacing w:after="0" w:line="204" w:lineRule="exact"/>
              <w:rPr>
                <w:sz w:val="20"/>
                <w:szCs w:val="20"/>
                <w:color w:val="auto"/>
              </w:rPr>
            </w:pPr>
            <w:r>
              <w:rPr>
                <w:rFonts w:ascii="Times New Roman" w:cs="Times New Roman" w:eastAsia="Times New Roman" w:hAnsi="Times New Roman"/>
                <w:sz w:val="18"/>
                <w:szCs w:val="18"/>
                <w:color w:val="0000FF"/>
              </w:rPr>
              <w:t>Item 2 — Properties</w:t>
            </w:r>
          </w:p>
        </w:tc>
        <w:tc>
          <w:tcPr>
            <w:tcW w:w="8640" w:type="dxa"/>
            <w:vAlign w:val="bottom"/>
            <w:gridSpan w:val="18"/>
          </w:tcPr>
          <w:p>
            <w:pPr>
              <w:spacing w:after="0"/>
              <w:rPr>
                <w:sz w:val="17"/>
                <w:szCs w:val="17"/>
                <w:color w:val="auto"/>
              </w:rPr>
            </w:pP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41</w:t>
            </w:r>
          </w:p>
        </w:tc>
      </w:tr>
      <w:tr>
        <w:trPr>
          <w:trHeight w:val="20"/>
        </w:trPr>
        <w:tc>
          <w:tcPr>
            <w:tcW w:w="1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4"/>
        </w:trPr>
        <w:tc>
          <w:tcPr>
            <w:tcW w:w="160" w:type="dxa"/>
            <w:vAlign w:val="bottom"/>
          </w:tcPr>
          <w:p>
            <w:pPr>
              <w:spacing w:after="0"/>
              <w:rPr>
                <w:sz w:val="17"/>
                <w:szCs w:val="17"/>
                <w:color w:val="auto"/>
              </w:rPr>
            </w:pPr>
          </w:p>
        </w:tc>
        <w:tc>
          <w:tcPr>
            <w:tcW w:w="2020" w:type="dxa"/>
            <w:vAlign w:val="bottom"/>
            <w:gridSpan w:val="9"/>
          </w:tcPr>
          <w:p>
            <w:pPr>
              <w:spacing w:after="0" w:line="204" w:lineRule="exact"/>
              <w:rPr>
                <w:sz w:val="20"/>
                <w:szCs w:val="20"/>
                <w:color w:val="auto"/>
              </w:rPr>
            </w:pPr>
            <w:r>
              <w:rPr>
                <w:rFonts w:ascii="Times New Roman" w:cs="Times New Roman" w:eastAsia="Times New Roman" w:hAnsi="Times New Roman"/>
                <w:sz w:val="18"/>
                <w:szCs w:val="18"/>
                <w:color w:val="0000FF"/>
                <w:w w:val="96"/>
              </w:rPr>
              <w:t>Item 3 — Legal Proceedings</w:t>
            </w:r>
          </w:p>
        </w:tc>
        <w:tc>
          <w:tcPr>
            <w:tcW w:w="8440" w:type="dxa"/>
            <w:vAlign w:val="bottom"/>
            <w:gridSpan w:val="17"/>
          </w:tcPr>
          <w:p>
            <w:pPr>
              <w:spacing w:after="0"/>
              <w:rPr>
                <w:sz w:val="17"/>
                <w:szCs w:val="17"/>
                <w:color w:val="auto"/>
              </w:rPr>
            </w:pP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42</w:t>
            </w:r>
          </w:p>
        </w:tc>
      </w:tr>
      <w:tr>
        <w:trPr>
          <w:trHeight w:val="20"/>
        </w:trPr>
        <w:tc>
          <w:tcPr>
            <w:tcW w:w="1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4"/>
        </w:trPr>
        <w:tc>
          <w:tcPr>
            <w:tcW w:w="160" w:type="dxa"/>
            <w:vAlign w:val="bottom"/>
          </w:tcPr>
          <w:p>
            <w:pPr>
              <w:spacing w:after="0"/>
              <w:rPr>
                <w:sz w:val="17"/>
                <w:szCs w:val="17"/>
                <w:color w:val="auto"/>
              </w:rPr>
            </w:pPr>
          </w:p>
        </w:tc>
        <w:tc>
          <w:tcPr>
            <w:tcW w:w="2440" w:type="dxa"/>
            <w:vAlign w:val="bottom"/>
            <w:gridSpan w:val="12"/>
          </w:tcPr>
          <w:p>
            <w:pPr>
              <w:spacing w:after="0" w:line="204" w:lineRule="exact"/>
              <w:rPr>
                <w:sz w:val="20"/>
                <w:szCs w:val="20"/>
                <w:color w:val="auto"/>
              </w:rPr>
            </w:pPr>
            <w:r>
              <w:rPr>
                <w:rFonts w:ascii="Times New Roman" w:cs="Times New Roman" w:eastAsia="Times New Roman" w:hAnsi="Times New Roman"/>
                <w:sz w:val="18"/>
                <w:szCs w:val="18"/>
                <w:color w:val="0000FF"/>
                <w:w w:val="96"/>
              </w:rPr>
              <w:t>Item 4 — Mine Safety Disclosures</w:t>
            </w:r>
          </w:p>
        </w:tc>
        <w:tc>
          <w:tcPr>
            <w:tcW w:w="8020" w:type="dxa"/>
            <w:vAlign w:val="bottom"/>
            <w:gridSpan w:val="14"/>
          </w:tcPr>
          <w:p>
            <w:pPr>
              <w:spacing w:after="0"/>
              <w:rPr>
                <w:sz w:val="17"/>
                <w:szCs w:val="17"/>
                <w:color w:val="auto"/>
              </w:rPr>
            </w:pP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42</w:t>
            </w:r>
          </w:p>
        </w:tc>
      </w:tr>
      <w:tr>
        <w:trPr>
          <w:trHeight w:val="20"/>
        </w:trPr>
        <w:tc>
          <w:tcPr>
            <w:tcW w:w="1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4"/>
        </w:trPr>
        <w:tc>
          <w:tcPr>
            <w:tcW w:w="640" w:type="dxa"/>
            <w:vAlign w:val="bottom"/>
            <w:gridSpan w:val="3"/>
          </w:tcPr>
          <w:p>
            <w:pPr>
              <w:spacing w:after="0" w:line="204" w:lineRule="exact"/>
              <w:rPr>
                <w:sz w:val="20"/>
                <w:szCs w:val="20"/>
                <w:color w:val="auto"/>
              </w:rPr>
            </w:pPr>
            <w:r>
              <w:rPr>
                <w:rFonts w:ascii="Times New Roman" w:cs="Times New Roman" w:eastAsia="Times New Roman" w:hAnsi="Times New Roman"/>
                <w:sz w:val="18"/>
                <w:szCs w:val="18"/>
                <w:b w:val="1"/>
                <w:bCs w:val="1"/>
                <w:color w:val="0000FF"/>
                <w:w w:val="91"/>
              </w:rPr>
              <w:t>PART II</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43</w:t>
            </w:r>
          </w:p>
        </w:tc>
      </w:tr>
      <w:tr>
        <w:trPr>
          <w:trHeight w:val="20"/>
        </w:trPr>
        <w:tc>
          <w:tcPr>
            <w:tcW w:w="1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04"/>
        </w:trPr>
        <w:tc>
          <w:tcPr>
            <w:tcW w:w="160" w:type="dxa"/>
            <w:vAlign w:val="bottom"/>
          </w:tcPr>
          <w:p>
            <w:pPr>
              <w:spacing w:after="0"/>
              <w:rPr>
                <w:sz w:val="17"/>
                <w:szCs w:val="17"/>
                <w:color w:val="auto"/>
              </w:rPr>
            </w:pPr>
          </w:p>
        </w:tc>
        <w:tc>
          <w:tcPr>
            <w:tcW w:w="10460" w:type="dxa"/>
            <w:vAlign w:val="bottom"/>
            <w:gridSpan w:val="26"/>
          </w:tcPr>
          <w:p>
            <w:pPr>
              <w:spacing w:after="0" w:line="204" w:lineRule="exact"/>
              <w:rPr>
                <w:sz w:val="20"/>
                <w:szCs w:val="20"/>
                <w:color w:val="auto"/>
              </w:rPr>
            </w:pPr>
            <w:r>
              <w:rPr>
                <w:rFonts w:ascii="Times New Roman" w:cs="Times New Roman" w:eastAsia="Times New Roman" w:hAnsi="Times New Roman"/>
                <w:sz w:val="18"/>
                <w:szCs w:val="18"/>
                <w:color w:val="0000FF"/>
              </w:rPr>
              <w:t>Item 5 — Market for Registrant's Common Equity, Related Stockholder Matters and Issuer Purchases of Equity Securities</w:t>
            </w: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43</w:t>
            </w:r>
          </w:p>
        </w:tc>
      </w:tr>
      <w:tr>
        <w:trPr>
          <w:trHeight w:val="20"/>
        </w:trPr>
        <w:tc>
          <w:tcPr>
            <w:tcW w:w="16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04"/>
        </w:trPr>
        <w:tc>
          <w:tcPr>
            <w:tcW w:w="160" w:type="dxa"/>
            <w:vAlign w:val="bottom"/>
          </w:tcPr>
          <w:p>
            <w:pPr>
              <w:spacing w:after="0"/>
              <w:rPr>
                <w:sz w:val="17"/>
                <w:szCs w:val="17"/>
                <w:color w:val="auto"/>
              </w:rPr>
            </w:pPr>
          </w:p>
        </w:tc>
        <w:tc>
          <w:tcPr>
            <w:tcW w:w="8560" w:type="dxa"/>
            <w:vAlign w:val="bottom"/>
            <w:gridSpan w:val="25"/>
          </w:tcPr>
          <w:p>
            <w:pPr>
              <w:spacing w:after="0" w:line="204" w:lineRule="exact"/>
              <w:rPr>
                <w:sz w:val="20"/>
                <w:szCs w:val="20"/>
                <w:color w:val="auto"/>
              </w:rPr>
            </w:pPr>
            <w:r>
              <w:rPr>
                <w:rFonts w:ascii="Times New Roman" w:cs="Times New Roman" w:eastAsia="Times New Roman" w:hAnsi="Times New Roman"/>
                <w:sz w:val="18"/>
                <w:szCs w:val="18"/>
                <w:color w:val="0000FF"/>
              </w:rPr>
              <w:t>Item 6 — Reserved</w:t>
            </w:r>
          </w:p>
        </w:tc>
        <w:tc>
          <w:tcPr>
            <w:tcW w:w="1900" w:type="dxa"/>
            <w:vAlign w:val="bottom"/>
          </w:tcPr>
          <w:p>
            <w:pPr>
              <w:spacing w:after="0"/>
              <w:rPr>
                <w:sz w:val="17"/>
                <w:szCs w:val="17"/>
                <w:color w:val="auto"/>
              </w:rPr>
            </w:pP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44</w:t>
            </w:r>
          </w:p>
        </w:tc>
      </w:tr>
      <w:tr>
        <w:trPr>
          <w:trHeight w:val="20"/>
        </w:trPr>
        <w:tc>
          <w:tcPr>
            <w:tcW w:w="16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04"/>
        </w:trPr>
        <w:tc>
          <w:tcPr>
            <w:tcW w:w="160" w:type="dxa"/>
            <w:vAlign w:val="bottom"/>
          </w:tcPr>
          <w:p>
            <w:pPr>
              <w:spacing w:after="0"/>
              <w:rPr>
                <w:sz w:val="17"/>
                <w:szCs w:val="17"/>
                <w:color w:val="auto"/>
              </w:rPr>
            </w:pPr>
          </w:p>
        </w:tc>
        <w:tc>
          <w:tcPr>
            <w:tcW w:w="7000" w:type="dxa"/>
            <w:vAlign w:val="bottom"/>
            <w:gridSpan w:val="22"/>
          </w:tcPr>
          <w:p>
            <w:pPr>
              <w:spacing w:after="0" w:line="204" w:lineRule="exact"/>
              <w:rPr>
                <w:sz w:val="20"/>
                <w:szCs w:val="20"/>
                <w:color w:val="auto"/>
              </w:rPr>
            </w:pPr>
            <w:r>
              <w:rPr>
                <w:rFonts w:ascii="Times New Roman" w:cs="Times New Roman" w:eastAsia="Times New Roman" w:hAnsi="Times New Roman"/>
                <w:sz w:val="18"/>
                <w:szCs w:val="18"/>
                <w:color w:val="0000FF"/>
                <w:w w:val="97"/>
              </w:rPr>
              <w:t>Item 7 — Management's Discussion and Analysis of Financial Condition and Results of Operations</w:t>
            </w:r>
          </w:p>
        </w:tc>
        <w:tc>
          <w:tcPr>
            <w:tcW w:w="3460" w:type="dxa"/>
            <w:vAlign w:val="bottom"/>
            <w:gridSpan w:val="4"/>
          </w:tcPr>
          <w:p>
            <w:pPr>
              <w:spacing w:after="0"/>
              <w:rPr>
                <w:sz w:val="17"/>
                <w:szCs w:val="17"/>
                <w:color w:val="auto"/>
              </w:rPr>
            </w:pP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44</w:t>
            </w:r>
          </w:p>
        </w:tc>
      </w:tr>
      <w:tr>
        <w:trPr>
          <w:trHeight w:val="20"/>
        </w:trPr>
        <w:tc>
          <w:tcPr>
            <w:tcW w:w="1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4"/>
        </w:trPr>
        <w:tc>
          <w:tcPr>
            <w:tcW w:w="160" w:type="dxa"/>
            <w:vAlign w:val="bottom"/>
          </w:tcPr>
          <w:p>
            <w:pPr>
              <w:spacing w:after="0"/>
              <w:rPr>
                <w:sz w:val="17"/>
                <w:szCs w:val="17"/>
                <w:color w:val="auto"/>
              </w:rPr>
            </w:pPr>
          </w:p>
        </w:tc>
        <w:tc>
          <w:tcPr>
            <w:tcW w:w="5080" w:type="dxa"/>
            <w:vAlign w:val="bottom"/>
            <w:gridSpan w:val="19"/>
          </w:tcPr>
          <w:p>
            <w:pPr>
              <w:spacing w:after="0" w:line="204" w:lineRule="exact"/>
              <w:rPr>
                <w:sz w:val="20"/>
                <w:szCs w:val="20"/>
                <w:color w:val="auto"/>
              </w:rPr>
            </w:pPr>
            <w:r>
              <w:rPr>
                <w:rFonts w:ascii="Times New Roman" w:cs="Times New Roman" w:eastAsia="Times New Roman" w:hAnsi="Times New Roman"/>
                <w:sz w:val="18"/>
                <w:szCs w:val="18"/>
                <w:color w:val="0000FF"/>
                <w:w w:val="96"/>
              </w:rPr>
              <w:t>Item 7A — Quantitative and Qualitative Disclosures About Market Risk</w:t>
            </w:r>
          </w:p>
        </w:tc>
        <w:tc>
          <w:tcPr>
            <w:tcW w:w="1920" w:type="dxa"/>
            <w:vAlign w:val="bottom"/>
            <w:gridSpan w:val="3"/>
          </w:tcPr>
          <w:p>
            <w:pPr>
              <w:spacing w:after="0"/>
              <w:rPr>
                <w:sz w:val="17"/>
                <w:szCs w:val="17"/>
                <w:color w:val="auto"/>
              </w:rPr>
            </w:pPr>
          </w:p>
        </w:tc>
        <w:tc>
          <w:tcPr>
            <w:tcW w:w="3460" w:type="dxa"/>
            <w:vAlign w:val="bottom"/>
            <w:gridSpan w:val="4"/>
          </w:tcPr>
          <w:p>
            <w:pPr>
              <w:spacing w:after="0"/>
              <w:rPr>
                <w:sz w:val="17"/>
                <w:szCs w:val="17"/>
                <w:color w:val="auto"/>
              </w:rPr>
            </w:pP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73</w:t>
            </w:r>
          </w:p>
        </w:tc>
      </w:tr>
      <w:tr>
        <w:trPr>
          <w:trHeight w:val="20"/>
        </w:trPr>
        <w:tc>
          <w:tcPr>
            <w:tcW w:w="1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4"/>
        </w:trPr>
        <w:tc>
          <w:tcPr>
            <w:tcW w:w="160" w:type="dxa"/>
            <w:vAlign w:val="bottom"/>
          </w:tcPr>
          <w:p>
            <w:pPr>
              <w:spacing w:after="0"/>
              <w:rPr>
                <w:sz w:val="17"/>
                <w:szCs w:val="17"/>
                <w:color w:val="auto"/>
              </w:rPr>
            </w:pPr>
          </w:p>
        </w:tc>
        <w:tc>
          <w:tcPr>
            <w:tcW w:w="3960" w:type="dxa"/>
            <w:vAlign w:val="bottom"/>
            <w:gridSpan w:val="17"/>
          </w:tcPr>
          <w:p>
            <w:pPr>
              <w:spacing w:after="0" w:line="204" w:lineRule="exact"/>
              <w:rPr>
                <w:sz w:val="20"/>
                <w:szCs w:val="20"/>
                <w:color w:val="auto"/>
              </w:rPr>
            </w:pPr>
            <w:r>
              <w:rPr>
                <w:rFonts w:ascii="Times New Roman" w:cs="Times New Roman" w:eastAsia="Times New Roman" w:hAnsi="Times New Roman"/>
                <w:sz w:val="18"/>
                <w:szCs w:val="18"/>
                <w:color w:val="0000FF"/>
                <w:w w:val="96"/>
              </w:rPr>
              <w:t>Item 8 — Financial Statements and Supplementary Data</w:t>
            </w:r>
          </w:p>
        </w:tc>
        <w:tc>
          <w:tcPr>
            <w:tcW w:w="1120" w:type="dxa"/>
            <w:vAlign w:val="bottom"/>
            <w:gridSpan w:val="2"/>
          </w:tcPr>
          <w:p>
            <w:pPr>
              <w:spacing w:after="0"/>
              <w:rPr>
                <w:sz w:val="17"/>
                <w:szCs w:val="17"/>
                <w:color w:val="auto"/>
              </w:rPr>
            </w:pPr>
          </w:p>
        </w:tc>
        <w:tc>
          <w:tcPr>
            <w:tcW w:w="5380" w:type="dxa"/>
            <w:vAlign w:val="bottom"/>
            <w:gridSpan w:val="7"/>
          </w:tcPr>
          <w:p>
            <w:pPr>
              <w:spacing w:after="0"/>
              <w:rPr>
                <w:sz w:val="17"/>
                <w:szCs w:val="17"/>
                <w:color w:val="auto"/>
              </w:rPr>
            </w:pP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76</w:t>
            </w:r>
          </w:p>
        </w:tc>
      </w:tr>
      <w:tr>
        <w:trPr>
          <w:trHeight w:val="20"/>
        </w:trPr>
        <w:tc>
          <w:tcPr>
            <w:tcW w:w="16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04"/>
        </w:trPr>
        <w:tc>
          <w:tcPr>
            <w:tcW w:w="160" w:type="dxa"/>
            <w:vAlign w:val="bottom"/>
          </w:tcPr>
          <w:p>
            <w:pPr>
              <w:spacing w:after="0"/>
              <w:rPr>
                <w:sz w:val="17"/>
                <w:szCs w:val="17"/>
                <w:color w:val="auto"/>
              </w:rPr>
            </w:pPr>
          </w:p>
        </w:tc>
        <w:tc>
          <w:tcPr>
            <w:tcW w:w="7060" w:type="dxa"/>
            <w:vAlign w:val="bottom"/>
            <w:gridSpan w:val="23"/>
          </w:tcPr>
          <w:p>
            <w:pPr>
              <w:spacing w:after="0" w:line="204" w:lineRule="exact"/>
              <w:rPr>
                <w:sz w:val="20"/>
                <w:szCs w:val="20"/>
                <w:color w:val="auto"/>
              </w:rPr>
            </w:pPr>
            <w:r>
              <w:rPr>
                <w:rFonts w:ascii="Times New Roman" w:cs="Times New Roman" w:eastAsia="Times New Roman" w:hAnsi="Times New Roman"/>
                <w:sz w:val="18"/>
                <w:szCs w:val="18"/>
                <w:color w:val="0000FF"/>
                <w:w w:val="97"/>
              </w:rPr>
              <w:t>Item 9 — Changes in and Disagreements With Accountants on Accounting and Financial Disclosure</w:t>
            </w:r>
          </w:p>
        </w:tc>
        <w:tc>
          <w:tcPr>
            <w:tcW w:w="3400" w:type="dxa"/>
            <w:vAlign w:val="bottom"/>
            <w:gridSpan w:val="3"/>
          </w:tcPr>
          <w:p>
            <w:pPr>
              <w:spacing w:after="0"/>
              <w:rPr>
                <w:sz w:val="17"/>
                <w:szCs w:val="17"/>
                <w:color w:val="auto"/>
              </w:rPr>
            </w:pP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76</w:t>
            </w:r>
          </w:p>
        </w:tc>
      </w:tr>
      <w:tr>
        <w:trPr>
          <w:trHeight w:val="20"/>
        </w:trPr>
        <w:tc>
          <w:tcPr>
            <w:tcW w:w="16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04"/>
        </w:trPr>
        <w:tc>
          <w:tcPr>
            <w:tcW w:w="160" w:type="dxa"/>
            <w:vAlign w:val="bottom"/>
          </w:tcPr>
          <w:p>
            <w:pPr>
              <w:spacing w:after="0"/>
              <w:rPr>
                <w:sz w:val="17"/>
                <w:szCs w:val="17"/>
                <w:color w:val="auto"/>
              </w:rPr>
            </w:pPr>
          </w:p>
        </w:tc>
        <w:tc>
          <w:tcPr>
            <w:tcW w:w="2560" w:type="dxa"/>
            <w:vAlign w:val="bottom"/>
            <w:gridSpan w:val="13"/>
          </w:tcPr>
          <w:p>
            <w:pPr>
              <w:spacing w:after="0" w:line="204" w:lineRule="exact"/>
              <w:rPr>
                <w:sz w:val="20"/>
                <w:szCs w:val="20"/>
                <w:color w:val="auto"/>
              </w:rPr>
            </w:pPr>
            <w:r>
              <w:rPr>
                <w:rFonts w:ascii="Times New Roman" w:cs="Times New Roman" w:eastAsia="Times New Roman" w:hAnsi="Times New Roman"/>
                <w:sz w:val="18"/>
                <w:szCs w:val="18"/>
                <w:color w:val="0000FF"/>
                <w:w w:val="96"/>
              </w:rPr>
              <w:t>Item 9A — Controls and Procedures</w:t>
            </w:r>
          </w:p>
        </w:tc>
        <w:tc>
          <w:tcPr>
            <w:tcW w:w="4500" w:type="dxa"/>
            <w:vAlign w:val="bottom"/>
            <w:gridSpan w:val="10"/>
          </w:tcPr>
          <w:p>
            <w:pPr>
              <w:spacing w:after="0"/>
              <w:rPr>
                <w:sz w:val="17"/>
                <w:szCs w:val="17"/>
                <w:color w:val="auto"/>
              </w:rPr>
            </w:pPr>
          </w:p>
        </w:tc>
        <w:tc>
          <w:tcPr>
            <w:tcW w:w="3400" w:type="dxa"/>
            <w:vAlign w:val="bottom"/>
            <w:gridSpan w:val="3"/>
          </w:tcPr>
          <w:p>
            <w:pPr>
              <w:spacing w:after="0"/>
              <w:rPr>
                <w:sz w:val="17"/>
                <w:szCs w:val="17"/>
                <w:color w:val="auto"/>
              </w:rPr>
            </w:pP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77</w:t>
            </w:r>
          </w:p>
        </w:tc>
      </w:tr>
      <w:tr>
        <w:trPr>
          <w:trHeight w:val="20"/>
        </w:trPr>
        <w:tc>
          <w:tcPr>
            <w:tcW w:w="16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04"/>
        </w:trPr>
        <w:tc>
          <w:tcPr>
            <w:tcW w:w="160" w:type="dxa"/>
            <w:vAlign w:val="bottom"/>
          </w:tcPr>
          <w:p>
            <w:pPr>
              <w:spacing w:after="0"/>
              <w:rPr>
                <w:sz w:val="17"/>
                <w:szCs w:val="17"/>
                <w:color w:val="auto"/>
              </w:rPr>
            </w:pPr>
          </w:p>
        </w:tc>
        <w:tc>
          <w:tcPr>
            <w:tcW w:w="2120" w:type="dxa"/>
            <w:vAlign w:val="bottom"/>
            <w:gridSpan w:val="10"/>
          </w:tcPr>
          <w:p>
            <w:pPr>
              <w:spacing w:after="0" w:line="204" w:lineRule="exact"/>
              <w:rPr>
                <w:sz w:val="20"/>
                <w:szCs w:val="20"/>
                <w:color w:val="auto"/>
              </w:rPr>
            </w:pPr>
            <w:r>
              <w:rPr>
                <w:rFonts w:ascii="Times New Roman" w:cs="Times New Roman" w:eastAsia="Times New Roman" w:hAnsi="Times New Roman"/>
                <w:sz w:val="18"/>
                <w:szCs w:val="18"/>
                <w:color w:val="0000FF"/>
                <w:w w:val="96"/>
              </w:rPr>
              <w:t>Item 9B — Other Information</w:t>
            </w:r>
          </w:p>
        </w:tc>
        <w:tc>
          <w:tcPr>
            <w:tcW w:w="440" w:type="dxa"/>
            <w:vAlign w:val="bottom"/>
            <w:gridSpan w:val="3"/>
          </w:tcPr>
          <w:p>
            <w:pPr>
              <w:spacing w:after="0"/>
              <w:rPr>
                <w:sz w:val="17"/>
                <w:szCs w:val="17"/>
                <w:color w:val="auto"/>
              </w:rPr>
            </w:pPr>
          </w:p>
        </w:tc>
        <w:tc>
          <w:tcPr>
            <w:tcW w:w="7900" w:type="dxa"/>
            <w:vAlign w:val="bottom"/>
            <w:gridSpan w:val="13"/>
          </w:tcPr>
          <w:p>
            <w:pPr>
              <w:spacing w:after="0"/>
              <w:rPr>
                <w:sz w:val="17"/>
                <w:szCs w:val="17"/>
                <w:color w:val="auto"/>
              </w:rPr>
            </w:pP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79</w:t>
            </w:r>
          </w:p>
        </w:tc>
      </w:tr>
      <w:tr>
        <w:trPr>
          <w:trHeight w:val="20"/>
        </w:trPr>
        <w:tc>
          <w:tcPr>
            <w:tcW w:w="16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04"/>
        </w:trPr>
        <w:tc>
          <w:tcPr>
            <w:tcW w:w="160" w:type="dxa"/>
            <w:vAlign w:val="bottom"/>
          </w:tcPr>
          <w:p>
            <w:pPr>
              <w:spacing w:after="0"/>
              <w:rPr>
                <w:sz w:val="17"/>
                <w:szCs w:val="17"/>
                <w:color w:val="auto"/>
              </w:rPr>
            </w:pPr>
          </w:p>
        </w:tc>
        <w:tc>
          <w:tcPr>
            <w:tcW w:w="10460" w:type="dxa"/>
            <w:vAlign w:val="bottom"/>
            <w:gridSpan w:val="26"/>
          </w:tcPr>
          <w:p>
            <w:pPr>
              <w:spacing w:after="0" w:line="204" w:lineRule="exact"/>
              <w:rPr>
                <w:sz w:val="20"/>
                <w:szCs w:val="20"/>
                <w:color w:val="auto"/>
              </w:rPr>
            </w:pPr>
            <w:r>
              <w:rPr>
                <w:rFonts w:ascii="Times New Roman" w:cs="Times New Roman" w:eastAsia="Times New Roman" w:hAnsi="Times New Roman"/>
                <w:sz w:val="18"/>
                <w:szCs w:val="18"/>
                <w:color w:val="0000FF"/>
              </w:rPr>
              <w:t>Item 9C— Disclosure Regarding Foreign Jurisdictions that Prevent Inspections</w:t>
            </w: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79</w:t>
            </w:r>
          </w:p>
        </w:tc>
      </w:tr>
      <w:tr>
        <w:trPr>
          <w:trHeight w:val="20"/>
        </w:trPr>
        <w:tc>
          <w:tcPr>
            <w:tcW w:w="1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4"/>
        </w:trPr>
        <w:tc>
          <w:tcPr>
            <w:tcW w:w="700" w:type="dxa"/>
            <w:vAlign w:val="bottom"/>
            <w:gridSpan w:val="4"/>
          </w:tcPr>
          <w:p>
            <w:pPr>
              <w:spacing w:after="0" w:line="204" w:lineRule="exact"/>
              <w:rPr>
                <w:sz w:val="20"/>
                <w:szCs w:val="20"/>
                <w:color w:val="auto"/>
              </w:rPr>
            </w:pPr>
            <w:r>
              <w:rPr>
                <w:rFonts w:ascii="Times New Roman" w:cs="Times New Roman" w:eastAsia="Times New Roman" w:hAnsi="Times New Roman"/>
                <w:sz w:val="18"/>
                <w:szCs w:val="18"/>
                <w:b w:val="1"/>
                <w:bCs w:val="1"/>
                <w:color w:val="0000FF"/>
                <w:w w:val="88"/>
              </w:rPr>
              <w:t>PART III</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80</w:t>
            </w:r>
          </w:p>
        </w:tc>
      </w:tr>
      <w:tr>
        <w:trPr>
          <w:trHeight w:val="20"/>
        </w:trPr>
        <w:tc>
          <w:tcPr>
            <w:tcW w:w="16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1120" w:type="dxa"/>
            <w:vAlign w:val="bottom"/>
            <w:gridSpan w:val="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04"/>
        </w:trPr>
        <w:tc>
          <w:tcPr>
            <w:tcW w:w="160" w:type="dxa"/>
            <w:vAlign w:val="bottom"/>
          </w:tcPr>
          <w:p>
            <w:pPr>
              <w:spacing w:after="0"/>
              <w:rPr>
                <w:sz w:val="17"/>
                <w:szCs w:val="17"/>
                <w:color w:val="auto"/>
              </w:rPr>
            </w:pPr>
          </w:p>
        </w:tc>
        <w:tc>
          <w:tcPr>
            <w:tcW w:w="540" w:type="dxa"/>
            <w:vAlign w:val="bottom"/>
            <w:gridSpan w:val="3"/>
          </w:tcPr>
          <w:p>
            <w:pPr>
              <w:spacing w:after="0" w:line="204" w:lineRule="exact"/>
              <w:rPr>
                <w:sz w:val="20"/>
                <w:szCs w:val="20"/>
                <w:color w:val="auto"/>
              </w:rPr>
            </w:pPr>
            <w:r>
              <w:rPr>
                <w:rFonts w:ascii="Times New Roman" w:cs="Times New Roman" w:eastAsia="Times New Roman" w:hAnsi="Times New Roman"/>
                <w:sz w:val="18"/>
                <w:szCs w:val="18"/>
                <w:color w:val="0000FF"/>
                <w:w w:val="90"/>
              </w:rPr>
              <w:t>Item 10</w:t>
            </w:r>
          </w:p>
        </w:tc>
        <w:tc>
          <w:tcPr>
            <w:tcW w:w="4260" w:type="dxa"/>
            <w:vAlign w:val="bottom"/>
            <w:gridSpan w:val="15"/>
          </w:tcPr>
          <w:p>
            <w:pPr>
              <w:ind w:left="40"/>
              <w:spacing w:after="0" w:line="204" w:lineRule="exact"/>
              <w:rPr>
                <w:sz w:val="20"/>
                <w:szCs w:val="20"/>
                <w:color w:val="auto"/>
              </w:rPr>
            </w:pPr>
            <w:r>
              <w:rPr>
                <w:rFonts w:ascii="Times New Roman" w:cs="Times New Roman" w:eastAsia="Times New Roman" w:hAnsi="Times New Roman"/>
                <w:sz w:val="18"/>
                <w:szCs w:val="18"/>
                <w:color w:val="0000FF"/>
                <w:w w:val="97"/>
              </w:rPr>
              <w:t>— Directors, Executive Officers and Corporate Governance</w:t>
            </w:r>
          </w:p>
        </w:tc>
        <w:tc>
          <w:tcPr>
            <w:tcW w:w="5660" w:type="dxa"/>
            <w:vAlign w:val="bottom"/>
            <w:gridSpan w:val="8"/>
          </w:tcPr>
          <w:p>
            <w:pPr>
              <w:spacing w:after="0"/>
              <w:rPr>
                <w:sz w:val="17"/>
                <w:szCs w:val="17"/>
                <w:color w:val="auto"/>
              </w:rPr>
            </w:pP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80</w:t>
            </w:r>
          </w:p>
        </w:tc>
      </w:tr>
      <w:tr>
        <w:trPr>
          <w:trHeight w:val="20"/>
        </w:trPr>
        <w:tc>
          <w:tcPr>
            <w:tcW w:w="1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4"/>
        </w:trPr>
        <w:tc>
          <w:tcPr>
            <w:tcW w:w="160" w:type="dxa"/>
            <w:vAlign w:val="bottom"/>
          </w:tcPr>
          <w:p>
            <w:pPr>
              <w:spacing w:after="0"/>
              <w:rPr>
                <w:sz w:val="17"/>
                <w:szCs w:val="17"/>
                <w:color w:val="auto"/>
              </w:rPr>
            </w:pPr>
          </w:p>
        </w:tc>
        <w:tc>
          <w:tcPr>
            <w:tcW w:w="2560" w:type="dxa"/>
            <w:vAlign w:val="bottom"/>
            <w:gridSpan w:val="13"/>
          </w:tcPr>
          <w:p>
            <w:pPr>
              <w:spacing w:after="0" w:line="204" w:lineRule="exact"/>
              <w:rPr>
                <w:sz w:val="20"/>
                <w:szCs w:val="20"/>
                <w:color w:val="auto"/>
              </w:rPr>
            </w:pPr>
            <w:r>
              <w:rPr>
                <w:rFonts w:ascii="Times New Roman" w:cs="Times New Roman" w:eastAsia="Times New Roman" w:hAnsi="Times New Roman"/>
                <w:sz w:val="18"/>
                <w:szCs w:val="18"/>
                <w:color w:val="0000FF"/>
                <w:w w:val="96"/>
              </w:rPr>
              <w:t>Item 11 — Executive Compensation</w:t>
            </w:r>
          </w:p>
        </w:tc>
        <w:tc>
          <w:tcPr>
            <w:tcW w:w="2240" w:type="dxa"/>
            <w:vAlign w:val="bottom"/>
            <w:gridSpan w:val="5"/>
          </w:tcPr>
          <w:p>
            <w:pPr>
              <w:spacing w:after="0"/>
              <w:rPr>
                <w:sz w:val="17"/>
                <w:szCs w:val="17"/>
                <w:color w:val="auto"/>
              </w:rPr>
            </w:pPr>
          </w:p>
        </w:tc>
        <w:tc>
          <w:tcPr>
            <w:tcW w:w="5660" w:type="dxa"/>
            <w:vAlign w:val="bottom"/>
            <w:gridSpan w:val="8"/>
          </w:tcPr>
          <w:p>
            <w:pPr>
              <w:spacing w:after="0"/>
              <w:rPr>
                <w:sz w:val="17"/>
                <w:szCs w:val="17"/>
                <w:color w:val="auto"/>
              </w:rPr>
            </w:pP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80</w:t>
            </w:r>
          </w:p>
        </w:tc>
      </w:tr>
      <w:tr>
        <w:trPr>
          <w:trHeight w:val="20"/>
        </w:trPr>
        <w:tc>
          <w:tcPr>
            <w:tcW w:w="1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4"/>
        </w:trPr>
        <w:tc>
          <w:tcPr>
            <w:tcW w:w="160" w:type="dxa"/>
            <w:vAlign w:val="bottom"/>
          </w:tcPr>
          <w:p>
            <w:pPr>
              <w:spacing w:after="0"/>
              <w:rPr>
                <w:sz w:val="17"/>
                <w:szCs w:val="17"/>
                <w:color w:val="auto"/>
              </w:rPr>
            </w:pPr>
          </w:p>
        </w:tc>
        <w:tc>
          <w:tcPr>
            <w:tcW w:w="540" w:type="dxa"/>
            <w:vAlign w:val="bottom"/>
            <w:gridSpan w:val="3"/>
          </w:tcPr>
          <w:p>
            <w:pPr>
              <w:spacing w:after="0" w:line="204" w:lineRule="exact"/>
              <w:rPr>
                <w:sz w:val="20"/>
                <w:szCs w:val="20"/>
                <w:color w:val="auto"/>
              </w:rPr>
            </w:pPr>
            <w:r>
              <w:rPr>
                <w:rFonts w:ascii="Times New Roman" w:cs="Times New Roman" w:eastAsia="Times New Roman" w:hAnsi="Times New Roman"/>
                <w:sz w:val="18"/>
                <w:szCs w:val="18"/>
                <w:color w:val="0000FF"/>
                <w:w w:val="90"/>
              </w:rPr>
              <w:t>Item 12</w:t>
            </w:r>
          </w:p>
        </w:tc>
        <w:tc>
          <w:tcPr>
            <w:tcW w:w="9920" w:type="dxa"/>
            <w:vAlign w:val="bottom"/>
            <w:gridSpan w:val="23"/>
          </w:tcPr>
          <w:p>
            <w:pPr>
              <w:ind w:left="40"/>
              <w:spacing w:after="0" w:line="204" w:lineRule="exact"/>
              <w:rPr>
                <w:sz w:val="20"/>
                <w:szCs w:val="20"/>
                <w:color w:val="auto"/>
              </w:rPr>
            </w:pPr>
            <w:r>
              <w:rPr>
                <w:rFonts w:ascii="Times New Roman" w:cs="Times New Roman" w:eastAsia="Times New Roman" w:hAnsi="Times New Roman"/>
                <w:sz w:val="18"/>
                <w:szCs w:val="18"/>
                <w:color w:val="0000FF"/>
              </w:rPr>
              <w:t>— Security Ownership of Certain Beneficial Owners and Management and Related Stockholder Matters</w:t>
            </w: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80</w:t>
            </w:r>
          </w:p>
        </w:tc>
      </w:tr>
      <w:tr>
        <w:trPr>
          <w:trHeight w:val="20"/>
        </w:trPr>
        <w:tc>
          <w:tcPr>
            <w:tcW w:w="1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4"/>
        </w:trPr>
        <w:tc>
          <w:tcPr>
            <w:tcW w:w="160" w:type="dxa"/>
            <w:vAlign w:val="bottom"/>
          </w:tcPr>
          <w:p>
            <w:pPr>
              <w:spacing w:after="0"/>
              <w:rPr>
                <w:sz w:val="17"/>
                <w:szCs w:val="17"/>
                <w:color w:val="auto"/>
              </w:rPr>
            </w:pPr>
          </w:p>
        </w:tc>
        <w:tc>
          <w:tcPr>
            <w:tcW w:w="540" w:type="dxa"/>
            <w:vAlign w:val="bottom"/>
            <w:gridSpan w:val="3"/>
          </w:tcPr>
          <w:p>
            <w:pPr>
              <w:spacing w:after="0" w:line="204" w:lineRule="exact"/>
              <w:rPr>
                <w:sz w:val="20"/>
                <w:szCs w:val="20"/>
                <w:color w:val="auto"/>
              </w:rPr>
            </w:pPr>
            <w:r>
              <w:rPr>
                <w:rFonts w:ascii="Times New Roman" w:cs="Times New Roman" w:eastAsia="Times New Roman" w:hAnsi="Times New Roman"/>
                <w:sz w:val="18"/>
                <w:szCs w:val="18"/>
                <w:color w:val="0000FF"/>
                <w:w w:val="90"/>
              </w:rPr>
              <w:t>Item 13</w:t>
            </w:r>
          </w:p>
        </w:tc>
        <w:tc>
          <w:tcPr>
            <w:tcW w:w="5580" w:type="dxa"/>
            <w:vAlign w:val="bottom"/>
            <w:gridSpan w:val="18"/>
          </w:tcPr>
          <w:p>
            <w:pPr>
              <w:ind w:left="40"/>
              <w:spacing w:after="0" w:line="204" w:lineRule="exact"/>
              <w:rPr>
                <w:sz w:val="20"/>
                <w:szCs w:val="20"/>
                <w:color w:val="auto"/>
              </w:rPr>
            </w:pPr>
            <w:r>
              <w:rPr>
                <w:rFonts w:ascii="Times New Roman" w:cs="Times New Roman" w:eastAsia="Times New Roman" w:hAnsi="Times New Roman"/>
                <w:sz w:val="18"/>
                <w:szCs w:val="18"/>
                <w:color w:val="0000FF"/>
                <w:w w:val="97"/>
              </w:rPr>
              <w:t>— Certain Relationships and Related Transactions, and Director Independence</w:t>
            </w:r>
          </w:p>
        </w:tc>
        <w:tc>
          <w:tcPr>
            <w:tcW w:w="1780" w:type="dxa"/>
            <w:vAlign w:val="bottom"/>
            <w:gridSpan w:val="3"/>
          </w:tcPr>
          <w:p>
            <w:pPr>
              <w:spacing w:after="0"/>
              <w:rPr>
                <w:sz w:val="17"/>
                <w:szCs w:val="17"/>
                <w:color w:val="auto"/>
              </w:rPr>
            </w:pPr>
          </w:p>
        </w:tc>
        <w:tc>
          <w:tcPr>
            <w:tcW w:w="2560" w:type="dxa"/>
            <w:vAlign w:val="bottom"/>
            <w:gridSpan w:val="2"/>
          </w:tcPr>
          <w:p>
            <w:pPr>
              <w:spacing w:after="0"/>
              <w:rPr>
                <w:sz w:val="17"/>
                <w:szCs w:val="17"/>
                <w:color w:val="auto"/>
              </w:rPr>
            </w:pP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81</w:t>
            </w:r>
          </w:p>
        </w:tc>
      </w:tr>
      <w:tr>
        <w:trPr>
          <w:trHeight w:val="20"/>
        </w:trPr>
        <w:tc>
          <w:tcPr>
            <w:tcW w:w="1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4"/>
        </w:trPr>
        <w:tc>
          <w:tcPr>
            <w:tcW w:w="160" w:type="dxa"/>
            <w:vAlign w:val="bottom"/>
          </w:tcPr>
          <w:p>
            <w:pPr>
              <w:spacing w:after="0"/>
              <w:rPr>
                <w:sz w:val="17"/>
                <w:szCs w:val="17"/>
                <w:color w:val="auto"/>
              </w:rPr>
            </w:pPr>
          </w:p>
        </w:tc>
        <w:tc>
          <w:tcPr>
            <w:tcW w:w="540" w:type="dxa"/>
            <w:vAlign w:val="bottom"/>
            <w:gridSpan w:val="3"/>
          </w:tcPr>
          <w:p>
            <w:pPr>
              <w:spacing w:after="0" w:line="204" w:lineRule="exact"/>
              <w:rPr>
                <w:sz w:val="20"/>
                <w:szCs w:val="20"/>
                <w:color w:val="auto"/>
              </w:rPr>
            </w:pPr>
            <w:r>
              <w:rPr>
                <w:rFonts w:ascii="Times New Roman" w:cs="Times New Roman" w:eastAsia="Times New Roman" w:hAnsi="Times New Roman"/>
                <w:sz w:val="18"/>
                <w:szCs w:val="18"/>
                <w:color w:val="0000FF"/>
                <w:w w:val="90"/>
              </w:rPr>
              <w:t>Item 14</w:t>
            </w:r>
          </w:p>
        </w:tc>
        <w:tc>
          <w:tcPr>
            <w:tcW w:w="3060" w:type="dxa"/>
            <w:vAlign w:val="bottom"/>
            <w:gridSpan w:val="12"/>
          </w:tcPr>
          <w:p>
            <w:pPr>
              <w:ind w:left="40"/>
              <w:spacing w:after="0" w:line="204" w:lineRule="exact"/>
              <w:rPr>
                <w:sz w:val="20"/>
                <w:szCs w:val="20"/>
                <w:color w:val="auto"/>
              </w:rPr>
            </w:pPr>
            <w:r>
              <w:rPr>
                <w:rFonts w:ascii="Times New Roman" w:cs="Times New Roman" w:eastAsia="Times New Roman" w:hAnsi="Times New Roman"/>
                <w:sz w:val="18"/>
                <w:szCs w:val="18"/>
                <w:color w:val="0000FF"/>
                <w:w w:val="96"/>
              </w:rPr>
              <w:t>— Principal Accounting Fees and Services</w:t>
            </w:r>
          </w:p>
        </w:tc>
        <w:tc>
          <w:tcPr>
            <w:tcW w:w="2520" w:type="dxa"/>
            <w:vAlign w:val="bottom"/>
            <w:gridSpan w:val="6"/>
          </w:tcPr>
          <w:p>
            <w:pPr>
              <w:spacing w:after="0"/>
              <w:rPr>
                <w:sz w:val="17"/>
                <w:szCs w:val="17"/>
                <w:color w:val="auto"/>
              </w:rPr>
            </w:pPr>
          </w:p>
        </w:tc>
        <w:tc>
          <w:tcPr>
            <w:tcW w:w="4340" w:type="dxa"/>
            <w:vAlign w:val="bottom"/>
            <w:gridSpan w:val="5"/>
          </w:tcPr>
          <w:p>
            <w:pPr>
              <w:spacing w:after="0"/>
              <w:rPr>
                <w:sz w:val="17"/>
                <w:szCs w:val="17"/>
                <w:color w:val="auto"/>
              </w:rPr>
            </w:pP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81</w:t>
            </w:r>
          </w:p>
        </w:tc>
      </w:tr>
      <w:tr>
        <w:trPr>
          <w:trHeight w:val="20"/>
        </w:trPr>
        <w:tc>
          <w:tcPr>
            <w:tcW w:w="1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4"/>
        </w:trPr>
        <w:tc>
          <w:tcPr>
            <w:tcW w:w="700" w:type="dxa"/>
            <w:vAlign w:val="bottom"/>
            <w:gridSpan w:val="4"/>
          </w:tcPr>
          <w:p>
            <w:pPr>
              <w:spacing w:after="0" w:line="204" w:lineRule="exact"/>
              <w:rPr>
                <w:sz w:val="20"/>
                <w:szCs w:val="20"/>
                <w:color w:val="auto"/>
              </w:rPr>
            </w:pPr>
            <w:r>
              <w:rPr>
                <w:rFonts w:ascii="Times New Roman" w:cs="Times New Roman" w:eastAsia="Times New Roman" w:hAnsi="Times New Roman"/>
                <w:sz w:val="18"/>
                <w:szCs w:val="18"/>
                <w:b w:val="1"/>
                <w:bCs w:val="1"/>
                <w:color w:val="0000FF"/>
                <w:w w:val="89"/>
              </w:rPr>
              <w:t>PART IV</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82</w:t>
            </w:r>
          </w:p>
        </w:tc>
      </w:tr>
      <w:tr>
        <w:trPr>
          <w:trHeight w:val="20"/>
        </w:trPr>
        <w:tc>
          <w:tcPr>
            <w:tcW w:w="16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gridSpan w:val="7"/>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658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04"/>
        </w:trPr>
        <w:tc>
          <w:tcPr>
            <w:tcW w:w="160" w:type="dxa"/>
            <w:vAlign w:val="bottom"/>
          </w:tcPr>
          <w:p>
            <w:pPr>
              <w:spacing w:after="0"/>
              <w:rPr>
                <w:sz w:val="17"/>
                <w:szCs w:val="17"/>
                <w:color w:val="auto"/>
              </w:rPr>
            </w:pPr>
          </w:p>
        </w:tc>
        <w:tc>
          <w:tcPr>
            <w:tcW w:w="540" w:type="dxa"/>
            <w:vAlign w:val="bottom"/>
            <w:gridSpan w:val="3"/>
          </w:tcPr>
          <w:p>
            <w:pPr>
              <w:spacing w:after="0" w:line="204" w:lineRule="exact"/>
              <w:rPr>
                <w:sz w:val="20"/>
                <w:szCs w:val="20"/>
                <w:color w:val="auto"/>
              </w:rPr>
            </w:pPr>
            <w:r>
              <w:rPr>
                <w:rFonts w:ascii="Times New Roman" w:cs="Times New Roman" w:eastAsia="Times New Roman" w:hAnsi="Times New Roman"/>
                <w:sz w:val="18"/>
                <w:szCs w:val="18"/>
                <w:color w:val="0000FF"/>
                <w:w w:val="90"/>
              </w:rPr>
              <w:t>Item 15</w:t>
            </w:r>
          </w:p>
        </w:tc>
        <w:tc>
          <w:tcPr>
            <w:tcW w:w="9920" w:type="dxa"/>
            <w:vAlign w:val="bottom"/>
            <w:gridSpan w:val="23"/>
          </w:tcPr>
          <w:p>
            <w:pPr>
              <w:ind w:left="40"/>
              <w:spacing w:after="0" w:line="204" w:lineRule="exact"/>
              <w:rPr>
                <w:sz w:val="20"/>
                <w:szCs w:val="20"/>
                <w:color w:val="auto"/>
              </w:rPr>
            </w:pPr>
            <w:r>
              <w:rPr>
                <w:rFonts w:ascii="Times New Roman" w:cs="Times New Roman" w:eastAsia="Times New Roman" w:hAnsi="Times New Roman"/>
                <w:sz w:val="18"/>
                <w:szCs w:val="18"/>
                <w:color w:val="0000FF"/>
              </w:rPr>
              <w:t>— Exhibits and Financial Statement Schedules</w:t>
            </w: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82</w:t>
            </w:r>
          </w:p>
        </w:tc>
      </w:tr>
      <w:tr>
        <w:trPr>
          <w:trHeight w:val="20"/>
        </w:trPr>
        <w:tc>
          <w:tcPr>
            <w:tcW w:w="16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1120" w:type="dxa"/>
            <w:vAlign w:val="bottom"/>
            <w:gridSpan w:val="7"/>
            <w:shd w:val="clear" w:color="auto" w:fill="0000FF"/>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658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04"/>
        </w:trPr>
        <w:tc>
          <w:tcPr>
            <w:tcW w:w="10620" w:type="dxa"/>
            <w:vAlign w:val="bottom"/>
            <w:gridSpan w:val="27"/>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EXHIBIT INDEX</w:t>
            </w:r>
          </w:p>
        </w:tc>
        <w:tc>
          <w:tcPr>
            <w:tcW w:w="2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162</w:t>
            </w:r>
          </w:p>
        </w:tc>
      </w:tr>
      <w:tr>
        <w:trPr>
          <w:trHeight w:val="20"/>
        </w:trPr>
        <w:tc>
          <w:tcPr>
            <w:tcW w:w="16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7"/>
          </w:tcPr>
          <w:p>
            <w:pPr>
              <w:spacing w:after="0" w:line="20" w:lineRule="exact"/>
              <w:rPr>
                <w:sz w:val="1"/>
                <w:szCs w:val="1"/>
                <w:color w:val="auto"/>
              </w:rPr>
            </w:pPr>
          </w:p>
        </w:tc>
        <w:tc>
          <w:tcPr>
            <w:tcW w:w="8140" w:type="dxa"/>
            <w:vAlign w:val="bottom"/>
            <w:gridSpan w:val="15"/>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04"/>
        </w:trPr>
        <w:tc>
          <w:tcPr>
            <w:tcW w:w="160" w:type="dxa"/>
            <w:vAlign w:val="bottom"/>
          </w:tcPr>
          <w:p>
            <w:pPr>
              <w:spacing w:after="0"/>
              <w:rPr>
                <w:sz w:val="17"/>
                <w:szCs w:val="17"/>
                <w:color w:val="auto"/>
              </w:rPr>
            </w:pPr>
          </w:p>
        </w:tc>
        <w:tc>
          <w:tcPr>
            <w:tcW w:w="540" w:type="dxa"/>
            <w:vAlign w:val="bottom"/>
            <w:tcBorders>
              <w:bottom w:val="single" w:sz="8" w:color="0000FF"/>
            </w:tcBorders>
            <w:gridSpan w:val="3"/>
          </w:tcPr>
          <w:p>
            <w:pPr>
              <w:spacing w:after="0" w:line="204" w:lineRule="exact"/>
              <w:rPr>
                <w:sz w:val="20"/>
                <w:szCs w:val="20"/>
                <w:color w:val="auto"/>
              </w:rPr>
            </w:pPr>
            <w:r>
              <w:rPr>
                <w:rFonts w:ascii="Times New Roman" w:cs="Times New Roman" w:eastAsia="Times New Roman" w:hAnsi="Times New Roman"/>
                <w:sz w:val="18"/>
                <w:szCs w:val="18"/>
                <w:color w:val="0000FF"/>
                <w:w w:val="90"/>
              </w:rPr>
              <w:t>Item 16</w:t>
            </w:r>
          </w:p>
        </w:tc>
        <w:tc>
          <w:tcPr>
            <w:tcW w:w="1780" w:type="dxa"/>
            <w:vAlign w:val="bottom"/>
            <w:tcBorders>
              <w:bottom w:val="single" w:sz="8" w:color="0000FF"/>
            </w:tcBorders>
            <w:gridSpan w:val="8"/>
          </w:tcPr>
          <w:p>
            <w:pPr>
              <w:ind w:left="40"/>
              <w:spacing w:after="0" w:line="204" w:lineRule="exact"/>
              <w:rPr>
                <w:sz w:val="20"/>
                <w:szCs w:val="20"/>
                <w:color w:val="auto"/>
              </w:rPr>
            </w:pPr>
            <w:r>
              <w:rPr>
                <w:rFonts w:ascii="Times New Roman" w:cs="Times New Roman" w:eastAsia="Times New Roman" w:hAnsi="Times New Roman"/>
                <w:sz w:val="18"/>
                <w:szCs w:val="18"/>
                <w:color w:val="0000FF"/>
                <w:w w:val="96"/>
              </w:rPr>
              <w:t>— Form 10-K Summary</w:t>
            </w:r>
          </w:p>
        </w:tc>
        <w:tc>
          <w:tcPr>
            <w:tcW w:w="8140" w:type="dxa"/>
            <w:vAlign w:val="bottom"/>
            <w:gridSpan w:val="15"/>
          </w:tcPr>
          <w:p>
            <w:pPr>
              <w:spacing w:after="0"/>
              <w:rPr>
                <w:sz w:val="17"/>
                <w:szCs w:val="17"/>
                <w:color w:val="auto"/>
              </w:rPr>
            </w:pPr>
          </w:p>
        </w:tc>
        <w:tc>
          <w:tcPr>
            <w:tcW w:w="260" w:type="dxa"/>
            <w:vAlign w:val="bottom"/>
            <w:tcBorders>
              <w:bottom w:val="single" w:sz="8" w:color="0000FF"/>
            </w:tcBorders>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167</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67945</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80"/>
          </w:cols>
          <w:pgMar w:left="500" w:top="1440" w:right="5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p>
        </w:tc>
        <w:tc>
          <w:tcPr>
            <w:tcW w:w="8800" w:type="dxa"/>
            <w:vAlign w:val="bottom"/>
          </w:tcPr>
          <w:p>
            <w:pPr>
              <w:ind w:left="2500"/>
              <w:spacing w:after="0"/>
              <w:rPr>
                <w:sz w:val="20"/>
                <w:szCs w:val="20"/>
                <w:color w:val="auto"/>
              </w:rPr>
            </w:pPr>
            <w:r>
              <w:rPr>
                <w:rFonts w:ascii="Times New Roman" w:cs="Times New Roman" w:eastAsia="Times New Roman" w:hAnsi="Times New Roman"/>
                <w:sz w:val="18"/>
                <w:szCs w:val="18"/>
                <w:b w:val="1"/>
                <w:bCs w:val="1"/>
                <w:color w:val="auto"/>
              </w:rPr>
              <w:t>Glossary of Terms</w:t>
            </w:r>
          </w:p>
        </w:tc>
        <w:tc>
          <w:tcPr>
            <w:tcW w:w="0" w:type="dxa"/>
            <w:vAlign w:val="bottom"/>
          </w:tcPr>
          <w:p>
            <w:pPr>
              <w:spacing w:after="0"/>
              <w:rPr>
                <w:sz w:val="1"/>
                <w:szCs w:val="1"/>
                <w:color w:val="auto"/>
              </w:rPr>
            </w:pPr>
          </w:p>
        </w:tc>
      </w:tr>
      <w:tr>
        <w:trPr>
          <w:trHeight w:val="355"/>
        </w:trPr>
        <w:tc>
          <w:tcPr>
            <w:tcW w:w="1124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When the following terms and abbreviations appear in the text of this report, they have the meanings indicated below:</w:t>
            </w:r>
          </w:p>
        </w:tc>
        <w:tc>
          <w:tcPr>
            <w:tcW w:w="0" w:type="dxa"/>
            <w:vAlign w:val="bottom"/>
          </w:tcPr>
          <w:p>
            <w:pPr>
              <w:spacing w:after="0"/>
              <w:rPr>
                <w:sz w:val="1"/>
                <w:szCs w:val="1"/>
                <w:color w:val="auto"/>
              </w:rPr>
            </w:pPr>
          </w:p>
        </w:tc>
      </w:tr>
      <w:tr>
        <w:trPr>
          <w:trHeight w:val="245"/>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ACE</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Affordable Clean Energy</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Adjusted earnings before interest, taxes, depreciation and amortization</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AESO</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Alberta Electric System Operator</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ARO</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ASC</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 FASB Accounting Standards Codification, which the FASB established as the source of authoritative GAAP</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ASR</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Accelerated Share Repurchase</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ASU</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Accounting Standards Updates – updates to the ASC</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AUC</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Alberta Utilities Commission</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BTU</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British Thermal Unit</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Business</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NRG Business, which serves business customers</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CAA</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Clean Air Act</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CAISO</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California Independent System Operator</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CAMT</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15% Corporate Alternative Minimum Tax enacted by the IRA on August 16, 2022</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CDD</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Cooling Degree Day</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Cedar Bayou 5</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Cedar Bayou Unit 5 generation facility, a 689 MW natural gas-fueled combined cycle plant</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CFTC</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U.S. Commodity Futures Trading Commission</w:t>
            </w:r>
          </w:p>
        </w:tc>
        <w:tc>
          <w:tcPr>
            <w:tcW w:w="0" w:type="dxa"/>
            <w:vAlign w:val="bottom"/>
          </w:tcPr>
          <w:p>
            <w:pPr>
              <w:spacing w:after="0"/>
              <w:rPr>
                <w:sz w:val="1"/>
                <w:szCs w:val="1"/>
                <w:color w:val="auto"/>
              </w:rPr>
            </w:pPr>
          </w:p>
        </w:tc>
      </w:tr>
      <w:tr>
        <w:trPr>
          <w:trHeight w:val="228"/>
        </w:trPr>
        <w:tc>
          <w:tcPr>
            <w:tcW w:w="2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w:t>
            </w:r>
            <w:r>
              <w:rPr>
                <w:rFonts w:ascii="Times New Roman" w:cs="Times New Roman" w:eastAsia="Times New Roman" w:hAnsi="Times New Roman"/>
                <w:sz w:val="18"/>
                <w:szCs w:val="18"/>
                <w:color w:val="auto"/>
                <w:vertAlign w:val="subscript"/>
              </w:rPr>
              <w:t>2</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Carbon Dioxide</w:t>
            </w:r>
          </w:p>
        </w:tc>
        <w:tc>
          <w:tcPr>
            <w:tcW w:w="0" w:type="dxa"/>
            <w:vAlign w:val="bottom"/>
          </w:tcPr>
          <w:p>
            <w:pPr>
              <w:spacing w:after="0"/>
              <w:rPr>
                <w:sz w:val="1"/>
                <w:szCs w:val="1"/>
                <w:color w:val="auto"/>
              </w:rPr>
            </w:pPr>
          </w:p>
        </w:tc>
      </w:tr>
      <w:tr>
        <w:trPr>
          <w:trHeight w:val="132"/>
        </w:trPr>
        <w:tc>
          <w:tcPr>
            <w:tcW w:w="2440" w:type="dxa"/>
            <w:vAlign w:val="bottom"/>
            <w:vMerge w:val="continue"/>
          </w:tcPr>
          <w:p>
            <w:pPr>
              <w:spacing w:after="0"/>
              <w:rPr>
                <w:sz w:val="11"/>
                <w:szCs w:val="11"/>
                <w:color w:val="auto"/>
              </w:rPr>
            </w:pPr>
          </w:p>
        </w:tc>
        <w:tc>
          <w:tcPr>
            <w:tcW w:w="8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7"/>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e</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Carbon Dioxide Equivalents</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NRG Energy, Inc.</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CONE</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Cost of New Entry</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Convertible Senior Notes</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NRG’s unsecured 2.750% Convertible Senior Notes due 2048, which were redeemed on July 8, 2025</w:t>
            </w:r>
          </w:p>
        </w:tc>
        <w:tc>
          <w:tcPr>
            <w:tcW w:w="0" w:type="dxa"/>
            <w:vAlign w:val="bottom"/>
          </w:tcPr>
          <w:p>
            <w:pPr>
              <w:spacing w:after="0"/>
              <w:rPr>
                <w:sz w:val="1"/>
                <w:szCs w:val="1"/>
                <w:color w:val="auto"/>
              </w:rPr>
            </w:pPr>
          </w:p>
        </w:tc>
      </w:tr>
      <w:tr>
        <w:trPr>
          <w:trHeight w:val="176"/>
        </w:trPr>
        <w:tc>
          <w:tcPr>
            <w:tcW w:w="244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Cottonwood</w:t>
            </w:r>
          </w:p>
        </w:tc>
        <w:tc>
          <w:tcPr>
            <w:tcW w:w="8800" w:type="dxa"/>
            <w:vAlign w:val="bottom"/>
          </w:tcPr>
          <w:p>
            <w:pPr>
              <w:ind w:left="620"/>
              <w:spacing w:after="0" w:line="176" w:lineRule="exact"/>
              <w:rPr>
                <w:sz w:val="20"/>
                <w:szCs w:val="20"/>
                <w:color w:val="auto"/>
              </w:rPr>
            </w:pPr>
            <w:r>
              <w:rPr>
                <w:rFonts w:ascii="Times New Roman" w:cs="Times New Roman" w:eastAsia="Times New Roman" w:hAnsi="Times New Roman"/>
                <w:sz w:val="18"/>
                <w:szCs w:val="18"/>
                <w:color w:val="auto"/>
                <w:w w:val="99"/>
              </w:rPr>
              <w:t>Cottonwood Generating Station, a 1,139 MW natural gas-fueled plant. NRG leased and operated the plant through</w:t>
            </w:r>
          </w:p>
        </w:tc>
        <w:tc>
          <w:tcPr>
            <w:tcW w:w="0" w:type="dxa"/>
            <w:vAlign w:val="bottom"/>
          </w:tcPr>
          <w:p>
            <w:pPr>
              <w:spacing w:after="0"/>
              <w:rPr>
                <w:sz w:val="1"/>
                <w:szCs w:val="1"/>
                <w:color w:val="auto"/>
              </w:rPr>
            </w:pPr>
          </w:p>
        </w:tc>
      </w:tr>
      <w:tr>
        <w:trPr>
          <w:trHeight w:val="228"/>
        </w:trPr>
        <w:tc>
          <w:tcPr>
            <w:tcW w:w="2440" w:type="dxa"/>
            <w:vAlign w:val="bottom"/>
          </w:tcPr>
          <w:p>
            <w:pPr>
              <w:spacing w:after="0"/>
              <w:rPr>
                <w:sz w:val="19"/>
                <w:szCs w:val="19"/>
                <w:color w:val="auto"/>
              </w:rPr>
            </w:pP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May 2025</w:t>
            </w:r>
          </w:p>
        </w:tc>
        <w:tc>
          <w:tcPr>
            <w:tcW w:w="0" w:type="dxa"/>
            <w:vAlign w:val="bottom"/>
          </w:tcPr>
          <w:p>
            <w:pPr>
              <w:spacing w:after="0"/>
              <w:rPr>
                <w:sz w:val="1"/>
                <w:szCs w:val="1"/>
                <w:color w:val="auto"/>
              </w:rPr>
            </w:pPr>
          </w:p>
        </w:tc>
      </w:tr>
      <w:tr>
        <w:trPr>
          <w:trHeight w:val="227"/>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CPP</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Clean Power Plan</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CPUC</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California Public Utilities Commission</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D.C. Circuit</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U.S. Court of Appeals for the District of Columbia Circuit</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DOJ</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U.S. Department of Justice</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DSI</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Dry Sorbent Injection</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DSU</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Deferred Stock Unit</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Dth</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Dekatherms</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Dual fuel customers</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Customer that have both electricity and natural gas service with the Company</w:t>
            </w:r>
          </w:p>
        </w:tc>
        <w:tc>
          <w:tcPr>
            <w:tcW w:w="0" w:type="dxa"/>
            <w:vAlign w:val="bottom"/>
          </w:tcPr>
          <w:p>
            <w:pPr>
              <w:spacing w:after="0"/>
              <w:rPr>
                <w:sz w:val="1"/>
                <w:szCs w:val="1"/>
                <w:color w:val="auto"/>
              </w:rPr>
            </w:pPr>
          </w:p>
        </w:tc>
      </w:tr>
      <w:tr>
        <w:trPr>
          <w:trHeight w:val="176"/>
        </w:trPr>
        <w:tc>
          <w:tcPr>
            <w:tcW w:w="244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Economic gross margin</w:t>
            </w:r>
          </w:p>
        </w:tc>
        <w:tc>
          <w:tcPr>
            <w:tcW w:w="8800" w:type="dxa"/>
            <w:vAlign w:val="bottom"/>
          </w:tcPr>
          <w:p>
            <w:pPr>
              <w:ind w:left="620"/>
              <w:spacing w:after="0" w:line="176" w:lineRule="exact"/>
              <w:rPr>
                <w:sz w:val="20"/>
                <w:szCs w:val="20"/>
                <w:color w:val="auto"/>
              </w:rPr>
            </w:pPr>
            <w:r>
              <w:rPr>
                <w:rFonts w:ascii="Times New Roman" w:cs="Times New Roman" w:eastAsia="Times New Roman" w:hAnsi="Times New Roman"/>
                <w:sz w:val="18"/>
                <w:szCs w:val="18"/>
                <w:color w:val="auto"/>
                <w:w w:val="97"/>
              </w:rPr>
              <w:t>Sum of retail revenue, energy revenue, capacity revenue and other revenue, less cost of fuels, purchased energy and</w:t>
            </w:r>
          </w:p>
        </w:tc>
        <w:tc>
          <w:tcPr>
            <w:tcW w:w="0" w:type="dxa"/>
            <w:vAlign w:val="bottom"/>
          </w:tcPr>
          <w:p>
            <w:pPr>
              <w:spacing w:after="0"/>
              <w:rPr>
                <w:sz w:val="1"/>
                <w:szCs w:val="1"/>
                <w:color w:val="auto"/>
              </w:rPr>
            </w:pPr>
          </w:p>
        </w:tc>
      </w:tr>
      <w:tr>
        <w:trPr>
          <w:trHeight w:val="228"/>
        </w:trPr>
        <w:tc>
          <w:tcPr>
            <w:tcW w:w="2440" w:type="dxa"/>
            <w:vAlign w:val="bottom"/>
          </w:tcPr>
          <w:p>
            <w:pPr>
              <w:spacing w:after="0"/>
              <w:rPr>
                <w:sz w:val="19"/>
                <w:szCs w:val="19"/>
                <w:color w:val="auto"/>
              </w:rPr>
            </w:pP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other cost of sales</w:t>
            </w:r>
          </w:p>
        </w:tc>
        <w:tc>
          <w:tcPr>
            <w:tcW w:w="0" w:type="dxa"/>
            <w:vAlign w:val="bottom"/>
          </w:tcPr>
          <w:p>
            <w:pPr>
              <w:spacing w:after="0"/>
              <w:rPr>
                <w:sz w:val="1"/>
                <w:szCs w:val="1"/>
                <w:color w:val="auto"/>
              </w:rPr>
            </w:pPr>
          </w:p>
        </w:tc>
      </w:tr>
      <w:tr>
        <w:trPr>
          <w:trHeight w:val="227"/>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EGU</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Electric Generating Unit</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ELG</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Effluent Limitations Guidelines which are EPA regulations issued under the federal Clean Water Act</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EPA</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U.S. Environmental Protection Agency</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EPC</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Engineering, Procurement and Construction</w:t>
            </w:r>
          </w:p>
        </w:tc>
        <w:tc>
          <w:tcPr>
            <w:tcW w:w="0" w:type="dxa"/>
            <w:vAlign w:val="bottom"/>
          </w:tcPr>
          <w:p>
            <w:pPr>
              <w:spacing w:after="0"/>
              <w:rPr>
                <w:sz w:val="1"/>
                <w:szCs w:val="1"/>
                <w:color w:val="auto"/>
              </w:rPr>
            </w:pPr>
          </w:p>
        </w:tc>
      </w:tr>
      <w:tr>
        <w:trPr>
          <w:trHeight w:val="176"/>
        </w:trPr>
        <w:tc>
          <w:tcPr>
            <w:tcW w:w="244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ERCOT</w:t>
            </w:r>
          </w:p>
        </w:tc>
        <w:tc>
          <w:tcPr>
            <w:tcW w:w="8800" w:type="dxa"/>
            <w:vAlign w:val="bottom"/>
          </w:tcPr>
          <w:p>
            <w:pPr>
              <w:ind w:left="620"/>
              <w:spacing w:after="0" w:line="176" w:lineRule="exact"/>
              <w:rPr>
                <w:sz w:val="20"/>
                <w:szCs w:val="20"/>
                <w:color w:val="auto"/>
              </w:rPr>
            </w:pPr>
            <w:r>
              <w:rPr>
                <w:rFonts w:ascii="Times New Roman" w:cs="Times New Roman" w:eastAsia="Times New Roman" w:hAnsi="Times New Roman"/>
                <w:sz w:val="18"/>
                <w:szCs w:val="18"/>
                <w:color w:val="auto"/>
                <w:w w:val="99"/>
              </w:rPr>
              <w:t>Electric Reliability Council of Texas, the Independent System Operator and the regional reliability coordinator of</w:t>
            </w:r>
          </w:p>
        </w:tc>
        <w:tc>
          <w:tcPr>
            <w:tcW w:w="0" w:type="dxa"/>
            <w:vAlign w:val="bottom"/>
          </w:tcPr>
          <w:p>
            <w:pPr>
              <w:spacing w:after="0"/>
              <w:rPr>
                <w:sz w:val="1"/>
                <w:szCs w:val="1"/>
                <w:color w:val="auto"/>
              </w:rPr>
            </w:pPr>
          </w:p>
        </w:tc>
      </w:tr>
      <w:tr>
        <w:trPr>
          <w:trHeight w:val="228"/>
        </w:trPr>
        <w:tc>
          <w:tcPr>
            <w:tcW w:w="2440" w:type="dxa"/>
            <w:vAlign w:val="bottom"/>
          </w:tcPr>
          <w:p>
            <w:pPr>
              <w:spacing w:after="0"/>
              <w:rPr>
                <w:sz w:val="19"/>
                <w:szCs w:val="19"/>
                <w:color w:val="auto"/>
              </w:rPr>
            </w:pP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 various electricity systems within Texas</w:t>
            </w:r>
          </w:p>
        </w:tc>
        <w:tc>
          <w:tcPr>
            <w:tcW w:w="0" w:type="dxa"/>
            <w:vAlign w:val="bottom"/>
          </w:tcPr>
          <w:p>
            <w:pPr>
              <w:spacing w:after="0"/>
              <w:rPr>
                <w:sz w:val="1"/>
                <w:szCs w:val="1"/>
                <w:color w:val="auto"/>
              </w:rPr>
            </w:pPr>
          </w:p>
        </w:tc>
      </w:tr>
      <w:tr>
        <w:trPr>
          <w:trHeight w:val="227"/>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ESPP</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NRG Energy, Inc. Amended and Restated Employee Stock Purchase Plan</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Exchange Act</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FASB</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0" w:type="dxa"/>
            <w:vAlign w:val="bottom"/>
          </w:tcPr>
          <w:p>
            <w:pPr>
              <w:spacing w:after="0"/>
              <w:rPr>
                <w:sz w:val="1"/>
                <w:szCs w:val="1"/>
                <w:color w:val="auto"/>
              </w:rPr>
            </w:pPr>
          </w:p>
        </w:tc>
      </w:tr>
      <w:tr>
        <w:trPr>
          <w:trHeight w:val="228"/>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FERC</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Federal Energy Regulatory Commission</w:t>
            </w:r>
          </w:p>
        </w:tc>
        <w:tc>
          <w:tcPr>
            <w:tcW w:w="0" w:type="dxa"/>
            <w:vAlign w:val="bottom"/>
          </w:tcPr>
          <w:p>
            <w:pPr>
              <w:spacing w:after="0"/>
              <w:rPr>
                <w:sz w:val="1"/>
                <w:szCs w:val="1"/>
                <w:color w:val="auto"/>
              </w:rPr>
            </w:pPr>
          </w:p>
        </w:tc>
      </w:tr>
      <w:tr>
        <w:trPr>
          <w:trHeight w:val="829"/>
        </w:trPr>
        <w:tc>
          <w:tcPr>
            <w:tcW w:w="2440" w:type="dxa"/>
            <w:vAlign w:val="bottom"/>
          </w:tcPr>
          <w:p>
            <w:pPr>
              <w:spacing w:after="0"/>
              <w:rPr>
                <w:sz w:val="24"/>
                <w:szCs w:val="24"/>
                <w:color w:val="auto"/>
              </w:rPr>
            </w:pPr>
          </w:p>
        </w:tc>
        <w:tc>
          <w:tcPr>
            <w:tcW w:w="880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12"/>
        </w:trPr>
        <w:tc>
          <w:tcPr>
            <w:tcW w:w="2440" w:type="dxa"/>
            <w:vAlign w:val="bottom"/>
            <w:tcBorders>
              <w:bottom w:val="single" w:sz="8" w:color="9A9A9A"/>
            </w:tcBorders>
          </w:tcPr>
          <w:p>
            <w:pPr>
              <w:spacing w:after="0"/>
              <w:rPr>
                <w:sz w:val="9"/>
                <w:szCs w:val="9"/>
                <w:color w:val="auto"/>
              </w:rPr>
            </w:pPr>
          </w:p>
        </w:tc>
        <w:tc>
          <w:tcPr>
            <w:tcW w:w="88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4"/>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FGD</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Flue gas desulfurization</w:t>
            </w:r>
          </w:p>
        </w:tc>
      </w:tr>
      <w:tr>
        <w:trPr>
          <w:trHeight w:val="224"/>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FPA</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Federal Power Act</w:t>
            </w:r>
          </w:p>
        </w:tc>
      </w:tr>
      <w:tr>
        <w:trPr>
          <w:trHeight w:val="224"/>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FTRs</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Financial Transmission Rights</w:t>
            </w:r>
          </w:p>
        </w:tc>
      </w:tr>
      <w:tr>
        <w:trPr>
          <w:trHeight w:val="224"/>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GAAP</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Generally accepted accounting principles in the United States</w:t>
            </w:r>
          </w:p>
        </w:tc>
      </w:tr>
      <w:tr>
        <w:trPr>
          <w:trHeight w:val="224"/>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GHG</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Greenhouse Gas</w:t>
            </w:r>
          </w:p>
        </w:tc>
      </w:tr>
      <w:tr>
        <w:trPr>
          <w:trHeight w:val="224"/>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Green Mountain Energy</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Green Mountain Energy Company</w:t>
            </w:r>
          </w:p>
        </w:tc>
      </w:tr>
      <w:tr>
        <w:trPr>
          <w:trHeight w:val="224"/>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Greens Bayou 6</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Greens Bayou Unit 6 generation facility, a 443 MW natural gas-fueled peaker plant</w:t>
            </w:r>
          </w:p>
        </w:tc>
      </w:tr>
      <w:tr>
        <w:trPr>
          <w:trHeight w:val="224"/>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GW</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Gigawatts</w:t>
            </w:r>
          </w:p>
        </w:tc>
      </w:tr>
      <w:tr>
        <w:trPr>
          <w:trHeight w:val="224"/>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GWh</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Gigawatt Hours</w:t>
            </w:r>
          </w:p>
        </w:tc>
      </w:tr>
      <w:tr>
        <w:trPr>
          <w:trHeight w:val="224"/>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HDD</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Heating Degree Day</w:t>
            </w:r>
          </w:p>
        </w:tc>
      </w:tr>
      <w:tr>
        <w:trPr>
          <w:trHeight w:val="176"/>
        </w:trPr>
        <w:tc>
          <w:tcPr>
            <w:tcW w:w="240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Heat Rate</w:t>
            </w:r>
          </w:p>
        </w:tc>
        <w:tc>
          <w:tcPr>
            <w:tcW w:w="8840" w:type="dxa"/>
            <w:vAlign w:val="bottom"/>
          </w:tcPr>
          <w:p>
            <w:pPr>
              <w:ind w:left="660"/>
              <w:spacing w:after="0" w:line="176" w:lineRule="exact"/>
              <w:rPr>
                <w:sz w:val="20"/>
                <w:szCs w:val="20"/>
                <w:color w:val="auto"/>
              </w:rPr>
            </w:pPr>
            <w:r>
              <w:rPr>
                <w:rFonts w:ascii="Times New Roman" w:cs="Times New Roman" w:eastAsia="Times New Roman" w:hAnsi="Times New Roman"/>
                <w:sz w:val="18"/>
                <w:szCs w:val="18"/>
                <w:color w:val="auto"/>
              </w:rPr>
              <w:t>A measure of thermal efficiency computed by dividing the total BTU content of the fuel burned by the resulting</w:t>
            </w:r>
          </w:p>
        </w:tc>
      </w:tr>
      <w:tr>
        <w:trPr>
          <w:trHeight w:val="179"/>
        </w:trPr>
        <w:tc>
          <w:tcPr>
            <w:tcW w:w="2400" w:type="dxa"/>
            <w:vAlign w:val="bottom"/>
          </w:tcPr>
          <w:p>
            <w:pPr>
              <w:spacing w:after="0"/>
              <w:rPr>
                <w:sz w:val="15"/>
                <w:szCs w:val="15"/>
                <w:color w:val="auto"/>
              </w:rPr>
            </w:pPr>
          </w:p>
        </w:tc>
        <w:tc>
          <w:tcPr>
            <w:tcW w:w="8840" w:type="dxa"/>
            <w:vAlign w:val="bottom"/>
          </w:tcPr>
          <w:p>
            <w:pPr>
              <w:ind w:left="660"/>
              <w:spacing w:after="0" w:line="179" w:lineRule="exact"/>
              <w:rPr>
                <w:sz w:val="20"/>
                <w:szCs w:val="20"/>
                <w:color w:val="auto"/>
              </w:rPr>
            </w:pPr>
            <w:r>
              <w:rPr>
                <w:rFonts w:ascii="Times New Roman" w:cs="Times New Roman" w:eastAsia="Times New Roman" w:hAnsi="Times New Roman"/>
                <w:sz w:val="18"/>
                <w:szCs w:val="18"/>
                <w:color w:val="auto"/>
                <w:w w:val="99"/>
              </w:rPr>
              <w:t>kWhs generated. Heat Rates can be expressed as either gross or net Heat Rates, depending whether the electricity</w:t>
            </w:r>
          </w:p>
        </w:tc>
      </w:tr>
      <w:tr>
        <w:trPr>
          <w:trHeight w:val="224"/>
        </w:trPr>
        <w:tc>
          <w:tcPr>
            <w:tcW w:w="2400" w:type="dxa"/>
            <w:vAlign w:val="bottom"/>
          </w:tcPr>
          <w:p>
            <w:pPr>
              <w:spacing w:after="0"/>
              <w:rPr>
                <w:sz w:val="19"/>
                <w:szCs w:val="19"/>
                <w:color w:val="auto"/>
              </w:rPr>
            </w:pP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output measured is gross or net generation and is generally expressed as BTU per net kWh</w:t>
            </w:r>
          </w:p>
        </w:tc>
      </w:tr>
      <w:tr>
        <w:trPr>
          <w:trHeight w:val="224"/>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Home</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NRG Home, which serves residential customers</w:t>
            </w:r>
          </w:p>
        </w:tc>
      </w:tr>
      <w:tr>
        <w:trPr>
          <w:trHeight w:val="224"/>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ICE</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Intercontinental Exchange</w:t>
            </w:r>
          </w:p>
        </w:tc>
      </w:tr>
      <w:tr>
        <w:trPr>
          <w:trHeight w:val="224"/>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IESO</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Independent Electricity System Operator</w:t>
            </w:r>
          </w:p>
        </w:tc>
      </w:tr>
      <w:tr>
        <w:trPr>
          <w:trHeight w:val="224"/>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IoT</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Internet of Things</w:t>
            </w:r>
          </w:p>
        </w:tc>
      </w:tr>
      <w:tr>
        <w:trPr>
          <w:trHeight w:val="224"/>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IRA</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Inflation Reduction Act</w:t>
            </w:r>
          </w:p>
        </w:tc>
      </w:tr>
      <w:tr>
        <w:trPr>
          <w:trHeight w:val="224"/>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ISO</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Independent System Operator, also referred to as RTOs</w:t>
            </w:r>
          </w:p>
        </w:tc>
      </w:tr>
      <w:tr>
        <w:trPr>
          <w:trHeight w:val="224"/>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ISO-NE</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ISO New England Inc.</w:t>
            </w:r>
          </w:p>
        </w:tc>
      </w:tr>
      <w:tr>
        <w:trPr>
          <w:trHeight w:val="176"/>
        </w:trPr>
        <w:tc>
          <w:tcPr>
            <w:tcW w:w="240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Ivanpah</w:t>
            </w:r>
          </w:p>
        </w:tc>
        <w:tc>
          <w:tcPr>
            <w:tcW w:w="8840" w:type="dxa"/>
            <w:vAlign w:val="bottom"/>
          </w:tcPr>
          <w:p>
            <w:pPr>
              <w:ind w:left="660"/>
              <w:spacing w:after="0" w:line="176" w:lineRule="exact"/>
              <w:rPr>
                <w:sz w:val="20"/>
                <w:szCs w:val="20"/>
                <w:color w:val="auto"/>
              </w:rPr>
            </w:pPr>
            <w:r>
              <w:rPr>
                <w:rFonts w:ascii="Times New Roman" w:cs="Times New Roman" w:eastAsia="Times New Roman" w:hAnsi="Times New Roman"/>
                <w:sz w:val="18"/>
                <w:szCs w:val="18"/>
                <w:color w:val="auto"/>
              </w:rPr>
              <w:t>Ivanpah Solar Electric Generation Station, a 385 MW solar thermal power plant located in California's Mojave</w:t>
            </w:r>
          </w:p>
        </w:tc>
      </w:tr>
      <w:tr>
        <w:trPr>
          <w:trHeight w:val="228"/>
        </w:trPr>
        <w:tc>
          <w:tcPr>
            <w:tcW w:w="2400" w:type="dxa"/>
            <w:vAlign w:val="bottom"/>
          </w:tcPr>
          <w:p>
            <w:pPr>
              <w:spacing w:after="0"/>
              <w:rPr>
                <w:sz w:val="19"/>
                <w:szCs w:val="19"/>
                <w:color w:val="auto"/>
              </w:rPr>
            </w:pP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Desert in which NRG owns 54.5% interest</w:t>
            </w:r>
          </w:p>
        </w:tc>
      </w:tr>
      <w:tr>
        <w:trPr>
          <w:trHeight w:val="227"/>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kWh</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Kilowatt-hours</w:t>
            </w:r>
          </w:p>
        </w:tc>
      </w:tr>
      <w:tr>
        <w:trPr>
          <w:trHeight w:val="224"/>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LSEs</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Load Serving Entities</w:t>
            </w:r>
          </w:p>
        </w:tc>
      </w:tr>
      <w:tr>
        <w:trPr>
          <w:trHeight w:val="224"/>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LS Power</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LS Power Equity Advisors, LLC</w:t>
            </w:r>
          </w:p>
        </w:tc>
      </w:tr>
      <w:tr>
        <w:trPr>
          <w:trHeight w:val="224"/>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LSP Portfolio</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acquisition of a portfolio of natural gas and dual fuel generation and other assets from LS Power</w:t>
            </w:r>
          </w:p>
        </w:tc>
      </w:tr>
      <w:tr>
        <w:trPr>
          <w:trHeight w:val="224"/>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LTIPs</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Collectively, the NRG LTIP and the Vivint LTIP</w:t>
            </w:r>
          </w:p>
        </w:tc>
      </w:tr>
      <w:tr>
        <w:trPr>
          <w:trHeight w:val="224"/>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MDth</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Thousand Dekatherms</w:t>
            </w:r>
          </w:p>
        </w:tc>
      </w:tr>
      <w:tr>
        <w:trPr>
          <w:trHeight w:val="224"/>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Midwest Generation</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Midwest Generation, LLC</w:t>
            </w:r>
          </w:p>
        </w:tc>
      </w:tr>
      <w:tr>
        <w:trPr>
          <w:trHeight w:val="224"/>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MISO</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Midcontinent Independent System Operator, Inc.</w:t>
            </w:r>
          </w:p>
        </w:tc>
      </w:tr>
      <w:tr>
        <w:trPr>
          <w:trHeight w:val="224"/>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MMBtu</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Million British Thermal Units</w:t>
            </w:r>
          </w:p>
        </w:tc>
      </w:tr>
      <w:tr>
        <w:trPr>
          <w:trHeight w:val="224"/>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MMDth</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Million Dekatherms</w:t>
            </w:r>
          </w:p>
        </w:tc>
      </w:tr>
      <w:tr>
        <w:trPr>
          <w:trHeight w:val="224"/>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MW</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Megawatts</w:t>
            </w:r>
          </w:p>
        </w:tc>
      </w:tr>
      <w:tr>
        <w:trPr>
          <w:trHeight w:val="224"/>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MWh</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Saleable megawatt hour net of internal/parasitic load megawatt-hour</w:t>
            </w:r>
          </w:p>
        </w:tc>
      </w:tr>
      <w:tr>
        <w:trPr>
          <w:trHeight w:val="224"/>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NAAQS</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National Ambient Air Quality Standards</w:t>
            </w:r>
          </w:p>
        </w:tc>
      </w:tr>
      <w:tr>
        <w:trPr>
          <w:trHeight w:val="224"/>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NEPOOL</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New England Power Pool</w:t>
            </w:r>
          </w:p>
        </w:tc>
      </w:tr>
      <w:tr>
        <w:trPr>
          <w:trHeight w:val="224"/>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NERC</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North American Electric Reliability Corporation</w:t>
            </w:r>
          </w:p>
        </w:tc>
      </w:tr>
      <w:tr>
        <w:trPr>
          <w:trHeight w:val="224"/>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NERC-CIP</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North American Electric Reliability Corporation Critical Infrastructure Protection</w:t>
            </w:r>
          </w:p>
        </w:tc>
      </w:tr>
      <w:tr>
        <w:trPr>
          <w:trHeight w:val="224"/>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Exposure</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Counterparty credit exposure to NRG, net of collateral</w:t>
            </w:r>
          </w:p>
        </w:tc>
      </w:tr>
      <w:tr>
        <w:trPr>
          <w:trHeight w:val="176"/>
        </w:trPr>
        <w:tc>
          <w:tcPr>
            <w:tcW w:w="240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Net Generation</w:t>
            </w:r>
          </w:p>
        </w:tc>
        <w:tc>
          <w:tcPr>
            <w:tcW w:w="8840" w:type="dxa"/>
            <w:vAlign w:val="bottom"/>
          </w:tcPr>
          <w:p>
            <w:pPr>
              <w:ind w:left="660"/>
              <w:spacing w:after="0" w:line="176" w:lineRule="exact"/>
              <w:rPr>
                <w:sz w:val="20"/>
                <w:szCs w:val="20"/>
                <w:color w:val="auto"/>
              </w:rPr>
            </w:pPr>
            <w:r>
              <w:rPr>
                <w:rFonts w:ascii="Times New Roman" w:cs="Times New Roman" w:eastAsia="Times New Roman" w:hAnsi="Times New Roman"/>
                <w:sz w:val="18"/>
                <w:szCs w:val="18"/>
                <w:color w:val="auto"/>
              </w:rPr>
              <w:t>The net amount of electricity produced, expressed in kWhs or MWhs, that is the total amount of electricity</w:t>
            </w:r>
          </w:p>
        </w:tc>
      </w:tr>
      <w:tr>
        <w:trPr>
          <w:trHeight w:val="228"/>
        </w:trPr>
        <w:tc>
          <w:tcPr>
            <w:tcW w:w="2400" w:type="dxa"/>
            <w:vAlign w:val="bottom"/>
          </w:tcPr>
          <w:p>
            <w:pPr>
              <w:spacing w:after="0"/>
              <w:rPr>
                <w:sz w:val="19"/>
                <w:szCs w:val="19"/>
                <w:color w:val="auto"/>
              </w:rPr>
            </w:pP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generated (gross) minus the amount of electricity used during generation</w:t>
            </w:r>
          </w:p>
        </w:tc>
      </w:tr>
      <w:tr>
        <w:trPr>
          <w:trHeight w:val="227"/>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Revenue Rates</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Sum of retail revenues less TDSP transportation charges</w:t>
            </w:r>
          </w:p>
        </w:tc>
      </w:tr>
      <w:tr>
        <w:trPr>
          <w:trHeight w:val="224"/>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NIST</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National Institute of Standards and Technology</w:t>
            </w:r>
          </w:p>
        </w:tc>
      </w:tr>
      <w:tr>
        <w:trPr>
          <w:trHeight w:val="224"/>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Nodal</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Nodal Exchange is a derivatives exchange</w:t>
            </w:r>
          </w:p>
        </w:tc>
      </w:tr>
      <w:tr>
        <w:trPr>
          <w:trHeight w:val="224"/>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NOL</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Operating Loss</w:t>
            </w:r>
          </w:p>
        </w:tc>
      </w:tr>
      <w:tr>
        <w:trPr>
          <w:trHeight w:val="300"/>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w:t>
            </w:r>
            <w:r>
              <w:rPr>
                <w:rFonts w:ascii="Times New Roman" w:cs="Times New Roman" w:eastAsia="Times New Roman" w:hAnsi="Times New Roman"/>
                <w:sz w:val="22"/>
                <w:szCs w:val="22"/>
                <w:color w:val="auto"/>
                <w:vertAlign w:val="subscript"/>
              </w:rPr>
              <w:t>x</w:t>
            </w:r>
          </w:p>
        </w:tc>
        <w:tc>
          <w:tcPr>
            <w:tcW w:w="8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Nitrogen Oxides</w:t>
            </w:r>
          </w:p>
        </w:tc>
      </w:tr>
      <w:tr>
        <w:trPr>
          <w:trHeight w:val="771"/>
        </w:trPr>
        <w:tc>
          <w:tcPr>
            <w:tcW w:w="2400" w:type="dxa"/>
            <w:vAlign w:val="bottom"/>
          </w:tcPr>
          <w:p>
            <w:pPr>
              <w:spacing w:after="0"/>
              <w:rPr>
                <w:sz w:val="24"/>
                <w:szCs w:val="24"/>
                <w:color w:val="auto"/>
              </w:rPr>
            </w:pPr>
          </w:p>
        </w:tc>
        <w:tc>
          <w:tcPr>
            <w:tcW w:w="884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4</w:t>
            </w:r>
          </w:p>
        </w:tc>
      </w:tr>
      <w:tr>
        <w:trPr>
          <w:trHeight w:val="112"/>
        </w:trPr>
        <w:tc>
          <w:tcPr>
            <w:tcW w:w="2400" w:type="dxa"/>
            <w:vAlign w:val="bottom"/>
            <w:tcBorders>
              <w:bottom w:val="single" w:sz="8" w:color="9A9A9A"/>
            </w:tcBorders>
          </w:tcPr>
          <w:p>
            <w:pPr>
              <w:spacing w:after="0"/>
              <w:rPr>
                <w:sz w:val="9"/>
                <w:szCs w:val="9"/>
                <w:color w:val="auto"/>
              </w:rPr>
            </w:pPr>
          </w:p>
        </w:tc>
        <w:tc>
          <w:tcPr>
            <w:tcW w:w="88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4"/>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NPNS</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Normal Purchase Normal Sale</w:t>
            </w:r>
          </w:p>
        </w:tc>
      </w:tr>
      <w:tr>
        <w:trPr>
          <w:trHeight w:val="224"/>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NRC</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Nuclear Regulatory Commission</w:t>
            </w:r>
          </w:p>
        </w:tc>
      </w:tr>
      <w:tr>
        <w:trPr>
          <w:trHeight w:val="224"/>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NRG</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NRG Energy, Inc.</w:t>
            </w:r>
          </w:p>
        </w:tc>
      </w:tr>
      <w:tr>
        <w:trPr>
          <w:trHeight w:val="224"/>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NRG LTIP</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NRG Energy, Inc. Amended and Restated Long-Term Incentive Plan, as amended</w:t>
            </w:r>
          </w:p>
        </w:tc>
      </w:tr>
      <w:tr>
        <w:trPr>
          <w:trHeight w:val="224"/>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NRG Receivables</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NRG Receivables LLC, a wholly-owned indirect subsidiary of the Company</w:t>
            </w:r>
          </w:p>
        </w:tc>
      </w:tr>
      <w:tr>
        <w:trPr>
          <w:trHeight w:val="176"/>
        </w:trPr>
        <w:tc>
          <w:tcPr>
            <w:tcW w:w="290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Nuclear Decommissioning Trust Fund</w:t>
            </w:r>
          </w:p>
        </w:tc>
        <w:tc>
          <w:tcPr>
            <w:tcW w:w="834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w w:val="99"/>
              </w:rPr>
              <w:t>NRG's nuclear decommissioning trust fund assets, which were for the Company's portion of the decommissioning</w:t>
            </w:r>
          </w:p>
        </w:tc>
      </w:tr>
      <w:tr>
        <w:trPr>
          <w:trHeight w:val="228"/>
        </w:trPr>
        <w:tc>
          <w:tcPr>
            <w:tcW w:w="2900" w:type="dxa"/>
            <w:vAlign w:val="bottom"/>
          </w:tcPr>
          <w:p>
            <w:pPr>
              <w:spacing w:after="0"/>
              <w:rPr>
                <w:sz w:val="19"/>
                <w:szCs w:val="19"/>
                <w:color w:val="auto"/>
              </w:rPr>
            </w:pP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the STP, units 1 &amp; 2 through the sale of STP on November 1, 2023</w:t>
            </w:r>
          </w:p>
        </w:tc>
      </w:tr>
      <w:tr>
        <w:trPr>
          <w:trHeight w:val="227"/>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NYISO</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York Independent System Operator</w:t>
            </w:r>
          </w:p>
        </w:tc>
      </w:tr>
      <w:tr>
        <w:trPr>
          <w:trHeight w:val="224"/>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NYMEX</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York Mercantile Exchange</w:t>
            </w:r>
          </w:p>
        </w:tc>
      </w:tr>
      <w:tr>
        <w:trPr>
          <w:trHeight w:val="224"/>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OCI/OCL</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Income/(Loss)</w:t>
            </w:r>
          </w:p>
        </w:tc>
      </w:tr>
      <w:tr>
        <w:trPr>
          <w:trHeight w:val="224"/>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OECD</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Organization for Economic Cooperation and Development</w:t>
            </w:r>
          </w:p>
        </w:tc>
      </w:tr>
      <w:tr>
        <w:trPr>
          <w:trHeight w:val="224"/>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Peaking</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Units expected to satisfy demand requirements during the periods of greatest or peak load on the system</w:t>
            </w:r>
          </w:p>
        </w:tc>
      </w:tr>
      <w:tr>
        <w:trPr>
          <w:trHeight w:val="224"/>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PG&amp;E</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PG&amp;E Corporation (NYSE: PCG) and its primary operating subsidiary, Pacific Gas and Electric Company</w:t>
            </w:r>
          </w:p>
        </w:tc>
      </w:tr>
      <w:tr>
        <w:trPr>
          <w:trHeight w:val="224"/>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PJM</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PJM Interconnection, LLC</w:t>
            </w:r>
          </w:p>
        </w:tc>
      </w:tr>
      <w:tr>
        <w:trPr>
          <w:trHeight w:val="224"/>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PM2.5</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Particulate Matter that has a diameter of less than 2.5 micrometers</w:t>
            </w:r>
          </w:p>
        </w:tc>
      </w:tr>
      <w:tr>
        <w:trPr>
          <w:trHeight w:val="224"/>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PPA</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Power Purchase Agreement</w:t>
            </w:r>
          </w:p>
        </w:tc>
      </w:tr>
      <w:tr>
        <w:trPr>
          <w:trHeight w:val="224"/>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PSU</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Performance Stock Unit</w:t>
            </w:r>
          </w:p>
        </w:tc>
      </w:tr>
      <w:tr>
        <w:trPr>
          <w:trHeight w:val="224"/>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PUCT</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Public Utility Commission of Texas</w:t>
            </w:r>
          </w:p>
        </w:tc>
      </w:tr>
      <w:tr>
        <w:trPr>
          <w:trHeight w:val="224"/>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RCRA</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Resource Conservation and Recovery Act of 1976</w:t>
            </w:r>
          </w:p>
        </w:tc>
      </w:tr>
      <w:tr>
        <w:trPr>
          <w:trHeight w:val="176"/>
        </w:trPr>
        <w:tc>
          <w:tcPr>
            <w:tcW w:w="290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Receivables Facility</w:t>
            </w:r>
          </w:p>
        </w:tc>
        <w:tc>
          <w:tcPr>
            <w:tcW w:w="834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w w:val="98"/>
              </w:rPr>
              <w:t>NRG Receivables LLC, a bankruptcy remote, special purpose, wholly-owned indirect subsidiary of the Company's</w:t>
            </w:r>
          </w:p>
        </w:tc>
      </w:tr>
      <w:tr>
        <w:trPr>
          <w:trHeight w:val="228"/>
        </w:trPr>
        <w:tc>
          <w:tcPr>
            <w:tcW w:w="2900" w:type="dxa"/>
            <w:vAlign w:val="bottom"/>
          </w:tcPr>
          <w:p>
            <w:pPr>
              <w:spacing w:after="0"/>
              <w:rPr>
                <w:sz w:val="19"/>
                <w:szCs w:val="19"/>
                <w:color w:val="auto"/>
              </w:rPr>
            </w:pP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$2.3 billion accounts receivables securitization facility due 2026, which was last amended on June 20, 2025</w:t>
            </w:r>
          </w:p>
        </w:tc>
      </w:tr>
      <w:tr>
        <w:trPr>
          <w:trHeight w:val="227"/>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Receivables Securitization Facilities</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Collectively, the Receivables Facility and the Repurchase Facility</w:t>
            </w:r>
          </w:p>
        </w:tc>
      </w:tr>
      <w:tr>
        <w:trPr>
          <w:trHeight w:val="224"/>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RECs</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Renewable Energy Certificates</w:t>
            </w:r>
          </w:p>
        </w:tc>
      </w:tr>
      <w:tr>
        <w:trPr>
          <w:trHeight w:val="176"/>
        </w:trPr>
        <w:tc>
          <w:tcPr>
            <w:tcW w:w="290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Renewable PPA</w:t>
            </w:r>
          </w:p>
        </w:tc>
        <w:tc>
          <w:tcPr>
            <w:tcW w:w="834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A third-party PPA entered into directly with a renewable generation facility for the offtake of the RECs or other</w:t>
            </w:r>
          </w:p>
        </w:tc>
      </w:tr>
      <w:tr>
        <w:trPr>
          <w:trHeight w:val="179"/>
        </w:trPr>
        <w:tc>
          <w:tcPr>
            <w:tcW w:w="2900" w:type="dxa"/>
            <w:vAlign w:val="bottom"/>
          </w:tcPr>
          <w:p>
            <w:pPr>
              <w:spacing w:after="0"/>
              <w:rPr>
                <w:sz w:val="15"/>
                <w:szCs w:val="15"/>
                <w:color w:val="auto"/>
              </w:rPr>
            </w:pPr>
          </w:p>
        </w:tc>
        <w:tc>
          <w:tcPr>
            <w:tcW w:w="8340" w:type="dxa"/>
            <w:vAlign w:val="bottom"/>
          </w:tcPr>
          <w:p>
            <w:pPr>
              <w:ind w:left="160"/>
              <w:spacing w:after="0" w:line="179" w:lineRule="exact"/>
              <w:rPr>
                <w:sz w:val="20"/>
                <w:szCs w:val="20"/>
                <w:color w:val="auto"/>
              </w:rPr>
            </w:pPr>
            <w:r>
              <w:rPr>
                <w:rFonts w:ascii="Times New Roman" w:cs="Times New Roman" w:eastAsia="Times New Roman" w:hAnsi="Times New Roman"/>
                <w:sz w:val="18"/>
                <w:szCs w:val="18"/>
                <w:color w:val="auto"/>
              </w:rPr>
              <w:t>similar environmental attributes generated by such facility, coupled with the associated power generated by that</w:t>
            </w:r>
          </w:p>
        </w:tc>
      </w:tr>
      <w:tr>
        <w:trPr>
          <w:trHeight w:val="224"/>
        </w:trPr>
        <w:tc>
          <w:tcPr>
            <w:tcW w:w="2900" w:type="dxa"/>
            <w:vAlign w:val="bottom"/>
          </w:tcPr>
          <w:p>
            <w:pPr>
              <w:spacing w:after="0"/>
              <w:rPr>
                <w:sz w:val="19"/>
                <w:szCs w:val="19"/>
                <w:color w:val="auto"/>
              </w:rPr>
            </w:pP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facility</w:t>
            </w:r>
          </w:p>
        </w:tc>
      </w:tr>
      <w:tr>
        <w:trPr>
          <w:trHeight w:val="176"/>
        </w:trPr>
        <w:tc>
          <w:tcPr>
            <w:tcW w:w="290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Renewables</w:t>
            </w:r>
          </w:p>
        </w:tc>
        <w:tc>
          <w:tcPr>
            <w:tcW w:w="834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w w:val="99"/>
              </w:rPr>
              <w:t>Consists of the following projects in which NRG has an ownership interest: Ivanpah and solar generating stations</w:t>
            </w:r>
          </w:p>
        </w:tc>
      </w:tr>
      <w:tr>
        <w:trPr>
          <w:trHeight w:val="228"/>
        </w:trPr>
        <w:tc>
          <w:tcPr>
            <w:tcW w:w="2900" w:type="dxa"/>
            <w:vAlign w:val="bottom"/>
          </w:tcPr>
          <w:p>
            <w:pPr>
              <w:spacing w:after="0"/>
              <w:rPr>
                <w:sz w:val="19"/>
                <w:szCs w:val="19"/>
                <w:color w:val="auto"/>
              </w:rPr>
            </w:pP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located at various NFL Stadiums</w:t>
            </w:r>
          </w:p>
        </w:tc>
      </w:tr>
      <w:tr>
        <w:trPr>
          <w:trHeight w:val="180"/>
        </w:trPr>
        <w:tc>
          <w:tcPr>
            <w:tcW w:w="2900" w:type="dxa"/>
            <w:vAlign w:val="bottom"/>
          </w:tcPr>
          <w:p>
            <w:pPr>
              <w:ind w:left="40"/>
              <w:spacing w:after="0" w:line="180" w:lineRule="exact"/>
              <w:rPr>
                <w:sz w:val="20"/>
                <w:szCs w:val="20"/>
                <w:color w:val="auto"/>
              </w:rPr>
            </w:pPr>
            <w:r>
              <w:rPr>
                <w:rFonts w:ascii="Times New Roman" w:cs="Times New Roman" w:eastAsia="Times New Roman" w:hAnsi="Times New Roman"/>
                <w:sz w:val="18"/>
                <w:szCs w:val="18"/>
                <w:color w:val="auto"/>
              </w:rPr>
              <w:t>Renewables Platform</w:t>
            </w:r>
          </w:p>
        </w:tc>
        <w:tc>
          <w:tcPr>
            <w:tcW w:w="8340" w:type="dxa"/>
            <w:vAlign w:val="bottom"/>
          </w:tcPr>
          <w:p>
            <w:pPr>
              <w:ind w:left="160"/>
              <w:spacing w:after="0" w:line="180" w:lineRule="exact"/>
              <w:rPr>
                <w:sz w:val="20"/>
                <w:szCs w:val="20"/>
                <w:color w:val="auto"/>
              </w:rPr>
            </w:pPr>
            <w:r>
              <w:rPr>
                <w:rFonts w:ascii="Times New Roman" w:cs="Times New Roman" w:eastAsia="Times New Roman" w:hAnsi="Times New Roman"/>
                <w:sz w:val="18"/>
                <w:szCs w:val="18"/>
                <w:color w:val="auto"/>
              </w:rPr>
              <w:t>The renewable operating and development platform sold to Global Infrastructure Partners with NRG's interest in</w:t>
            </w:r>
          </w:p>
        </w:tc>
      </w:tr>
      <w:tr>
        <w:trPr>
          <w:trHeight w:val="228"/>
        </w:trPr>
        <w:tc>
          <w:tcPr>
            <w:tcW w:w="2900" w:type="dxa"/>
            <w:vAlign w:val="bottom"/>
          </w:tcPr>
          <w:p>
            <w:pPr>
              <w:spacing w:after="0"/>
              <w:rPr>
                <w:sz w:val="19"/>
                <w:szCs w:val="19"/>
                <w:color w:val="auto"/>
              </w:rPr>
            </w:pP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NRG Yield</w:t>
            </w:r>
          </w:p>
        </w:tc>
      </w:tr>
      <w:tr>
        <w:trPr>
          <w:trHeight w:val="180"/>
        </w:trPr>
        <w:tc>
          <w:tcPr>
            <w:tcW w:w="2900" w:type="dxa"/>
            <w:vAlign w:val="bottom"/>
          </w:tcPr>
          <w:p>
            <w:pPr>
              <w:ind w:left="40"/>
              <w:spacing w:after="0" w:line="180" w:lineRule="exact"/>
              <w:rPr>
                <w:sz w:val="20"/>
                <w:szCs w:val="20"/>
                <w:color w:val="auto"/>
              </w:rPr>
            </w:pPr>
            <w:r>
              <w:rPr>
                <w:rFonts w:ascii="Times New Roman" w:cs="Times New Roman" w:eastAsia="Times New Roman" w:hAnsi="Times New Roman"/>
                <w:sz w:val="18"/>
                <w:szCs w:val="18"/>
                <w:color w:val="auto"/>
              </w:rPr>
              <w:t>Repurchase Facility</w:t>
            </w:r>
          </w:p>
        </w:tc>
        <w:tc>
          <w:tcPr>
            <w:tcW w:w="8340" w:type="dxa"/>
            <w:vAlign w:val="bottom"/>
          </w:tcPr>
          <w:p>
            <w:pPr>
              <w:ind w:left="160"/>
              <w:spacing w:after="0" w:line="180" w:lineRule="exact"/>
              <w:rPr>
                <w:sz w:val="20"/>
                <w:szCs w:val="20"/>
                <w:color w:val="auto"/>
              </w:rPr>
            </w:pPr>
            <w:r>
              <w:rPr>
                <w:rFonts w:ascii="Times New Roman" w:cs="Times New Roman" w:eastAsia="Times New Roman" w:hAnsi="Times New Roman"/>
                <w:sz w:val="18"/>
                <w:szCs w:val="18"/>
                <w:color w:val="auto"/>
              </w:rPr>
              <w:t>NRG's $150 million uncommitted repurchase facility related to the Receivables Facility due 2024, which was</w:t>
            </w:r>
          </w:p>
        </w:tc>
      </w:tr>
      <w:tr>
        <w:trPr>
          <w:trHeight w:val="228"/>
        </w:trPr>
        <w:tc>
          <w:tcPr>
            <w:tcW w:w="2900" w:type="dxa"/>
            <w:vAlign w:val="bottom"/>
          </w:tcPr>
          <w:p>
            <w:pPr>
              <w:spacing w:after="0"/>
              <w:rPr>
                <w:sz w:val="19"/>
                <w:szCs w:val="19"/>
                <w:color w:val="auto"/>
              </w:rPr>
            </w:pP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terminated on June 21, 2024</w:t>
            </w:r>
          </w:p>
        </w:tc>
      </w:tr>
      <w:tr>
        <w:trPr>
          <w:trHeight w:val="227"/>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Company's $4.6 billion revolving credit facility due 2029, which was last amended on May 27, 2025</w:t>
            </w:r>
          </w:p>
        </w:tc>
      </w:tr>
      <w:tr>
        <w:trPr>
          <w:trHeight w:val="224"/>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RGGI</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Regional Greenhouse Gas Initiative</w:t>
            </w:r>
          </w:p>
        </w:tc>
      </w:tr>
      <w:tr>
        <w:trPr>
          <w:trHeight w:val="224"/>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RMR</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Reliability Must-Run</w:t>
            </w:r>
          </w:p>
        </w:tc>
      </w:tr>
      <w:tr>
        <w:trPr>
          <w:trHeight w:val="224"/>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RPS</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Renewable Portfolio Standards</w:t>
            </w:r>
          </w:p>
        </w:tc>
      </w:tr>
      <w:tr>
        <w:trPr>
          <w:trHeight w:val="224"/>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RPSU</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Relative Performance Stock Unit</w:t>
            </w:r>
          </w:p>
        </w:tc>
      </w:tr>
      <w:tr>
        <w:trPr>
          <w:trHeight w:val="224"/>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RSU</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Unit</w:t>
            </w:r>
          </w:p>
        </w:tc>
      </w:tr>
      <w:tr>
        <w:trPr>
          <w:trHeight w:val="224"/>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RTO</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Regional Transmission Organization, also referred to as ISOs</w:t>
            </w:r>
          </w:p>
        </w:tc>
      </w:tr>
      <w:tr>
        <w:trPr>
          <w:trHeight w:val="224"/>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SCR</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Selective Catalytic Reduction Control System</w:t>
            </w:r>
          </w:p>
        </w:tc>
      </w:tr>
      <w:tr>
        <w:trPr>
          <w:trHeight w:val="224"/>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Securities and Exchange Commission</w:t>
            </w:r>
          </w:p>
        </w:tc>
      </w:tr>
      <w:tr>
        <w:trPr>
          <w:trHeight w:val="224"/>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Securities Act</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Securities Act of 1933, as amended</w:t>
            </w:r>
          </w:p>
        </w:tc>
      </w:tr>
      <w:tr>
        <w:trPr>
          <w:trHeight w:val="228"/>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Credit Facility</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NRG's senior secured credit facility, comprised of the Revolving Credit Facility and the Term Loan B Facility</w:t>
            </w:r>
          </w:p>
        </w:tc>
      </w:tr>
      <w:tr>
        <w:trPr>
          <w:trHeight w:val="842"/>
        </w:trPr>
        <w:tc>
          <w:tcPr>
            <w:tcW w:w="2900" w:type="dxa"/>
            <w:vAlign w:val="bottom"/>
          </w:tcPr>
          <w:p>
            <w:pPr>
              <w:spacing w:after="0"/>
              <w:rPr>
                <w:sz w:val="24"/>
                <w:szCs w:val="24"/>
                <w:color w:val="auto"/>
              </w:rPr>
            </w:pPr>
          </w:p>
        </w:tc>
        <w:tc>
          <w:tcPr>
            <w:tcW w:w="834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5</w:t>
            </w:r>
          </w:p>
        </w:tc>
      </w:tr>
      <w:tr>
        <w:trPr>
          <w:trHeight w:val="112"/>
        </w:trPr>
        <w:tc>
          <w:tcPr>
            <w:tcW w:w="2900" w:type="dxa"/>
            <w:vAlign w:val="bottom"/>
            <w:tcBorders>
              <w:bottom w:val="single" w:sz="8" w:color="9A9A9A"/>
            </w:tcBorders>
          </w:tcPr>
          <w:p>
            <w:pPr>
              <w:spacing w:after="0"/>
              <w:rPr>
                <w:sz w:val="9"/>
                <w:szCs w:val="9"/>
                <w:color w:val="auto"/>
              </w:rPr>
            </w:pPr>
          </w:p>
        </w:tc>
        <w:tc>
          <w:tcPr>
            <w:tcW w:w="83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Notes</w:t>
            </w:r>
          </w:p>
        </w:tc>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 of December 31, 2025, NRG's $9.9 billion outstanding unsecured senior notes consisting of $821 million of</w:t>
            </w:r>
          </w:p>
        </w:tc>
      </w:tr>
      <w:tr>
        <w:trPr>
          <w:trHeight w:val="197"/>
        </w:trPr>
        <w:tc>
          <w:tcPr>
            <w:tcW w:w="2680" w:type="dxa"/>
            <w:vAlign w:val="bottom"/>
          </w:tcPr>
          <w:p>
            <w:pPr>
              <w:spacing w:after="0"/>
              <w:rPr>
                <w:sz w:val="17"/>
                <w:szCs w:val="17"/>
                <w:color w:val="auto"/>
              </w:rPr>
            </w:pPr>
          </w:p>
        </w:tc>
        <w:tc>
          <w:tcPr>
            <w:tcW w:w="8560" w:type="dxa"/>
            <w:vAlign w:val="bottom"/>
          </w:tcPr>
          <w:p>
            <w:pPr>
              <w:ind w:left="380"/>
              <w:spacing w:after="0" w:line="197" w:lineRule="exact"/>
              <w:rPr>
                <w:sz w:val="20"/>
                <w:szCs w:val="20"/>
                <w:color w:val="auto"/>
              </w:rPr>
            </w:pPr>
            <w:r>
              <w:rPr>
                <w:rFonts w:ascii="Times New Roman" w:cs="Times New Roman" w:eastAsia="Times New Roman" w:hAnsi="Times New Roman"/>
                <w:sz w:val="18"/>
                <w:szCs w:val="18"/>
                <w:color w:val="auto"/>
              </w:rPr>
              <w:t>5.750% senior notes due 2028, $733 million of the 5.250% senior notes due 2029, $500 million of the 3.375%</w:t>
            </w:r>
          </w:p>
        </w:tc>
      </w:tr>
      <w:tr>
        <w:trPr>
          <w:trHeight w:val="184"/>
        </w:trPr>
        <w:tc>
          <w:tcPr>
            <w:tcW w:w="2680" w:type="dxa"/>
            <w:vAlign w:val="bottom"/>
          </w:tcPr>
          <w:p>
            <w:pPr>
              <w:spacing w:after="0"/>
              <w:rPr>
                <w:sz w:val="16"/>
                <w:szCs w:val="16"/>
                <w:color w:val="auto"/>
              </w:rPr>
            </w:pPr>
          </w:p>
        </w:tc>
        <w:tc>
          <w:tcPr>
            <w:tcW w:w="8560" w:type="dxa"/>
            <w:vAlign w:val="bottom"/>
          </w:tcPr>
          <w:p>
            <w:pPr>
              <w:ind w:left="380"/>
              <w:spacing w:after="0" w:line="184" w:lineRule="exact"/>
              <w:rPr>
                <w:sz w:val="20"/>
                <w:szCs w:val="20"/>
                <w:color w:val="auto"/>
              </w:rPr>
            </w:pPr>
            <w:r>
              <w:rPr>
                <w:rFonts w:ascii="Times New Roman" w:cs="Times New Roman" w:eastAsia="Times New Roman" w:hAnsi="Times New Roman"/>
                <w:sz w:val="18"/>
                <w:szCs w:val="18"/>
                <w:color w:val="auto"/>
                <w:w w:val="99"/>
              </w:rPr>
              <w:t>senior notes due 2029, $798 million of the 5.750% senior notes due 2029, $1.0 billion of the 3.625% senior notes</w:t>
            </w:r>
          </w:p>
        </w:tc>
      </w:tr>
      <w:tr>
        <w:trPr>
          <w:trHeight w:val="184"/>
        </w:trPr>
        <w:tc>
          <w:tcPr>
            <w:tcW w:w="2680" w:type="dxa"/>
            <w:vAlign w:val="bottom"/>
          </w:tcPr>
          <w:p>
            <w:pPr>
              <w:spacing w:after="0"/>
              <w:rPr>
                <w:sz w:val="16"/>
                <w:szCs w:val="16"/>
                <w:color w:val="auto"/>
              </w:rPr>
            </w:pPr>
          </w:p>
        </w:tc>
        <w:tc>
          <w:tcPr>
            <w:tcW w:w="8560" w:type="dxa"/>
            <w:vAlign w:val="bottom"/>
          </w:tcPr>
          <w:p>
            <w:pPr>
              <w:ind w:left="380"/>
              <w:spacing w:after="0" w:line="184" w:lineRule="exact"/>
              <w:rPr>
                <w:sz w:val="20"/>
                <w:szCs w:val="20"/>
                <w:color w:val="auto"/>
              </w:rPr>
            </w:pPr>
            <w:r>
              <w:rPr>
                <w:rFonts w:ascii="Times New Roman" w:cs="Times New Roman" w:eastAsia="Times New Roman" w:hAnsi="Times New Roman"/>
                <w:sz w:val="18"/>
                <w:szCs w:val="18"/>
                <w:color w:val="auto"/>
              </w:rPr>
              <w:t>due 2031, $480 million of the 3.875% senior notes due 2032, $925 million of the 6.000% senior notes due 2033,</w:t>
            </w:r>
          </w:p>
        </w:tc>
      </w:tr>
      <w:tr>
        <w:trPr>
          <w:trHeight w:val="184"/>
        </w:trPr>
        <w:tc>
          <w:tcPr>
            <w:tcW w:w="2680" w:type="dxa"/>
            <w:vAlign w:val="bottom"/>
          </w:tcPr>
          <w:p>
            <w:pPr>
              <w:spacing w:after="0"/>
              <w:rPr>
                <w:sz w:val="16"/>
                <w:szCs w:val="16"/>
                <w:color w:val="auto"/>
              </w:rPr>
            </w:pPr>
          </w:p>
        </w:tc>
        <w:tc>
          <w:tcPr>
            <w:tcW w:w="8560" w:type="dxa"/>
            <w:vAlign w:val="bottom"/>
          </w:tcPr>
          <w:p>
            <w:pPr>
              <w:ind w:left="380"/>
              <w:spacing w:after="0" w:line="184" w:lineRule="exact"/>
              <w:rPr>
                <w:sz w:val="20"/>
                <w:szCs w:val="20"/>
                <w:color w:val="auto"/>
              </w:rPr>
            </w:pPr>
            <w:r>
              <w:rPr>
                <w:rFonts w:ascii="Times New Roman" w:cs="Times New Roman" w:eastAsia="Times New Roman" w:hAnsi="Times New Roman"/>
                <w:sz w:val="18"/>
                <w:szCs w:val="18"/>
                <w:color w:val="auto"/>
              </w:rPr>
              <w:t>$950 million of the 6.250% senior notes due 2034, $1.3 billion of the 5.750% senior notes due 2034 and $2.4</w:t>
            </w:r>
          </w:p>
        </w:tc>
      </w:tr>
      <w:tr>
        <w:trPr>
          <w:trHeight w:val="228"/>
        </w:trPr>
        <w:tc>
          <w:tcPr>
            <w:tcW w:w="2680" w:type="dxa"/>
            <w:vAlign w:val="bottom"/>
          </w:tcPr>
          <w:p>
            <w:pPr>
              <w:spacing w:after="0"/>
              <w:rPr>
                <w:sz w:val="19"/>
                <w:szCs w:val="19"/>
                <w:color w:val="auto"/>
              </w:rPr>
            </w:pPr>
          </w:p>
        </w:tc>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billion of the 6.000% senior notes due 2036</w:t>
            </w:r>
          </w:p>
        </w:tc>
      </w:tr>
      <w:tr>
        <w:trPr>
          <w:trHeight w:val="206"/>
        </w:trPr>
        <w:tc>
          <w:tcPr>
            <w:tcW w:w="2680" w:type="dxa"/>
            <w:vAlign w:val="bottom"/>
          </w:tcPr>
          <w:p>
            <w:pPr>
              <w:ind w:left="40"/>
              <w:spacing w:after="0" w:line="206" w:lineRule="exact"/>
              <w:rPr>
                <w:sz w:val="20"/>
                <w:szCs w:val="20"/>
                <w:color w:val="auto"/>
              </w:rPr>
            </w:pPr>
            <w:r>
              <w:rPr>
                <w:rFonts w:ascii="Times New Roman" w:cs="Times New Roman" w:eastAsia="Times New Roman" w:hAnsi="Times New Roman"/>
                <w:sz w:val="18"/>
                <w:szCs w:val="18"/>
                <w:color w:val="auto"/>
              </w:rPr>
              <w:t>Senior Secured First Lien Notes</w:t>
            </w:r>
          </w:p>
        </w:tc>
        <w:tc>
          <w:tcPr>
            <w:tcW w:w="8560" w:type="dxa"/>
            <w:vAlign w:val="bottom"/>
          </w:tcPr>
          <w:p>
            <w:pPr>
              <w:ind w:left="380"/>
              <w:spacing w:after="0" w:line="206" w:lineRule="exact"/>
              <w:rPr>
                <w:sz w:val="20"/>
                <w:szCs w:val="20"/>
                <w:color w:val="auto"/>
              </w:rPr>
            </w:pPr>
            <w:r>
              <w:rPr>
                <w:rFonts w:ascii="Times New Roman" w:cs="Times New Roman" w:eastAsia="Times New Roman" w:hAnsi="Times New Roman"/>
                <w:sz w:val="18"/>
                <w:szCs w:val="18"/>
                <w:color w:val="auto"/>
                <w:w w:val="97"/>
              </w:rPr>
              <w:t>As of December 31, 2025, NRG’s $3.4 billion outstanding Senior Secured First Lien Notes consists of $900 million</w:t>
            </w:r>
          </w:p>
        </w:tc>
      </w:tr>
      <w:tr>
        <w:trPr>
          <w:trHeight w:val="197"/>
        </w:trPr>
        <w:tc>
          <w:tcPr>
            <w:tcW w:w="2680" w:type="dxa"/>
            <w:vAlign w:val="bottom"/>
          </w:tcPr>
          <w:p>
            <w:pPr>
              <w:spacing w:after="0"/>
              <w:rPr>
                <w:sz w:val="17"/>
                <w:szCs w:val="17"/>
                <w:color w:val="auto"/>
              </w:rPr>
            </w:pPr>
          </w:p>
        </w:tc>
        <w:tc>
          <w:tcPr>
            <w:tcW w:w="8560" w:type="dxa"/>
            <w:vAlign w:val="bottom"/>
          </w:tcPr>
          <w:p>
            <w:pPr>
              <w:ind w:left="380"/>
              <w:spacing w:after="0" w:line="197" w:lineRule="exact"/>
              <w:rPr>
                <w:sz w:val="20"/>
                <w:szCs w:val="20"/>
                <w:color w:val="auto"/>
              </w:rPr>
            </w:pPr>
            <w:r>
              <w:rPr>
                <w:rFonts w:ascii="Times New Roman" w:cs="Times New Roman" w:eastAsia="Times New Roman" w:hAnsi="Times New Roman"/>
                <w:sz w:val="18"/>
                <w:szCs w:val="18"/>
                <w:color w:val="auto"/>
              </w:rPr>
              <w:t>of the 2.450% Senior Secured First Lien Notes due 2027, $500 million of the 4.450% Senior Secured First Lien</w:t>
            </w:r>
          </w:p>
        </w:tc>
      </w:tr>
      <w:tr>
        <w:trPr>
          <w:trHeight w:val="184"/>
        </w:trPr>
        <w:tc>
          <w:tcPr>
            <w:tcW w:w="2680" w:type="dxa"/>
            <w:vAlign w:val="bottom"/>
          </w:tcPr>
          <w:p>
            <w:pPr>
              <w:spacing w:after="0"/>
              <w:rPr>
                <w:sz w:val="16"/>
                <w:szCs w:val="16"/>
                <w:color w:val="auto"/>
              </w:rPr>
            </w:pPr>
          </w:p>
        </w:tc>
        <w:tc>
          <w:tcPr>
            <w:tcW w:w="8560" w:type="dxa"/>
            <w:vAlign w:val="bottom"/>
          </w:tcPr>
          <w:p>
            <w:pPr>
              <w:ind w:left="380"/>
              <w:spacing w:after="0" w:line="184" w:lineRule="exact"/>
              <w:rPr>
                <w:sz w:val="20"/>
                <w:szCs w:val="20"/>
                <w:color w:val="auto"/>
              </w:rPr>
            </w:pPr>
            <w:r>
              <w:rPr>
                <w:rFonts w:ascii="Times New Roman" w:cs="Times New Roman" w:eastAsia="Times New Roman" w:hAnsi="Times New Roman"/>
                <w:sz w:val="18"/>
                <w:szCs w:val="18"/>
                <w:color w:val="auto"/>
                <w:w w:val="97"/>
              </w:rPr>
              <w:t>Notes due 2029, $625 million of the 4.734% Senior Secured First Lien Notes due 2030, $740 million of the 7.000%</w:t>
            </w:r>
          </w:p>
        </w:tc>
      </w:tr>
      <w:tr>
        <w:trPr>
          <w:trHeight w:val="184"/>
        </w:trPr>
        <w:tc>
          <w:tcPr>
            <w:tcW w:w="2680" w:type="dxa"/>
            <w:vAlign w:val="bottom"/>
          </w:tcPr>
          <w:p>
            <w:pPr>
              <w:spacing w:after="0"/>
              <w:rPr>
                <w:sz w:val="16"/>
                <w:szCs w:val="16"/>
                <w:color w:val="auto"/>
              </w:rPr>
            </w:pPr>
          </w:p>
        </w:tc>
        <w:tc>
          <w:tcPr>
            <w:tcW w:w="8560" w:type="dxa"/>
            <w:vAlign w:val="bottom"/>
          </w:tcPr>
          <w:p>
            <w:pPr>
              <w:ind w:left="380"/>
              <w:spacing w:after="0" w:line="184" w:lineRule="exact"/>
              <w:rPr>
                <w:sz w:val="20"/>
                <w:szCs w:val="20"/>
                <w:color w:val="auto"/>
              </w:rPr>
            </w:pPr>
            <w:r>
              <w:rPr>
                <w:rFonts w:ascii="Times New Roman" w:cs="Times New Roman" w:eastAsia="Times New Roman" w:hAnsi="Times New Roman"/>
                <w:sz w:val="18"/>
                <w:szCs w:val="18"/>
                <w:color w:val="auto"/>
              </w:rPr>
              <w:t>Senior Secured First Lien Notes due 2033 and $625 million of the 5.407% Senior Secured First Lien Notes due</w:t>
            </w:r>
          </w:p>
        </w:tc>
      </w:tr>
      <w:tr>
        <w:trPr>
          <w:trHeight w:val="228"/>
        </w:trPr>
        <w:tc>
          <w:tcPr>
            <w:tcW w:w="2680" w:type="dxa"/>
            <w:vAlign w:val="bottom"/>
          </w:tcPr>
          <w:p>
            <w:pPr>
              <w:spacing w:after="0"/>
              <w:rPr>
                <w:sz w:val="19"/>
                <w:szCs w:val="19"/>
                <w:color w:val="auto"/>
              </w:rPr>
            </w:pPr>
          </w:p>
        </w:tc>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2035</w:t>
            </w:r>
          </w:p>
        </w:tc>
      </w:tr>
      <w:tr>
        <w:trPr>
          <w:trHeight w:val="185"/>
        </w:trPr>
        <w:tc>
          <w:tcPr>
            <w:tcW w:w="2680" w:type="dxa"/>
            <w:vAlign w:val="bottom"/>
          </w:tcPr>
          <w:p>
            <w:pPr>
              <w:ind w:left="40"/>
              <w:spacing w:after="0" w:line="185" w:lineRule="exact"/>
              <w:rPr>
                <w:sz w:val="20"/>
                <w:szCs w:val="20"/>
                <w:color w:val="auto"/>
              </w:rPr>
            </w:pPr>
            <w:r>
              <w:rPr>
                <w:rFonts w:ascii="Times New Roman" w:cs="Times New Roman" w:eastAsia="Times New Roman" w:hAnsi="Times New Roman"/>
                <w:sz w:val="18"/>
                <w:szCs w:val="18"/>
                <w:color w:val="auto"/>
              </w:rPr>
              <w:t>Series A Preferred Stock</w:t>
            </w:r>
          </w:p>
        </w:tc>
        <w:tc>
          <w:tcPr>
            <w:tcW w:w="8560" w:type="dxa"/>
            <w:vAlign w:val="bottom"/>
          </w:tcPr>
          <w:p>
            <w:pPr>
              <w:ind w:left="380"/>
              <w:spacing w:after="0" w:line="185" w:lineRule="exact"/>
              <w:rPr>
                <w:sz w:val="20"/>
                <w:szCs w:val="20"/>
                <w:color w:val="auto"/>
              </w:rPr>
            </w:pPr>
            <w:r>
              <w:rPr>
                <w:rFonts w:ascii="Times New Roman" w:cs="Times New Roman" w:eastAsia="Times New Roman" w:hAnsi="Times New Roman"/>
                <w:sz w:val="18"/>
                <w:szCs w:val="18"/>
                <w:color w:val="auto"/>
              </w:rPr>
              <w:t>As of December 31, 2025, NRG's Series A Preferred Stock consists of 650,000 outstanding shares of the 10.25%</w:t>
            </w:r>
          </w:p>
        </w:tc>
      </w:tr>
      <w:tr>
        <w:trPr>
          <w:trHeight w:val="179"/>
        </w:trPr>
        <w:tc>
          <w:tcPr>
            <w:tcW w:w="2680" w:type="dxa"/>
            <w:vAlign w:val="bottom"/>
          </w:tcPr>
          <w:p>
            <w:pPr>
              <w:spacing w:after="0"/>
              <w:rPr>
                <w:sz w:val="15"/>
                <w:szCs w:val="15"/>
                <w:color w:val="auto"/>
              </w:rPr>
            </w:pPr>
          </w:p>
        </w:tc>
        <w:tc>
          <w:tcPr>
            <w:tcW w:w="8560" w:type="dxa"/>
            <w:vAlign w:val="bottom"/>
          </w:tcPr>
          <w:p>
            <w:pPr>
              <w:ind w:left="380"/>
              <w:spacing w:after="0" w:line="179" w:lineRule="exact"/>
              <w:rPr>
                <w:sz w:val="20"/>
                <w:szCs w:val="20"/>
                <w:color w:val="auto"/>
              </w:rPr>
            </w:pPr>
            <w:r>
              <w:rPr>
                <w:rFonts w:ascii="Times New Roman" w:cs="Times New Roman" w:eastAsia="Times New Roman" w:hAnsi="Times New Roman"/>
                <w:sz w:val="18"/>
                <w:szCs w:val="18"/>
                <w:color w:val="auto"/>
                <w:w w:val="98"/>
              </w:rPr>
              <w:t>Series A Fixed-Rate Reset Cumulative Redeemable Perpetual Preferred Stock, with a $1,000 liquidation preference</w:t>
            </w:r>
          </w:p>
        </w:tc>
      </w:tr>
      <w:tr>
        <w:trPr>
          <w:trHeight w:val="224"/>
        </w:trPr>
        <w:tc>
          <w:tcPr>
            <w:tcW w:w="2680" w:type="dxa"/>
            <w:vAlign w:val="bottom"/>
          </w:tcPr>
          <w:p>
            <w:pPr>
              <w:spacing w:after="0"/>
              <w:rPr>
                <w:sz w:val="19"/>
                <w:szCs w:val="19"/>
                <w:color w:val="auto"/>
              </w:rPr>
            </w:pPr>
          </w:p>
        </w:tc>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per share</w:t>
            </w:r>
          </w:p>
        </w:tc>
      </w:tr>
      <w:tr>
        <w:trPr>
          <w:trHeight w:val="224"/>
        </w:trPr>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Services</w:t>
            </w:r>
          </w:p>
        </w:tc>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NRG Services, which primarily includes the services businesses acquired in the Direct Energy acquisition</w:t>
            </w:r>
          </w:p>
        </w:tc>
      </w:tr>
      <w:tr>
        <w:trPr>
          <w:trHeight w:val="224"/>
        </w:trPr>
        <w:tc>
          <w:tcPr>
            <w:tcW w:w="2680" w:type="dxa"/>
            <w:vAlign w:val="bottom"/>
          </w:tcPr>
          <w:p>
            <w:pPr>
              <w:ind w:left="40"/>
              <w:spacing w:after="0" w:line="224" w:lineRule="exact"/>
              <w:rPr>
                <w:sz w:val="20"/>
                <w:szCs w:val="20"/>
                <w:color w:val="auto"/>
              </w:rPr>
            </w:pPr>
            <w:r>
              <w:rPr>
                <w:rFonts w:ascii="Times New Roman" w:cs="Times New Roman" w:eastAsia="Times New Roman" w:hAnsi="Times New Roman"/>
                <w:sz w:val="18"/>
                <w:szCs w:val="18"/>
                <w:color w:val="auto"/>
              </w:rPr>
              <w:t>SO</w:t>
            </w:r>
            <w:r>
              <w:rPr>
                <w:rFonts w:ascii="Times New Roman" w:cs="Times New Roman" w:eastAsia="Times New Roman" w:hAnsi="Times New Roman"/>
                <w:sz w:val="22"/>
                <w:szCs w:val="22"/>
                <w:color w:val="auto"/>
                <w:vertAlign w:val="subscript"/>
              </w:rPr>
              <w:t>2</w:t>
            </w:r>
          </w:p>
        </w:tc>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Sulfur Dioxide</w:t>
            </w:r>
          </w:p>
        </w:tc>
      </w:tr>
      <w:tr>
        <w:trPr>
          <w:trHeight w:val="224"/>
        </w:trPr>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SOFR</w:t>
            </w:r>
          </w:p>
        </w:tc>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176"/>
        </w:trPr>
        <w:tc>
          <w:tcPr>
            <w:tcW w:w="268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South Central Portfolio</w:t>
            </w:r>
          </w:p>
        </w:tc>
        <w:tc>
          <w:tcPr>
            <w:tcW w:w="8560" w:type="dxa"/>
            <w:vAlign w:val="bottom"/>
          </w:tcPr>
          <w:p>
            <w:pPr>
              <w:ind w:left="380"/>
              <w:spacing w:after="0" w:line="176" w:lineRule="exact"/>
              <w:rPr>
                <w:sz w:val="20"/>
                <w:szCs w:val="20"/>
                <w:color w:val="auto"/>
              </w:rPr>
            </w:pPr>
            <w:r>
              <w:rPr>
                <w:rFonts w:ascii="Times New Roman" w:cs="Times New Roman" w:eastAsia="Times New Roman" w:hAnsi="Times New Roman"/>
                <w:sz w:val="18"/>
                <w:szCs w:val="18"/>
                <w:color w:val="auto"/>
              </w:rPr>
              <w:t>NRG's South Central Portfolio, which owned and operated a portfolio of generation assets consisting of Bayou</w:t>
            </w:r>
          </w:p>
        </w:tc>
      </w:tr>
      <w:tr>
        <w:trPr>
          <w:trHeight w:val="179"/>
        </w:trPr>
        <w:tc>
          <w:tcPr>
            <w:tcW w:w="2680" w:type="dxa"/>
            <w:vAlign w:val="bottom"/>
          </w:tcPr>
          <w:p>
            <w:pPr>
              <w:spacing w:after="0"/>
              <w:rPr>
                <w:sz w:val="15"/>
                <w:szCs w:val="15"/>
                <w:color w:val="auto"/>
              </w:rPr>
            </w:pPr>
          </w:p>
        </w:tc>
        <w:tc>
          <w:tcPr>
            <w:tcW w:w="8560" w:type="dxa"/>
            <w:vAlign w:val="bottom"/>
          </w:tcPr>
          <w:p>
            <w:pPr>
              <w:ind w:left="380"/>
              <w:spacing w:after="0" w:line="179" w:lineRule="exact"/>
              <w:rPr>
                <w:sz w:val="20"/>
                <w:szCs w:val="20"/>
                <w:color w:val="auto"/>
              </w:rPr>
            </w:pPr>
            <w:r>
              <w:rPr>
                <w:rFonts w:ascii="Times New Roman" w:cs="Times New Roman" w:eastAsia="Times New Roman" w:hAnsi="Times New Roman"/>
                <w:sz w:val="18"/>
                <w:szCs w:val="18"/>
                <w:color w:val="auto"/>
              </w:rPr>
              <w:t>Cove, Big Cajun-I, Big Cajun-II, Cottonwood and Sterlington, was sold on February 4, 2019. NRG leased the</w:t>
            </w:r>
          </w:p>
        </w:tc>
      </w:tr>
      <w:tr>
        <w:trPr>
          <w:trHeight w:val="224"/>
        </w:trPr>
        <w:tc>
          <w:tcPr>
            <w:tcW w:w="2680" w:type="dxa"/>
            <w:vAlign w:val="bottom"/>
          </w:tcPr>
          <w:p>
            <w:pPr>
              <w:spacing w:after="0"/>
              <w:rPr>
                <w:sz w:val="19"/>
                <w:szCs w:val="19"/>
                <w:color w:val="auto"/>
              </w:rPr>
            </w:pPr>
          </w:p>
        </w:tc>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Cottonwood facility through May 2025</w:t>
            </w:r>
          </w:p>
        </w:tc>
      </w:tr>
      <w:tr>
        <w:trPr>
          <w:trHeight w:val="224"/>
        </w:trPr>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S&amp;P</w:t>
            </w:r>
          </w:p>
        </w:tc>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Standard &amp; Poor's</w:t>
            </w:r>
          </w:p>
        </w:tc>
      </w:tr>
      <w:tr>
        <w:trPr>
          <w:trHeight w:val="176"/>
        </w:trPr>
        <w:tc>
          <w:tcPr>
            <w:tcW w:w="268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STP</w:t>
            </w:r>
          </w:p>
        </w:tc>
        <w:tc>
          <w:tcPr>
            <w:tcW w:w="8560" w:type="dxa"/>
            <w:vAlign w:val="bottom"/>
          </w:tcPr>
          <w:p>
            <w:pPr>
              <w:ind w:left="380"/>
              <w:spacing w:after="0" w:line="176" w:lineRule="exact"/>
              <w:rPr>
                <w:sz w:val="20"/>
                <w:szCs w:val="20"/>
                <w:color w:val="auto"/>
              </w:rPr>
            </w:pPr>
            <w:r>
              <w:rPr>
                <w:rFonts w:ascii="Times New Roman" w:cs="Times New Roman" w:eastAsia="Times New Roman" w:hAnsi="Times New Roman"/>
                <w:sz w:val="18"/>
                <w:szCs w:val="18"/>
                <w:color w:val="auto"/>
              </w:rPr>
              <w:t>South Texas Project — a nuclear generating facility located near Bay City, Texas in which NRG owned a 44%</w:t>
            </w:r>
          </w:p>
        </w:tc>
      </w:tr>
      <w:tr>
        <w:trPr>
          <w:trHeight w:val="228"/>
        </w:trPr>
        <w:tc>
          <w:tcPr>
            <w:tcW w:w="2680" w:type="dxa"/>
            <w:vAlign w:val="bottom"/>
          </w:tcPr>
          <w:p>
            <w:pPr>
              <w:spacing w:after="0"/>
              <w:rPr>
                <w:sz w:val="19"/>
                <w:szCs w:val="19"/>
                <w:color w:val="auto"/>
              </w:rPr>
            </w:pPr>
          </w:p>
        </w:tc>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NRG closed on the sale of its interest in STP on November 1, 2023</w:t>
            </w:r>
          </w:p>
        </w:tc>
      </w:tr>
      <w:tr>
        <w:trPr>
          <w:trHeight w:val="227"/>
        </w:trPr>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STPNOC</w:t>
            </w:r>
          </w:p>
        </w:tc>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South Texas Project Nuclear Operating Company</w:t>
            </w:r>
          </w:p>
        </w:tc>
      </w:tr>
      <w:tr>
        <w:trPr>
          <w:trHeight w:val="224"/>
        </w:trPr>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TCJA</w:t>
            </w:r>
          </w:p>
        </w:tc>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Tax Cuts and Jobs Act of 2017</w:t>
            </w:r>
          </w:p>
        </w:tc>
      </w:tr>
      <w:tr>
        <w:trPr>
          <w:trHeight w:val="224"/>
        </w:trPr>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TDSP</w:t>
            </w:r>
          </w:p>
        </w:tc>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Transmission/distribution service provider</w:t>
            </w:r>
          </w:p>
        </w:tc>
      </w:tr>
      <w:tr>
        <w:trPr>
          <w:trHeight w:val="224"/>
        </w:trPr>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TEF</w:t>
            </w:r>
          </w:p>
        </w:tc>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Texas Energy Fund</w:t>
            </w:r>
          </w:p>
        </w:tc>
      </w:tr>
      <w:tr>
        <w:trPr>
          <w:trHeight w:val="224"/>
        </w:trPr>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Texas Generation Portfolio</w:t>
            </w:r>
          </w:p>
        </w:tc>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acquisition of a portfolio of power generation facilities and other assets from Rockland Capital, LLC</w:t>
            </w:r>
          </w:p>
        </w:tc>
      </w:tr>
      <w:tr>
        <w:trPr>
          <w:trHeight w:val="224"/>
        </w:trPr>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Texas Genco</w:t>
            </w:r>
          </w:p>
        </w:tc>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Texas Genco LLC</w:t>
            </w:r>
          </w:p>
        </w:tc>
      </w:tr>
      <w:tr>
        <w:trPr>
          <w:trHeight w:val="176"/>
        </w:trPr>
        <w:tc>
          <w:tcPr>
            <w:tcW w:w="268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T.H. Wharton</w:t>
            </w:r>
          </w:p>
        </w:tc>
        <w:tc>
          <w:tcPr>
            <w:tcW w:w="8560" w:type="dxa"/>
            <w:vAlign w:val="bottom"/>
          </w:tcPr>
          <w:p>
            <w:pPr>
              <w:ind w:left="380"/>
              <w:spacing w:after="0" w:line="176" w:lineRule="exact"/>
              <w:rPr>
                <w:sz w:val="20"/>
                <w:szCs w:val="20"/>
                <w:color w:val="auto"/>
              </w:rPr>
            </w:pPr>
            <w:r>
              <w:rPr>
                <w:rFonts w:ascii="Times New Roman" w:cs="Times New Roman" w:eastAsia="Times New Roman" w:hAnsi="Times New Roman"/>
                <w:sz w:val="18"/>
                <w:szCs w:val="18"/>
                <w:color w:val="auto"/>
                <w:w w:val="98"/>
              </w:rPr>
              <w:t>T.H. Wharton generation facility includes a 1,002 MW natural gas-fueled plant, which is currently operational, and</w:t>
            </w:r>
          </w:p>
        </w:tc>
      </w:tr>
      <w:tr>
        <w:trPr>
          <w:trHeight w:val="228"/>
        </w:trPr>
        <w:tc>
          <w:tcPr>
            <w:tcW w:w="2680" w:type="dxa"/>
            <w:vAlign w:val="bottom"/>
          </w:tcPr>
          <w:p>
            <w:pPr>
              <w:spacing w:after="0"/>
              <w:rPr>
                <w:sz w:val="19"/>
                <w:szCs w:val="19"/>
                <w:color w:val="auto"/>
              </w:rPr>
            </w:pPr>
          </w:p>
        </w:tc>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 additional 415 MW natural gas-fueled peaker plant, which is currently under construction</w:t>
            </w:r>
          </w:p>
        </w:tc>
      </w:tr>
      <w:tr>
        <w:trPr>
          <w:trHeight w:val="227"/>
        </w:trPr>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TSR</w:t>
            </w:r>
          </w:p>
        </w:tc>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Shareholder Return</w:t>
            </w:r>
          </w:p>
        </w:tc>
      </w:tr>
      <w:tr>
        <w:trPr>
          <w:trHeight w:val="224"/>
        </w:trPr>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TWh</w:t>
            </w:r>
          </w:p>
        </w:tc>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Terawatt Hour</w:t>
            </w:r>
          </w:p>
        </w:tc>
      </w:tr>
      <w:tr>
        <w:trPr>
          <w:trHeight w:val="224"/>
        </w:trPr>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24"/>
        </w:trPr>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VaR</w:t>
            </w:r>
          </w:p>
        </w:tc>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Value at Risk</w:t>
            </w:r>
          </w:p>
        </w:tc>
      </w:tr>
      <w:tr>
        <w:trPr>
          <w:trHeight w:val="224"/>
        </w:trPr>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VIE</w:t>
            </w:r>
          </w:p>
        </w:tc>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Variable Interest Entity</w:t>
            </w:r>
          </w:p>
        </w:tc>
      </w:tr>
      <w:tr>
        <w:trPr>
          <w:trHeight w:val="176"/>
        </w:trPr>
        <w:tc>
          <w:tcPr>
            <w:tcW w:w="268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Vivint LTIP</w:t>
            </w:r>
          </w:p>
        </w:tc>
        <w:tc>
          <w:tcPr>
            <w:tcW w:w="8560" w:type="dxa"/>
            <w:vAlign w:val="bottom"/>
          </w:tcPr>
          <w:p>
            <w:pPr>
              <w:ind w:left="380"/>
              <w:spacing w:after="0" w:line="176" w:lineRule="exact"/>
              <w:rPr>
                <w:sz w:val="20"/>
                <w:szCs w:val="20"/>
                <w:color w:val="auto"/>
              </w:rPr>
            </w:pPr>
            <w:r>
              <w:rPr>
                <w:rFonts w:ascii="Times New Roman" w:cs="Times New Roman" w:eastAsia="Times New Roman" w:hAnsi="Times New Roman"/>
                <w:sz w:val="18"/>
                <w:szCs w:val="18"/>
                <w:color w:val="auto"/>
                <w:w w:val="98"/>
              </w:rPr>
              <w:t>NRG Energy Inc., 2020 Omnibus Incentive Plan (Legacy Vivint) (formerly known as the Vivint Smart Home, Inc.</w:t>
            </w:r>
          </w:p>
        </w:tc>
      </w:tr>
      <w:tr>
        <w:trPr>
          <w:trHeight w:val="228"/>
        </w:trPr>
        <w:tc>
          <w:tcPr>
            <w:tcW w:w="2680" w:type="dxa"/>
            <w:vAlign w:val="bottom"/>
          </w:tcPr>
          <w:p>
            <w:pPr>
              <w:spacing w:after="0"/>
              <w:rPr>
                <w:sz w:val="19"/>
                <w:szCs w:val="19"/>
                <w:color w:val="auto"/>
              </w:rPr>
            </w:pPr>
          </w:p>
        </w:tc>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Incentive Plan), assumed by NRG pursuant to merger between NRG and Vivint</w:t>
            </w:r>
          </w:p>
        </w:tc>
      </w:tr>
      <w:tr>
        <w:trPr>
          <w:trHeight w:val="232"/>
        </w:trPr>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Winter Storm Uri</w:t>
            </w:r>
          </w:p>
        </w:tc>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 major winter and ice storm that had widespread impacts across North America occurring in February 2021</w:t>
            </w:r>
          </w:p>
        </w:tc>
      </w:tr>
      <w:tr>
        <w:trPr>
          <w:trHeight w:val="842"/>
        </w:trPr>
        <w:tc>
          <w:tcPr>
            <w:tcW w:w="2680" w:type="dxa"/>
            <w:vAlign w:val="bottom"/>
          </w:tcPr>
          <w:p>
            <w:pPr>
              <w:spacing w:after="0"/>
              <w:rPr>
                <w:sz w:val="24"/>
                <w:szCs w:val="24"/>
                <w:color w:val="auto"/>
              </w:rPr>
            </w:pPr>
          </w:p>
        </w:tc>
        <w:tc>
          <w:tcPr>
            <w:tcW w:w="856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6</w:t>
            </w:r>
          </w:p>
        </w:tc>
      </w:tr>
      <w:tr>
        <w:trPr>
          <w:trHeight w:val="112"/>
        </w:trPr>
        <w:tc>
          <w:tcPr>
            <w:tcW w:w="2680" w:type="dxa"/>
            <w:vAlign w:val="bottom"/>
            <w:tcBorders>
              <w:bottom w:val="single" w:sz="8" w:color="9A9A9A"/>
            </w:tcBorders>
          </w:tcPr>
          <w:p>
            <w:pPr>
              <w:spacing w:after="0"/>
              <w:rPr>
                <w:sz w:val="9"/>
                <w:szCs w:val="9"/>
                <w:color w:val="auto"/>
              </w:rPr>
            </w:pPr>
          </w:p>
        </w:tc>
        <w:tc>
          <w:tcPr>
            <w:tcW w:w="8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Business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NRG Energy, Inc., or NRG or the Company, serves electricity, natural gas, and smart-home technology solutions to approximately 8 million residential customers (comprised of 6 million retail energy and 2 million smart home), in addition to large commercial and industrial, data center, and wholesale customers. Across North America, NRG is redefining customers’ experience with energy under brand names such as NRG, Reliant, Direct Energy, Green Mountain Energy, and Vivint. As of December 31, 2025, the Company’s core power and natural gas business consists of approximately 12 GW of competitive power generation, primarily in Texas, and a natural gas portfolio that serves approximately 1,900 MMDth annually.</w:t>
      </w:r>
    </w:p>
    <w:p>
      <w:pPr>
        <w:spacing w:after="0" w:line="8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NRG sold 154 TWhs of electricity and 1,857 MMDth of natural gas in 2025, making it one of the largest competitive energy retailers in the U.S. As of the end of 2025, NRG had recurring electricity and/or natural gas sales in 25 U.S. states, the District of Columbia, and 8 provinces in Canada, and Vivint Smart Home served customers in all 50 U.S. states and the District of Columbia. NRG's retail brands, collectively, have the largest share of competitively served residential electric customers in Texas and is a leading business-to-business provider of power and natural gas in North America.</w:t>
      </w:r>
    </w:p>
    <w:p>
      <w:pPr>
        <w:spacing w:after="0" w:line="7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January 30, 2026, NRG completed the acquisition of the LSP Portfolio, pursuant to the Purchase and Sale Agreement (the “Purchase Agreement”) dated as of May 12, 2025. The LSP Portfolio includes 18 natural gas-fired and dual fuel facilities totaling approximately 13 GW of capacity, located across nine states, as well as CPower, a leading demand response platform.</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11" w:lineRule="exact"/>
        <w:rPr>
          <w:sz w:val="20"/>
          <w:szCs w:val="20"/>
          <w:color w:val="auto"/>
        </w:rPr>
      </w:pPr>
    </w:p>
    <w:p>
      <w:pPr>
        <w:jc w:val="both"/>
        <w:ind w:firstLine="395"/>
        <w:spacing w:after="0" w:line="278" w:lineRule="auto"/>
        <w:rPr>
          <w:sz w:val="20"/>
          <w:szCs w:val="20"/>
          <w:color w:val="auto"/>
        </w:rPr>
      </w:pPr>
      <w:r>
        <w:rPr>
          <w:rFonts w:ascii="Times New Roman" w:cs="Times New Roman" w:eastAsia="Times New Roman" w:hAnsi="Times New Roman"/>
          <w:sz w:val="16"/>
          <w:szCs w:val="16"/>
          <w:color w:val="auto"/>
        </w:rPr>
        <w:t>NRG's strategy is to maximize shareholder value by delivering integrated energy and smart home solutions, supported by an owned generation fleet and a diversified supply strategy. The Company generates power and sells electricity and natural gas to residential, commercial, industrial, and wholesale customers in the markets it serves. The Company also provides smart home security and automation services that deepen customer relationships and support long-term engagement. NRG operates a customer-first platform that promotes reliability and affordability amid rapid transformation in the energy sector. The Company is advancing opportunities to meet growing demand, including from data centers, other large load customers, and electrification. This includes (i) demand response and virtual power plants (“VPP”), which help manage costs and improve affordability for customers, (ii) completing the Texas Development Projects,</w:t>
      </w:r>
    </w:p>
    <w:p>
      <w:pPr>
        <w:spacing w:after="0" w:line="2" w:lineRule="exact"/>
        <w:rPr>
          <w:sz w:val="20"/>
          <w:szCs w:val="20"/>
          <w:color w:val="auto"/>
        </w:rPr>
      </w:pPr>
    </w:p>
    <w:p>
      <w:pPr>
        <w:jc w:val="both"/>
        <w:ind w:firstLine="5"/>
        <w:spacing w:after="0" w:line="245"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contract-backed generation and related infrastructure, supported by strategic partnerships with equipment manufacturers and engineering, procurement, and construction companies, and (iv) increasing capacity at existing facilities. The Company’s differentiated model is built to meet North America’s evolving needs while delivering affordable, reliable solutions for customers and long-term growth for shareholders. This strategy is intended to generate recurring cash flow, strengthen earnings and cost competitiveness, and reduce risk and volatility.</w:t>
      </w:r>
    </w:p>
    <w:p>
      <w:pPr>
        <w:spacing w:after="0" w:line="84"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To effectuate the Company’s strategy, NRG is focused on: (i) serving the energy needs of residential, commercial and industrial, and wholesale counterparties in competitive markets and optimizing on additional revenue opportunities through its multiple brands and channels; (ii) offering a variety of energy products and smart home products and services that are differentiated by innovative, value-additive features, premium service, integrated platforms, sustainability, loyalty/affinity programs, and affordability; (iii) excellence in operating performance of its assets; (iv) achieving the optimal mix of supply to serve its customer load requirements through a diversified supply strategy, including expanding its operational capacity to meet growing retail power supply needs; and (v) engaging in disciplined and transparent capital allocation.</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9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Company’s core businesses are the sale of electricity and natural gas to residential, commercial and industrial and wholesale customers, supported by the Company's wholesale electric generation, as well as the sale of smart home products and services. NRG manages its electricity and natural gas operations based on the combined results of the retail, wholesale and generation businesses with a geographical focus. Vivint Smart Home operations are reported within the Vivint Smart Home segment.</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business is segmented as follows:</w:t>
      </w:r>
    </w:p>
    <w:p>
      <w:pPr>
        <w:spacing w:after="0" w:line="109" w:lineRule="exact"/>
        <w:rPr>
          <w:sz w:val="20"/>
          <w:szCs w:val="20"/>
          <w:color w:val="auto"/>
        </w:rPr>
      </w:pPr>
    </w:p>
    <w:p>
      <w:pPr>
        <w:ind w:left="640" w:hanging="24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which includes all activity related to customer, plant and market operations in Texas;</w:t>
      </w:r>
    </w:p>
    <w:p>
      <w:pPr>
        <w:spacing w:after="0" w:line="56"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East, which includes all activity related to customer, plant and market operations in the East;</w:t>
      </w:r>
    </w:p>
    <w:p>
      <w:pPr>
        <w:spacing w:after="0" w:line="56" w:lineRule="exact"/>
        <w:rPr>
          <w:rFonts w:ascii="Times New Roman" w:cs="Times New Roman" w:eastAsia="Times New Roman" w:hAnsi="Times New Roman"/>
          <w:sz w:val="18"/>
          <w:szCs w:val="18"/>
          <w:color w:val="auto"/>
        </w:rPr>
      </w:pPr>
    </w:p>
    <w:p>
      <w:pPr>
        <w:ind w:left="640" w:hanging="240"/>
        <w:spacing w:after="0" w:line="268"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West/Other, which primarily includes the following assets and activities: (i) all activity related to customer, plant and market operations in the West and Canada, and (ii) other investments;</w:t>
      </w:r>
    </w:p>
    <w:p>
      <w:pPr>
        <w:spacing w:after="0" w:line="11"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Vivint Smart Home; and</w:t>
      </w:r>
    </w:p>
    <w:p>
      <w:pPr>
        <w:spacing w:after="0" w:line="56"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activities.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7" w:name="page8"/>
    <w:bookmarkEnd w:id="7"/>
    <w:p>
      <w:pPr>
        <w:jc w:val="both"/>
        <w:ind w:firstLine="395"/>
        <w:spacing w:after="0" w:line="282" w:lineRule="auto"/>
        <w:rPr>
          <w:sz w:val="20"/>
          <w:szCs w:val="20"/>
          <w:color w:val="auto"/>
        </w:rPr>
      </w:pPr>
      <w:r>
        <w:rPr>
          <w:rFonts w:ascii="Times New Roman" w:cs="Times New Roman" w:eastAsia="Times New Roman" w:hAnsi="Times New Roman"/>
          <w:sz w:val="16"/>
          <w:szCs w:val="16"/>
          <w:color w:val="auto"/>
        </w:rPr>
        <w:t>In Texas, the Company’s generation supply is fully integrated with its retail load. This integrated model provides the advantage of being able to supply a portion of the Company’s retail customers with electricity from the Company’s assets, which reduces the need to sell electricity to, and buy electricity from, other institutions and intermediaries, resulting in more stable earnings and cash flows, lower transaction costs and less credit exposure. The integrated model also results in a reduction in actual and contingent collateral through offsetting transactions, thereby reducing transactions with third parties.</w:t>
      </w:r>
    </w:p>
    <w:p>
      <w:pPr>
        <w:spacing w:after="0" w:line="43" w:lineRule="exact"/>
        <w:rPr>
          <w:sz w:val="20"/>
          <w:szCs w:val="20"/>
          <w:color w:val="auto"/>
        </w:rPr>
      </w:pPr>
    </w:p>
    <w:p>
      <w:pPr>
        <w:ind w:left="400" w:right="100"/>
        <w:spacing w:after="0" w:line="366" w:lineRule="auto"/>
        <w:rPr>
          <w:sz w:val="20"/>
          <w:szCs w:val="20"/>
          <w:color w:val="auto"/>
        </w:rPr>
      </w:pPr>
      <w:r>
        <w:rPr>
          <w:rFonts w:ascii="Times New Roman" w:cs="Times New Roman" w:eastAsia="Times New Roman" w:hAnsi="Times New Roman"/>
          <w:sz w:val="18"/>
          <w:szCs w:val="18"/>
          <w:color w:val="auto"/>
        </w:rPr>
        <w:t xml:space="preserve">The integrated model consists of three core functions in each geographic segment above: Customer Operations, Market Operations and Plant Operations. </w:t>
      </w:r>
      <w:r>
        <w:rPr>
          <w:rFonts w:ascii="Times New Roman" w:cs="Times New Roman" w:eastAsia="Times New Roman" w:hAnsi="Times New Roman"/>
          <w:sz w:val="18"/>
          <w:szCs w:val="18"/>
          <w:b w:val="1"/>
          <w:bCs w:val="1"/>
          <w:i w:val="1"/>
          <w:iCs w:val="1"/>
          <w:color w:val="auto"/>
        </w:rPr>
        <w:t>Customer Operations</w:t>
      </w: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Customer Operations is responsible for growing and retaining the customer base and delivering an outstanding customer experience. This includes acquisition and retention of all of NRG’s residential, small commercial, commercial and industrial, data centers and government customers. NRG employs a multi-brand strategy that leverages a wide array of sales and partnership channels, direct face-to-face sales channels, call centers, websites, and brokers. Go-to-market activities include market strategy planning and development, product innovation, offer design, campaign execution, marketing and creative services, and selling. Customer portfolio maintenance and retention activities include fulfillment, billing, payment processing, collections, customer service, issue resolution, and contract renewals. NRG provides energy and related services at either fixed, indexed or month-to-month prices. Home customers typically contract for terms ranging from one month to five years, while Business customers typically contract for terms ranging from one year to five years in length and extended contractual terms are available. Throughout all Customer Operations activities, the customer experience is kept at the forefront to inform decision-making and optimize retention, while creating supporters and advocates for NRG’s brands in the market. Customer Operations primarily comprises two end-use customer facing teams: NRG Home, which serves residential customers, and NRG Business, which serves business customers.</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Product Offerings</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NRG sells a variety of products and services to residential and small commercial customers, in a wide variety of sales channels, including retail electricity, energy management, demand response and/or virtual power plant programs, natural gas, and carbon offsets. Home customers make purchase decisions based on a variety of factors, including price, incentive, customer service, brand, innovative offers/features and referrals from friends and family. Through its broad range of service offerings and value propositions, NRG seeks to attract, retain, and increase the value of its customer relationships by enhancing affordability. NRG's brands are recognized for exemplary customer service, innovative smart energy and environmentally-friendly solutions.</w:t>
      </w:r>
    </w:p>
    <w:p>
      <w:pPr>
        <w:spacing w:after="0" w:line="8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 provides power and natural gas, as well as retail services, to large business and commercial and industrial customers in North America. These solutions include system power, natural gas, demand response, distributed and backup generation, energy storage, energy management, renewable and low-carbon products and carbon management, energy efficiency, and bring your own power (“BYOP”) arrangements for large loads.</w:t>
      </w:r>
    </w:p>
    <w:p>
      <w:pPr>
        <w:spacing w:after="0" w:line="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Market Operations</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Market Operations has two primary objectives: to supply energy to customers in the most cost-efficient manner and to maximize the value of the Company's assets in satisfying its customer load requirements. These objectives are intended to reduce supply costs and maximize earnings with predictable cash flows.</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Power and natural gas are the two main commercial groups within Market Operations.</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Power</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power commercial group is responsible for end-use electricity supply including power plant optimization and certain fuel supply. To meet the market operations objectives, NRG enters into supply, power and gas hedging agreements via a wide range of products and contracts, including (i) physical and financial commodity instruments, (ii) fuel supply and transportation contracts, and (iii) capacity and other contracted revenue or supply sources, as further discussed below.</w:t>
      </w:r>
    </w:p>
    <w:p>
      <w:pPr>
        <w:spacing w:after="0" w:line="7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addition, because changes in power prices in the markets where NRG operates are generally correlated to changes in natural gas prices, NRG uses hedging strategies that may include power and natural gas forward purchases and sales contracts to manage commodity price risk.</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Physical and Financial Commodity Instruments</w:t>
      </w:r>
    </w:p>
    <w:p>
      <w:pPr>
        <w:spacing w:after="0" w:line="10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NRG trades power, natural gas, environmental, weather and other physical and financial commodity related products, including forwards, futures, options and swaps. NRG enters into these instruments primarily to manage price and delivery risk, optimize physical and contractual assets in the portfolio, manage working capital requirements, reduce the carbon exposure in its business and comply with laws and regulations.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8" w:name="page9"/>
    <w:bookmarkEnd w:id="8"/>
    <w:p>
      <w:pPr>
        <w:ind w:left="400"/>
        <w:spacing w:after="0"/>
        <w:rPr>
          <w:sz w:val="20"/>
          <w:szCs w:val="20"/>
          <w:color w:val="auto"/>
        </w:rPr>
      </w:pPr>
      <w:r>
        <w:rPr>
          <w:rFonts w:ascii="Times New Roman" w:cs="Times New Roman" w:eastAsia="Times New Roman" w:hAnsi="Times New Roman"/>
          <w:sz w:val="18"/>
          <w:szCs w:val="18"/>
          <w:color w:val="auto"/>
        </w:rPr>
        <w:t>Fuel Supply and Transportation Contracts</w:t>
      </w:r>
    </w:p>
    <w:p>
      <w:pPr>
        <w:spacing w:after="0" w:line="109"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NRG's fuel requirements consist of various forms of fossil fuel. The prices of fossil fuels can be volatile. The Company obtains its fossil fuels from multiple suppliers and through multiple transporters. Although availability is generally not an issue, localized shortages, transportation availability, delays arising from extreme weather conditions and supplier financial stability issues can and do occur. The preceding factors related to the sources and availability of raw materials are fairly uniform across the Company's business and fuel products used. NRG's primary fuel requirements consist of the following:</w:t>
      </w:r>
    </w:p>
    <w:p>
      <w:pPr>
        <w:spacing w:after="0" w:line="47"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Natural Gas </w:t>
      </w:r>
      <w:r>
        <w:rPr>
          <w:rFonts w:ascii="Times New Roman" w:cs="Times New Roman" w:eastAsia="Times New Roman" w:hAnsi="Times New Roman"/>
          <w:sz w:val="18"/>
          <w:szCs w:val="18"/>
          <w:color w:val="auto"/>
        </w:rPr>
        <w:t>— NRG operates a fleet of mid-merit and peaking natural gas plants. Fuel needs are managed by the natural gas commercial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on a spot basis, as the Company does not believe it is prudent to forward purchase natural gas for these types of units as the dispatch is highly unpredictable. Natural gas storage and transportation contracts are utilized to reduce daily volatility.</w:t>
      </w:r>
    </w:p>
    <w:p>
      <w:pPr>
        <w:spacing w:after="0" w:line="72" w:lineRule="exact"/>
        <w:rPr>
          <w:sz w:val="20"/>
          <w:szCs w:val="20"/>
          <w:color w:val="auto"/>
        </w:rPr>
      </w:pPr>
    </w:p>
    <w:p>
      <w:pPr>
        <w:jc w:val="both"/>
        <w:ind w:firstLine="632"/>
        <w:spacing w:after="0" w:line="289" w:lineRule="auto"/>
        <w:rPr>
          <w:sz w:val="20"/>
          <w:szCs w:val="20"/>
          <w:color w:val="auto"/>
        </w:rPr>
      </w:pPr>
      <w:r>
        <w:rPr>
          <w:rFonts w:ascii="Times New Roman" w:cs="Times New Roman" w:eastAsia="Times New Roman" w:hAnsi="Times New Roman"/>
          <w:sz w:val="16"/>
          <w:szCs w:val="16"/>
          <w:i w:val="1"/>
          <w:iCs w:val="1"/>
          <w:color w:val="auto"/>
        </w:rPr>
        <w:t xml:space="preserve">Coal </w:t>
      </w:r>
      <w:r>
        <w:rPr>
          <w:rFonts w:ascii="Times New Roman" w:cs="Times New Roman" w:eastAsia="Times New Roman" w:hAnsi="Times New Roman"/>
          <w:sz w:val="16"/>
          <w:szCs w:val="16"/>
          <w:color w:val="auto"/>
        </w:rPr>
        <w:t>— NRG actively manages its coal requirements based on forecasted generation, market volatility and its inventory on site. The Company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believes it is adequately hedged, using forward coal supply agreements, for its domestic coal consumption for 2026. As of December 31, 2025, NRG had purchased forward contracts to provide fuel for the Company's expected requirements for 2026. For the domestic fleet, NRG purchased approximately 15 million tons of coal in 2025, all of which was Powder River Basin coal. For fuel transport, NRG has entered into various rail transportation and rail car lease agreements with varying tenures, which will provide for the Company's transportation requirements of Powder River Basin coal for the next four years.</w:t>
      </w:r>
    </w:p>
    <w:p>
      <w:pPr>
        <w:spacing w:after="0" w:line="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Capacity and Other Contracted Revenue or Supply Sources</w:t>
      </w:r>
    </w:p>
    <w:p>
      <w:pPr>
        <w:spacing w:after="0" w:line="10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NRG's revenues and/or cash flows, primarily in the East and West, benefit from capacity/demand payments and other contracted revenue sources, originating from market clearing capacity prices, tolling arrangements and other long-term contractual arrangements.</w:t>
      </w:r>
    </w:p>
    <w:p>
      <w:pPr>
        <w:spacing w:after="0" w:line="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Natural Gas</w:t>
      </w:r>
    </w:p>
    <w:p>
      <w:pPr>
        <w:spacing w:after="0" w:line="11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natural gas commercial group is responsible for costing, logistics and supply for all of NRG's residential, commercial and industrial, and wholesale customers. NRG has contractual rights to natural gas transportation and storage assets across its footprint that allow for optimal supply economics in support of its various businesses. NRG's diversified load coupled with this asset portfolio enables the Company to deliver supply economically while providing incremental optimization activities when market conditions allow. The scale of the natural gas operation extends from the wellhead (through its producer services business) to end use customers (through NRG's various sales channels). This scale, coupled with the Company's associated assets, gas system platform and people, create significant value across North America.</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Plant Operations</w:t>
      </w:r>
    </w:p>
    <w:p>
      <w:pPr>
        <w:spacing w:after="0" w:line="11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As of December 31, 2025, the Company owns a diversified wholesale generation portfolio with approximately 12 GW of fossil fuel, and renewable generation capacity at 23 plants. The Company's wholesale generation assets are diversified by fuel-type and dispatch level, which helps mitigate the risks associated with fuel price volatility and market demand cycles. NRG continually evaluates its generation portfolio to focus on asset optimization opportunities and the locational value of its generation assets in each of the markets where the Company participates, as well as opportunities for the development of new generation.</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NRG's generation portfolio as of December 31, 2025:</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w w:val="99"/>
              </w:rPr>
              <w:t>(In MW)</w:t>
            </w:r>
            <w:r>
              <w:rPr>
                <w:rFonts w:ascii="Times New Roman" w:cs="Times New Roman" w:eastAsia="Times New Roman" w:hAnsi="Times New Roman"/>
                <w:sz w:val="20"/>
                <w:szCs w:val="20"/>
                <w:b w:val="1"/>
                <w:bCs w:val="1"/>
                <w:color w:val="auto"/>
                <w:w w:val="99"/>
                <w:vertAlign w:val="superscript"/>
              </w:rPr>
              <w:t>(a)</w:t>
            </w: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04"/>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Type</w:t>
            </w:r>
          </w:p>
        </w:tc>
        <w:tc>
          <w:tcPr>
            <w:tcW w:w="1600" w:type="dxa"/>
            <w:vAlign w:val="bottom"/>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rPr>
              <w:t>Texas</w:t>
            </w:r>
          </w:p>
        </w:tc>
        <w:tc>
          <w:tcPr>
            <w:tcW w:w="1780" w:type="dxa"/>
            <w:vAlign w:val="bottom"/>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East</w:t>
            </w:r>
          </w:p>
        </w:tc>
        <w:tc>
          <w:tcPr>
            <w:tcW w:w="1340" w:type="dxa"/>
            <w:vAlign w:val="bottom"/>
            <w:gridSpan w:val="2"/>
          </w:tcPr>
          <w:p>
            <w:pPr>
              <w:ind w:left="60"/>
              <w:spacing w:after="0" w:line="204" w:lineRule="exact"/>
              <w:rPr>
                <w:sz w:val="20"/>
                <w:szCs w:val="20"/>
                <w:color w:val="auto"/>
              </w:rPr>
            </w:pPr>
            <w:r>
              <w:rPr>
                <w:rFonts w:ascii="Times New Roman" w:cs="Times New Roman" w:eastAsia="Times New Roman" w:hAnsi="Times New Roman"/>
                <w:sz w:val="16"/>
                <w:szCs w:val="16"/>
                <w:b w:val="1"/>
                <w:bCs w:val="1"/>
                <w:color w:val="auto"/>
              </w:rPr>
              <w:t>West/Other</w:t>
            </w:r>
            <w:r>
              <w:rPr>
                <w:rFonts w:ascii="Times New Roman" w:cs="Times New Roman" w:eastAsia="Times New Roman" w:hAnsi="Times New Roman"/>
                <w:sz w:val="20"/>
                <w:szCs w:val="20"/>
                <w:b w:val="1"/>
                <w:bCs w:val="1"/>
                <w:color w:val="auto"/>
                <w:vertAlign w:val="superscript"/>
              </w:rPr>
              <w:t>(b)</w:t>
            </w:r>
          </w:p>
        </w:tc>
        <w:tc>
          <w:tcPr>
            <w:tcW w:w="120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7"/>
        </w:trPr>
        <w:tc>
          <w:tcPr>
            <w:tcW w:w="5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w:t>
            </w:r>
          </w:p>
        </w:tc>
      </w:tr>
      <w:tr>
        <w:trPr>
          <w:trHeight w:val="224"/>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Coal</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6,345</w:t>
            </w:r>
          </w:p>
        </w:tc>
      </w:tr>
      <w:tr>
        <w:trPr>
          <w:trHeight w:val="224"/>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w:t>
            </w: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24"/>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Utility Scale Solar</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42"/>
        </w:trPr>
        <w:tc>
          <w:tcPr>
            <w:tcW w:w="5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generation capacity</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12,276</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43" w:lineRule="exact"/>
        <w:rPr>
          <w:sz w:val="20"/>
          <w:szCs w:val="20"/>
          <w:color w:val="auto"/>
        </w:rPr>
      </w:pPr>
    </w:p>
    <w:p>
      <w:pPr>
        <w:ind w:left="400" w:hanging="395"/>
        <w:spacing w:after="0" w:line="254" w:lineRule="auto"/>
        <w:tabs>
          <w:tab w:leader="none" w:pos="398"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Utility Scale Solar is described in MW on an alternating current basis. MW figures provided represent nominal summer net MW capacity of power generated as adjusted for the Company's owned interest</w:t>
      </w:r>
    </w:p>
    <w:p>
      <w:pPr>
        <w:ind w:left="400" w:hanging="395"/>
        <w:spacing w:after="0"/>
        <w:tabs>
          <w:tab w:leader="none" w:pos="4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proportionate share of equity owned investments</w:t>
      </w:r>
    </w:p>
    <w:p>
      <w:pPr>
        <w:spacing w:after="0" w:line="108" w:lineRule="exact"/>
        <w:rPr>
          <w:sz w:val="20"/>
          <w:szCs w:val="20"/>
          <w:color w:val="auto"/>
        </w:rPr>
      </w:pPr>
    </w:p>
    <w:p>
      <w:pPr>
        <w:ind w:firstLine="391"/>
        <w:spacing w:after="0" w:line="268" w:lineRule="auto"/>
        <w:rPr>
          <w:sz w:val="20"/>
          <w:szCs w:val="20"/>
          <w:color w:val="auto"/>
        </w:rPr>
      </w:pPr>
      <w:r>
        <w:rPr>
          <w:rFonts w:ascii="Times New Roman" w:cs="Times New Roman" w:eastAsia="Times New Roman" w:hAnsi="Times New Roman"/>
          <w:sz w:val="18"/>
          <w:szCs w:val="18"/>
          <w:color w:val="auto"/>
        </w:rPr>
        <w:t>Plant Operations is responsible for operating the Company's generation facilities at high standards of safety and regulatory compliance, and includes (i) operations and maintenance, (ii) asset management, and (iii) development, engineering and construction.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9" w:name="page10"/>
    <w:bookmarkEnd w:id="9"/>
    <w:p>
      <w:pPr>
        <w:ind w:left="400"/>
        <w:spacing w:after="0"/>
        <w:rPr>
          <w:sz w:val="20"/>
          <w:szCs w:val="20"/>
          <w:color w:val="auto"/>
        </w:rPr>
      </w:pPr>
      <w:r>
        <w:rPr>
          <w:rFonts w:ascii="Times New Roman" w:cs="Times New Roman" w:eastAsia="Times New Roman" w:hAnsi="Times New Roman"/>
          <w:sz w:val="18"/>
          <w:szCs w:val="18"/>
          <w:i w:val="1"/>
          <w:iCs w:val="1"/>
          <w:color w:val="auto"/>
        </w:rPr>
        <w:t>Operations &amp; Maintenance</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NRG operates and maintains its generation portfolio, as well as approximately 6,200 MW of additional coal, natural gas and wind generation capacity at 13 plants operated on behalf of third parties as of December 31, 2025 using prudent industry practices that are designed for the safe, reliable and economic generation of electricity in compliance with all local, state and federal requirements applicable to NRG’s operations. The Company upholds consistent operating requirements supported by strict compliance with safety, environmental and regulatory standards, comprehensive training, disciplined use of procedures and checklists, and a commitment to continuous improvement.</w:t>
      </w:r>
    </w:p>
    <w:p>
      <w:pPr>
        <w:spacing w:after="0" w:line="8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NRG uses industry leading maintenance practices for preventive, predictive and corrective maintenance planning. The Company’s strategic planning process evaluates equipment condition, performance, and obsolescence to support the development of a comprehensive work scope and schedule for long-term performance.</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Asset Management</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NRG manages all aspects of its generation portfolio to </w:t>
      </w:r>
      <w:r>
        <w:rPr>
          <w:rFonts w:ascii="Times New Roman" w:cs="Times New Roman" w:eastAsia="Times New Roman" w:hAnsi="Times New Roman"/>
          <w:sz w:val="18"/>
          <w:szCs w:val="18"/>
          <w:color w:val="212121"/>
        </w:rPr>
        <w:t>optimize the lifecycle value of the assets,</w:t>
      </w:r>
      <w:r>
        <w:rPr>
          <w:rFonts w:ascii="Times New Roman" w:cs="Times New Roman" w:eastAsia="Times New Roman" w:hAnsi="Times New Roman"/>
          <w:sz w:val="18"/>
          <w:szCs w:val="18"/>
          <w:color w:val="auto"/>
        </w:rPr>
        <w:t xml:space="preserve"> consistent with the Company’s goals. The Company evaluates capital projects required for continued operation and strategic enhancement of the assets, </w:t>
      </w:r>
      <w:r>
        <w:rPr>
          <w:rFonts w:ascii="Times New Roman" w:cs="Times New Roman" w:eastAsia="Times New Roman" w:hAnsi="Times New Roman"/>
          <w:sz w:val="18"/>
          <w:szCs w:val="18"/>
          <w:color w:val="212121"/>
        </w:rPr>
        <w:t>provides quality assurance on capital outlays,</w:t>
      </w:r>
      <w:r>
        <w:rPr>
          <w:rFonts w:ascii="Times New Roman" w:cs="Times New Roman" w:eastAsia="Times New Roman" w:hAnsi="Times New Roman"/>
          <w:sz w:val="18"/>
          <w:szCs w:val="18"/>
          <w:color w:val="auto"/>
        </w:rPr>
        <w:t xml:space="preserve"> and assesses the impact of rules, regulations, and laws on business profitability. In addition, the Company manages its long-term contracts and real estate holdings and provides management services.</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Development, Engineering &amp; Construction</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NRG develops, engineers and executes major plant projects as well as “new build” generation, uprates, and energy storage projects that enhance the value of its generation portfolio and provide options to meet generation growth needs (including BYOP arrangements for data centers and other large load customers). These projects have included natural gas-fired generation development and construction, coal to gas conversions, grid scale energy storage development, grid scale renewable construction, and asset demolition, remediation and reclamation work.</w:t>
      </w:r>
    </w:p>
    <w:p>
      <w:pPr>
        <w:spacing w:after="0" w:line="7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Texas Development Projects </w:t>
      </w:r>
      <w:r>
        <w:rPr>
          <w:rFonts w:ascii="Times New Roman" w:cs="Times New Roman" w:eastAsia="Times New Roman" w:hAnsi="Times New Roman"/>
          <w:sz w:val="18"/>
          <w:szCs w:val="18"/>
          <w:color w:val="auto"/>
        </w:rPr>
        <w:t>— During 2025, NRG advanced progress on three new generation projects aimed at expanding its operational capacity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 growing retail power supply needs in the ERCOT wholesale electric market. The projects include a 415 MW peaker plant at T.H. Wharton, expected to be operational in June 2026, plus a 689 MW combined cycle generating facility at Cedar Bayou 5, and a 443 MW peaker plant at Greens Bayou 6, both of which are expected to be operational in mid-2028. The addition of these Texas projects, financed by the TEF, strategically align with NRG’s commitment to meet the growing energy needs of its customers.</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Vivint Smart Home</w:t>
      </w:r>
    </w:p>
    <w:p>
      <w:pPr>
        <w:spacing w:after="0" w:line="11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Vivint Smart Home is a leading smart home platform that provides customers with technology, products and services to create a smarter and safer home. A smart home has multiple devices integrated into a single expandable platform that incorporates artificial intelligence (“AI”) and machine-learning in its operating system, which allows customers to interact with and manage their home from anywhere via the Vivint app on their smart device. Vivint Smart Home provides a customized solution for the home using integrated smart cameras (indoor, outdoor and doorbell), locks, lights, thermostats, garage door controls and a host of other safety and security sensors. NRG combines these solutions with energy products to unlock value at the intersection of energy and smart home, scale the Company’s residential VPP, and give customers a tool to manage and lower their energy costs.</w:t>
      </w:r>
    </w:p>
    <w:p>
      <w:pPr>
        <w:spacing w:after="0" w:line="8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Vivint Smart Home provides a fully integrated solution for consumers, including hardware, software, sales, installation by trained and experienced in-home service professionals, customer service, technical support and professional monitoring. This seamless integration of high-quality products and services resulted in an average customer lifetime of approximately nine years as of December 31, 2025. The Company believes its ability to offer related or adjacent products and services that leverage the existing smart home platform, such as its energy services and home protection products, can extend the average customer lifetime and increase the lifetime value of customers. As of December 31, 2025, Vivint Smart Home's cloud-based home platform supported more than 37 million connected in-home devices, representing an average of approximately 16 devices per household.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0" w:name="page11"/>
    <w:bookmarkEnd w:id="10"/>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Operational </w:t>
      </w:r>
      <w:r>
        <w:rPr>
          <w:rFonts w:ascii="Times New Roman" w:cs="Times New Roman" w:eastAsia="Times New Roman" w:hAnsi="Times New Roman"/>
          <w:sz w:val="18"/>
          <w:szCs w:val="18"/>
          <w:b w:val="1"/>
          <w:bCs w:val="1"/>
          <w:color w:val="auto"/>
        </w:rPr>
        <w:t>Statistics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statistics represent the Company's retail load and customer count: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440" w:type="dxa"/>
            <w:vAlign w:val="bottom"/>
          </w:tcPr>
          <w:p>
            <w:pPr>
              <w:spacing w:after="0"/>
              <w:rPr>
                <w:sz w:val="18"/>
                <w:szCs w:val="18"/>
                <w:color w:val="auto"/>
              </w:rPr>
            </w:pPr>
          </w:p>
        </w:tc>
        <w:tc>
          <w:tcPr>
            <w:tcW w:w="2900" w:type="dxa"/>
            <w:vAlign w:val="bottom"/>
            <w:tcBorders>
              <w:bottom w:val="single" w:sz="8" w:color="auto"/>
            </w:tcBorders>
            <w:gridSpan w:val="5"/>
          </w:tcPr>
          <w:p>
            <w:pPr>
              <w:ind w:left="10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rPr>
                <w:sz w:val="18"/>
                <w:szCs w:val="18"/>
                <w:color w:val="auto"/>
              </w:rPr>
            </w:pPr>
          </w:p>
        </w:tc>
      </w:tr>
      <w:tr>
        <w:trPr>
          <w:trHeight w:val="205"/>
        </w:trPr>
        <w:tc>
          <w:tcPr>
            <w:tcW w:w="744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5"/>
        </w:trPr>
        <w:tc>
          <w:tcPr>
            <w:tcW w:w="7440" w:type="dxa"/>
            <w:vAlign w:val="bottom"/>
            <w:shd w:val="clear" w:color="auto" w:fill="CCEEFF"/>
          </w:tcPr>
          <w:p>
            <w:pPr>
              <w:ind w:left="140"/>
              <w:spacing w:after="0" w:line="205" w:lineRule="exact"/>
              <w:rPr>
                <w:sz w:val="20"/>
                <w:szCs w:val="20"/>
                <w:color w:val="auto"/>
              </w:rPr>
            </w:pPr>
            <w:r>
              <w:rPr>
                <w:rFonts w:ascii="Times New Roman" w:cs="Times New Roman" w:eastAsia="Times New Roman" w:hAnsi="Times New Roman"/>
                <w:sz w:val="18"/>
                <w:szCs w:val="18"/>
                <w:b w:val="1"/>
                <w:bCs w:val="1"/>
                <w:color w:val="auto"/>
              </w:rPr>
              <w:t xml:space="preserve">Sales volumes - Electricity </w:t>
            </w:r>
            <w:r>
              <w:rPr>
                <w:rFonts w:ascii="Times New Roman" w:cs="Times New Roman" w:eastAsia="Times New Roman" w:hAnsi="Times New Roman"/>
                <w:sz w:val="18"/>
                <w:szCs w:val="18"/>
                <w:b w:val="1"/>
                <w:bCs w:val="1"/>
                <w:i w:val="1"/>
                <w:iCs w:val="1"/>
                <w:color w:val="auto"/>
              </w:rPr>
              <w:t>(in GWh)</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4"/>
        </w:trPr>
        <w:tc>
          <w:tcPr>
            <w:tcW w:w="7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Home - Texas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38,817</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40,032</w:t>
            </w:r>
          </w:p>
        </w:tc>
      </w:tr>
      <w:tr>
        <w:trPr>
          <w:trHeight w:val="224"/>
        </w:trPr>
        <w:tc>
          <w:tcPr>
            <w:tcW w:w="7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Home - East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12,838</w:t>
            </w:r>
          </w:p>
        </w:tc>
      </w:tr>
      <w:tr>
        <w:trPr>
          <w:trHeight w:val="224"/>
        </w:trPr>
        <w:tc>
          <w:tcPr>
            <w:tcW w:w="7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Home - West/Other</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w:t>
            </w:r>
          </w:p>
        </w:tc>
      </w:tr>
      <w:tr>
        <w:trPr>
          <w:trHeight w:val="224"/>
        </w:trPr>
        <w:tc>
          <w:tcPr>
            <w:tcW w:w="7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Business - Texas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40,250</w:t>
            </w:r>
          </w:p>
        </w:tc>
      </w:tr>
      <w:tr>
        <w:trPr>
          <w:trHeight w:val="224"/>
        </w:trPr>
        <w:tc>
          <w:tcPr>
            <w:tcW w:w="7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Business - East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46,438</w:t>
            </w:r>
          </w:p>
        </w:tc>
      </w:tr>
      <w:tr>
        <w:trPr>
          <w:trHeight w:val="224"/>
        </w:trPr>
        <w:tc>
          <w:tcPr>
            <w:tcW w:w="7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Business - West/Other</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12,613</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10,393</w:t>
            </w:r>
          </w:p>
        </w:tc>
      </w:tr>
      <w:tr>
        <w:trPr>
          <w:trHeight w:val="217"/>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Load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154,000</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154,448</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152,194</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4"/>
        </w:trPr>
        <w:tc>
          <w:tcPr>
            <w:tcW w:w="74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r>
      <w:tr>
        <w:trPr>
          <w:trHeight w:val="224"/>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Sales volumes - Natural gas </w:t>
            </w:r>
            <w:r>
              <w:rPr>
                <w:rFonts w:ascii="Times New Roman" w:cs="Times New Roman" w:eastAsia="Times New Roman" w:hAnsi="Times New Roman"/>
                <w:sz w:val="18"/>
                <w:szCs w:val="18"/>
                <w:b w:val="1"/>
                <w:bCs w:val="1"/>
                <w:i w:val="1"/>
                <w:iCs w:val="1"/>
                <w:color w:val="auto"/>
              </w:rPr>
              <w:t>(in MDth)</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4"/>
        </w:trPr>
        <w:tc>
          <w:tcPr>
            <w:tcW w:w="7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Home - East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49,990</w:t>
            </w:r>
          </w:p>
        </w:tc>
      </w:tr>
      <w:tr>
        <w:trPr>
          <w:trHeight w:val="224"/>
        </w:trPr>
        <w:tc>
          <w:tcPr>
            <w:tcW w:w="7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Home - West/Other</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73,926</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75,150</w:t>
            </w:r>
          </w:p>
        </w:tc>
      </w:tr>
      <w:tr>
        <w:trPr>
          <w:trHeight w:val="224"/>
        </w:trPr>
        <w:tc>
          <w:tcPr>
            <w:tcW w:w="7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Business - East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1,549,286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1,525,094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1,587,052</w:t>
            </w:r>
          </w:p>
        </w:tc>
      </w:tr>
      <w:tr>
        <w:trPr>
          <w:trHeight w:val="224"/>
        </w:trPr>
        <w:tc>
          <w:tcPr>
            <w:tcW w:w="74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Business - West/Other</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182,581</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181,972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179,888</w:t>
            </w:r>
          </w:p>
        </w:tc>
      </w:tr>
      <w:tr>
        <w:trPr>
          <w:trHeight w:val="242"/>
        </w:trPr>
        <w:tc>
          <w:tcPr>
            <w:tcW w:w="7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Load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1,856,821</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1,832,891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1,892,080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7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4"/>
        </w:trPr>
        <w:tc>
          <w:tcPr>
            <w:tcW w:w="744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b w:val="1"/>
                <w:bCs w:val="1"/>
                <w:color w:val="auto"/>
              </w:rPr>
              <w:t>Customer count - Electricity customers</w:t>
            </w:r>
            <w:r>
              <w:rPr>
                <w:rFonts w:ascii="Times New Roman" w:cs="Times New Roman" w:eastAsia="Times New Roman" w:hAnsi="Times New Roman"/>
                <w:sz w:val="22"/>
                <w:szCs w:val="22"/>
                <w:b w:val="1"/>
                <w:bCs w:val="1"/>
                <w:color w:val="auto"/>
                <w:vertAlign w:val="superscript"/>
              </w:rPr>
              <w:t>(a)(b)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(in thousands)</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4"/>
        </w:trPr>
        <w:tc>
          <w:tcPr>
            <w:tcW w:w="74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Home - Texas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4"/>
        </w:trPr>
        <w:tc>
          <w:tcPr>
            <w:tcW w:w="7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Average retail</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r>
      <w:tr>
        <w:trPr>
          <w:trHeight w:val="224"/>
        </w:trPr>
        <w:tc>
          <w:tcPr>
            <w:tcW w:w="7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Ending retail</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w:t>
            </w:r>
          </w:p>
        </w:tc>
      </w:tr>
      <w:tr>
        <w:trPr>
          <w:trHeight w:val="224"/>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Home - East</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4"/>
        </w:trPr>
        <w:tc>
          <w:tcPr>
            <w:tcW w:w="7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Average retail</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r>
      <w:tr>
        <w:trPr>
          <w:trHeight w:val="224"/>
        </w:trPr>
        <w:tc>
          <w:tcPr>
            <w:tcW w:w="7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Ending retail</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r>
      <w:tr>
        <w:trPr>
          <w:trHeight w:val="224"/>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Home - West/Other</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4"/>
        </w:trPr>
        <w:tc>
          <w:tcPr>
            <w:tcW w:w="7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Average retail</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24"/>
        </w:trPr>
        <w:tc>
          <w:tcPr>
            <w:tcW w:w="7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Ending retail</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158"/>
        </w:trPr>
        <w:tc>
          <w:tcPr>
            <w:tcW w:w="74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224"/>
        </w:trPr>
        <w:tc>
          <w:tcPr>
            <w:tcW w:w="7440" w:type="dxa"/>
            <w:vAlign w:val="bottom"/>
          </w:tcPr>
          <w:p>
            <w:pPr>
              <w:ind w:left="140"/>
              <w:spacing w:after="0" w:line="224" w:lineRule="exact"/>
              <w:rPr>
                <w:sz w:val="20"/>
                <w:szCs w:val="20"/>
                <w:color w:val="auto"/>
              </w:rPr>
            </w:pPr>
            <w:r>
              <w:rPr>
                <w:rFonts w:ascii="Times New Roman" w:cs="Times New Roman" w:eastAsia="Times New Roman" w:hAnsi="Times New Roman"/>
                <w:sz w:val="18"/>
                <w:szCs w:val="18"/>
                <w:b w:val="1"/>
                <w:bCs w:val="1"/>
                <w:color w:val="auto"/>
              </w:rPr>
              <w:t>Customer count - Natural gas customers</w:t>
            </w:r>
            <w:r>
              <w:rPr>
                <w:rFonts w:ascii="Times New Roman" w:cs="Times New Roman" w:eastAsia="Times New Roman" w:hAnsi="Times New Roman"/>
                <w:sz w:val="22"/>
                <w:szCs w:val="22"/>
                <w:b w:val="1"/>
                <w:bCs w:val="1"/>
                <w:color w:val="auto"/>
                <w:vertAlign w:val="superscript"/>
              </w:rPr>
              <w:t>(b)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(in thousands)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4"/>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Home - East</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4"/>
        </w:trPr>
        <w:tc>
          <w:tcPr>
            <w:tcW w:w="7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Average retail</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24"/>
        </w:trPr>
        <w:tc>
          <w:tcPr>
            <w:tcW w:w="7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Ending retail</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24"/>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Home - West/Other</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4"/>
        </w:trPr>
        <w:tc>
          <w:tcPr>
            <w:tcW w:w="7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Average retail</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24"/>
        </w:trPr>
        <w:tc>
          <w:tcPr>
            <w:tcW w:w="7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Ending retail</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158"/>
        </w:trPr>
        <w:tc>
          <w:tcPr>
            <w:tcW w:w="74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224"/>
        </w:trPr>
        <w:tc>
          <w:tcPr>
            <w:tcW w:w="74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Total Customer count </w:t>
            </w:r>
            <w:r>
              <w:rPr>
                <w:rFonts w:ascii="Times New Roman" w:cs="Times New Roman" w:eastAsia="Times New Roman" w:hAnsi="Times New Roman"/>
                <w:sz w:val="18"/>
                <w:szCs w:val="18"/>
                <w:b w:val="1"/>
                <w:bCs w:val="1"/>
                <w:i w:val="1"/>
                <w:iCs w:val="1"/>
                <w:color w:val="auto"/>
              </w:rPr>
              <w:t>(in thousands)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4"/>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Average retail - Home - Electricity and Natural gas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w:t>
            </w:r>
          </w:p>
        </w:tc>
      </w:tr>
      <w:tr>
        <w:trPr>
          <w:trHeight w:val="224"/>
        </w:trPr>
        <w:tc>
          <w:tcPr>
            <w:tcW w:w="7440" w:type="dxa"/>
            <w:vAlign w:val="bottom"/>
          </w:tcPr>
          <w:p>
            <w:pPr>
              <w:ind w:left="340"/>
              <w:spacing w:after="0" w:line="224" w:lineRule="exact"/>
              <w:rPr>
                <w:sz w:val="20"/>
                <w:szCs w:val="20"/>
                <w:color w:val="auto"/>
              </w:rPr>
            </w:pPr>
            <w:r>
              <w:rPr>
                <w:rFonts w:ascii="Times New Roman" w:cs="Times New Roman" w:eastAsia="Times New Roman" w:hAnsi="Times New Roman"/>
                <w:sz w:val="18"/>
                <w:szCs w:val="18"/>
                <w:color w:val="auto"/>
              </w:rPr>
              <w:t>Average - Vivint Smart Home</w:t>
            </w:r>
            <w:r>
              <w:rPr>
                <w:rFonts w:ascii="Times New Roman" w:cs="Times New Roman" w:eastAsia="Times New Roman" w:hAnsi="Times New Roman"/>
                <w:sz w:val="22"/>
                <w:szCs w:val="22"/>
                <w:color w:val="auto"/>
                <w:vertAlign w:val="superscript"/>
              </w:rPr>
              <w:t>(c)</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r>
      <w:tr>
        <w:trPr>
          <w:trHeight w:val="158"/>
        </w:trPr>
        <w:tc>
          <w:tcPr>
            <w:tcW w:w="74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224"/>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Ending retail - Home - Electricity and Natural gas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5,759</w:t>
            </w:r>
          </w:p>
        </w:tc>
      </w:tr>
      <w:tr>
        <w:trPr>
          <w:trHeight w:val="224"/>
        </w:trPr>
        <w:tc>
          <w:tcPr>
            <w:tcW w:w="7440" w:type="dxa"/>
            <w:vAlign w:val="bottom"/>
            <w:shd w:val="clear" w:color="auto" w:fill="CCEEFF"/>
          </w:tcPr>
          <w:p>
            <w:pPr>
              <w:ind w:left="340"/>
              <w:spacing w:after="0" w:line="224" w:lineRule="exact"/>
              <w:rPr>
                <w:sz w:val="20"/>
                <w:szCs w:val="20"/>
                <w:color w:val="auto"/>
              </w:rPr>
            </w:pPr>
            <w:r>
              <w:rPr>
                <w:rFonts w:ascii="Times New Roman" w:cs="Times New Roman" w:eastAsia="Times New Roman" w:hAnsi="Times New Roman"/>
                <w:sz w:val="18"/>
                <w:szCs w:val="18"/>
                <w:color w:val="auto"/>
              </w:rPr>
              <w:t>Ending - Vivint Smart Home</w:t>
            </w:r>
            <w:r>
              <w:rPr>
                <w:rFonts w:ascii="Times New Roman" w:cs="Times New Roman" w:eastAsia="Times New Roman" w:hAnsi="Times New Roman"/>
                <w:sz w:val="22"/>
                <w:szCs w:val="22"/>
                <w:color w:val="auto"/>
                <w:vertAlign w:val="superscript"/>
              </w:rPr>
              <w:t>(c)(d)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r>
      <w:tr>
        <w:trPr>
          <w:trHeight w:val="217"/>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Ending retail and Vivint Smart Home</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7,870</w:t>
            </w:r>
          </w:p>
        </w:tc>
      </w:tr>
    </w:tbl>
    <w:p>
      <w:pPr>
        <w:spacing w:after="0" w:line="4" w:lineRule="exact"/>
        <w:rPr>
          <w:sz w:val="20"/>
          <w:szCs w:val="20"/>
          <w:color w:val="auto"/>
        </w:rPr>
      </w:pPr>
    </w:p>
    <w:p>
      <w:pPr>
        <w:ind w:left="220" w:hanging="197"/>
        <w:spacing w:after="0"/>
        <w:tabs>
          <w:tab w:leader="none" w:pos="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Home customer count includes recurring residential customers, and community choice</w:t>
      </w:r>
    </w:p>
    <w:p>
      <w:pPr>
        <w:spacing w:after="0" w:line="36" w:lineRule="exact"/>
        <w:rPr>
          <w:rFonts w:ascii="Times New Roman" w:cs="Times New Roman" w:eastAsia="Times New Roman" w:hAnsi="Times New Roman"/>
          <w:sz w:val="14"/>
          <w:szCs w:val="14"/>
          <w:color w:val="auto"/>
        </w:rPr>
      </w:pPr>
    </w:p>
    <w:p>
      <w:pPr>
        <w:ind w:left="220" w:hanging="197"/>
        <w:spacing w:after="0"/>
        <w:tabs>
          <w:tab w:leader="none" w:pos="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Dual fuel customers are included within electricity customer counts only</w:t>
      </w:r>
    </w:p>
    <w:p>
      <w:pPr>
        <w:spacing w:after="0" w:line="36" w:lineRule="exact"/>
        <w:rPr>
          <w:rFonts w:ascii="Times New Roman" w:cs="Times New Roman" w:eastAsia="Times New Roman" w:hAnsi="Times New Roman"/>
          <w:sz w:val="14"/>
          <w:szCs w:val="14"/>
          <w:color w:val="auto"/>
        </w:rPr>
      </w:pPr>
    </w:p>
    <w:p>
      <w:pPr>
        <w:ind w:left="220" w:hanging="197"/>
        <w:spacing w:after="0"/>
        <w:tabs>
          <w:tab w:leader="none" w:pos="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Vivint Smart Home includes customers that also purchase other NRG products such as electricity</w:t>
      </w:r>
    </w:p>
    <w:p>
      <w:pPr>
        <w:spacing w:after="0" w:line="36" w:lineRule="exact"/>
        <w:rPr>
          <w:rFonts w:ascii="Times New Roman" w:cs="Times New Roman" w:eastAsia="Times New Roman" w:hAnsi="Times New Roman"/>
          <w:sz w:val="14"/>
          <w:szCs w:val="14"/>
          <w:color w:val="auto"/>
        </w:rPr>
      </w:pPr>
    </w:p>
    <w:p>
      <w:pPr>
        <w:ind w:left="220" w:hanging="197"/>
        <w:spacing w:after="0"/>
        <w:tabs>
          <w:tab w:leader="none" w:pos="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Vivint Smart Home includes Home Protection (non-Vivint) customers of 67 thousand, 72 thousand and 68 thousand as of December 31, 2025, 2024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4724400</wp:posOffset>
            </wp:positionH>
            <wp:positionV relativeFrom="paragraph">
              <wp:posOffset>-463550</wp:posOffset>
            </wp:positionV>
            <wp:extent cx="24149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1" w:name="page12"/>
    <w:bookmarkEnd w:id="11"/>
    <w:p>
      <w:pPr>
        <w:ind w:firstLine="395"/>
        <w:spacing w:after="0" w:line="268" w:lineRule="auto"/>
        <w:rPr>
          <w:sz w:val="20"/>
          <w:szCs w:val="20"/>
          <w:color w:val="auto"/>
        </w:rPr>
      </w:pPr>
      <w:r>
        <w:rPr>
          <w:rFonts w:ascii="Times New Roman" w:cs="Times New Roman" w:eastAsia="Times New Roman" w:hAnsi="Times New Roman"/>
          <w:sz w:val="18"/>
          <w:szCs w:val="18"/>
          <w:color w:val="auto"/>
        </w:rPr>
        <w:t>The tables below present these performance metrics for the Company's generation portfolio, including leased facilities, for the years ended December 31, 2025 and 2024:</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w w:val="98"/>
              </w:rPr>
              <w:t>Year Ended December 31, 2025</w:t>
            </w: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4"/>
        </w:trPr>
        <w:tc>
          <w:tcPr>
            <w:tcW w:w="28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1"/>
        </w:trPr>
        <w:tc>
          <w:tcPr>
            <w:tcW w:w="28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160"/>
              <w:spacing w:after="0" w:line="190" w:lineRule="exact"/>
              <w:rPr>
                <w:sz w:val="20"/>
                <w:szCs w:val="20"/>
                <w:color w:val="auto"/>
              </w:rPr>
            </w:pPr>
            <w:r>
              <w:rPr>
                <w:rFonts w:ascii="Times New Roman" w:cs="Times New Roman" w:eastAsia="Times New Roman" w:hAnsi="Times New Roman"/>
                <w:sz w:val="14"/>
                <w:szCs w:val="14"/>
                <w:b w:val="1"/>
                <w:bCs w:val="1"/>
                <w:color w:val="auto"/>
              </w:rPr>
              <w:t xml:space="preserve">Fossil Plants </w:t>
            </w:r>
            <w:r>
              <w:rPr>
                <w:rFonts w:ascii="Times New Roman" w:cs="Times New Roman" w:eastAsia="Times New Roman" w:hAnsi="Times New Roman"/>
                <w:sz w:val="18"/>
                <w:szCs w:val="18"/>
                <w:b w:val="1"/>
                <w:bCs w:val="1"/>
                <w:color w:val="auto"/>
                <w:vertAlign w:val="superscript"/>
              </w:rPr>
              <w:t>(a)(b)</w:t>
            </w:r>
          </w:p>
        </w:tc>
        <w:tc>
          <w:tcPr>
            <w:tcW w:w="1620" w:type="dxa"/>
            <w:vAlign w:val="bottom"/>
            <w:tcBorders>
              <w:bottom w:val="single" w:sz="8" w:color="auto"/>
            </w:tcBorders>
          </w:tcPr>
          <w:p>
            <w:pPr>
              <w:spacing w:after="0"/>
              <w:rPr>
                <w:sz w:val="16"/>
                <w:szCs w:val="16"/>
                <w:color w:val="auto"/>
              </w:rPr>
            </w:pPr>
          </w:p>
        </w:tc>
      </w:tr>
      <w:tr>
        <w:trPr>
          <w:trHeight w:val="125"/>
        </w:trPr>
        <w:tc>
          <w:tcPr>
            <w:tcW w:w="2820" w:type="dxa"/>
            <w:vAlign w:val="bottom"/>
          </w:tcPr>
          <w:p>
            <w:pPr>
              <w:spacing w:after="0"/>
              <w:rPr>
                <w:sz w:val="10"/>
                <w:szCs w:val="10"/>
                <w:color w:val="auto"/>
              </w:rPr>
            </w:pPr>
          </w:p>
        </w:tc>
        <w:tc>
          <w:tcPr>
            <w:tcW w:w="160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w w:val="98"/>
              </w:rPr>
              <w:t>Net Owned</w:t>
            </w:r>
          </w:p>
        </w:tc>
        <w:tc>
          <w:tcPr>
            <w:tcW w:w="1620" w:type="dxa"/>
            <w:vAlign w:val="bottom"/>
            <w:gridSpan w:val="2"/>
          </w:tcPr>
          <w:p>
            <w:pPr>
              <w:jc w:val="center"/>
              <w:ind w:right="80"/>
              <w:spacing w:after="0" w:line="125" w:lineRule="exact"/>
              <w:rPr>
                <w:sz w:val="20"/>
                <w:szCs w:val="20"/>
                <w:color w:val="auto"/>
              </w:rPr>
            </w:pPr>
            <w:r>
              <w:rPr>
                <w:rFonts w:ascii="Times New Roman" w:cs="Times New Roman" w:eastAsia="Times New Roman" w:hAnsi="Times New Roman"/>
                <w:sz w:val="14"/>
                <w:szCs w:val="14"/>
                <w:b w:val="1"/>
                <w:bCs w:val="1"/>
                <w:color w:val="auto"/>
              </w:rPr>
              <w:t>Net Generation (In</w:t>
            </w:r>
          </w:p>
        </w:tc>
        <w:tc>
          <w:tcPr>
            <w:tcW w:w="1940" w:type="dxa"/>
            <w:vAlign w:val="bottom"/>
            <w:gridSpan w:val="3"/>
          </w:tcPr>
          <w:p>
            <w:pPr>
              <w:ind w:left="300"/>
              <w:spacing w:after="0" w:line="125" w:lineRule="exact"/>
              <w:rPr>
                <w:sz w:val="20"/>
                <w:szCs w:val="20"/>
                <w:color w:val="auto"/>
              </w:rPr>
            </w:pPr>
            <w:r>
              <w:rPr>
                <w:rFonts w:ascii="Times New Roman" w:cs="Times New Roman" w:eastAsia="Times New Roman" w:hAnsi="Times New Roman"/>
                <w:sz w:val="14"/>
                <w:szCs w:val="14"/>
                <w:b w:val="1"/>
                <w:bCs w:val="1"/>
                <w:color w:val="auto"/>
              </w:rPr>
              <w:t>Annual Equivalent</w:t>
            </w:r>
          </w:p>
        </w:tc>
        <w:tc>
          <w:tcPr>
            <w:tcW w:w="164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8"/>
              </w:rPr>
              <w:t>Average Net Heat Rate</w:t>
            </w:r>
          </w:p>
        </w:tc>
        <w:tc>
          <w:tcPr>
            <w:tcW w:w="1620" w:type="dxa"/>
            <w:vAlign w:val="bottom"/>
          </w:tcPr>
          <w:p>
            <w:pPr>
              <w:jc w:val="right"/>
              <w:ind w:right="339"/>
              <w:spacing w:after="0" w:line="125" w:lineRule="exact"/>
              <w:rPr>
                <w:sz w:val="20"/>
                <w:szCs w:val="20"/>
                <w:color w:val="auto"/>
              </w:rPr>
            </w:pPr>
            <w:r>
              <w:rPr>
                <w:rFonts w:ascii="Times New Roman" w:cs="Times New Roman" w:eastAsia="Times New Roman" w:hAnsi="Times New Roman"/>
                <w:sz w:val="14"/>
                <w:szCs w:val="14"/>
                <w:b w:val="1"/>
                <w:bCs w:val="1"/>
                <w:color w:val="auto"/>
              </w:rPr>
              <w:t>Net Capacity</w:t>
            </w:r>
          </w:p>
        </w:tc>
      </w:tr>
      <w:tr>
        <w:trPr>
          <w:trHeight w:val="197"/>
        </w:trPr>
        <w:tc>
          <w:tcPr>
            <w:tcW w:w="2820" w:type="dxa"/>
            <w:vAlign w:val="bottom"/>
          </w:tcPr>
          <w:p>
            <w:pPr>
              <w:spacing w:after="0"/>
              <w:rPr>
                <w:sz w:val="17"/>
                <w:szCs w:val="17"/>
                <w:color w:val="auto"/>
              </w:rPr>
            </w:pPr>
          </w:p>
        </w:tc>
        <w:tc>
          <w:tcPr>
            <w:tcW w:w="1600" w:type="dxa"/>
            <w:vAlign w:val="bottom"/>
            <w:gridSpan w:val="2"/>
          </w:tcPr>
          <w:p>
            <w:pPr>
              <w:jc w:val="center"/>
              <w:ind w:right="100"/>
              <w:spacing w:after="0" w:line="197" w:lineRule="exact"/>
              <w:rPr>
                <w:sz w:val="20"/>
                <w:szCs w:val="20"/>
                <w:color w:val="auto"/>
              </w:rPr>
            </w:pPr>
            <w:r>
              <w:rPr>
                <w:rFonts w:ascii="Times New Roman" w:cs="Times New Roman" w:eastAsia="Times New Roman" w:hAnsi="Times New Roman"/>
                <w:sz w:val="14"/>
                <w:szCs w:val="14"/>
                <w:b w:val="1"/>
                <w:bCs w:val="1"/>
                <w:color w:val="auto"/>
                <w:w w:val="98"/>
              </w:rPr>
              <w:t>Capacity (MW)</w:t>
            </w:r>
            <w:r>
              <w:rPr>
                <w:rFonts w:ascii="Times New Roman" w:cs="Times New Roman" w:eastAsia="Times New Roman" w:hAnsi="Times New Roman"/>
                <w:sz w:val="18"/>
                <w:szCs w:val="18"/>
                <w:b w:val="1"/>
                <w:bCs w:val="1"/>
                <w:color w:val="auto"/>
                <w:w w:val="98"/>
                <w:vertAlign w:val="superscript"/>
              </w:rPr>
              <w:t>(a)</w:t>
            </w:r>
          </w:p>
        </w:tc>
        <w:tc>
          <w:tcPr>
            <w:tcW w:w="1620" w:type="dxa"/>
            <w:vAlign w:val="bottom"/>
            <w:gridSpan w:val="2"/>
          </w:tcPr>
          <w:p>
            <w:pPr>
              <w:jc w:val="center"/>
              <w:ind w:right="100"/>
              <w:spacing w:after="0" w:line="197" w:lineRule="exact"/>
              <w:rPr>
                <w:sz w:val="20"/>
                <w:szCs w:val="20"/>
                <w:color w:val="auto"/>
              </w:rPr>
            </w:pPr>
            <w:r>
              <w:rPr>
                <w:rFonts w:ascii="Times New Roman" w:cs="Times New Roman" w:eastAsia="Times New Roman" w:hAnsi="Times New Roman"/>
                <w:sz w:val="14"/>
                <w:szCs w:val="14"/>
                <w:b w:val="1"/>
                <w:bCs w:val="1"/>
                <w:color w:val="auto"/>
                <w:w w:val="95"/>
              </w:rPr>
              <w:t xml:space="preserve">thousands of MWh) </w:t>
            </w:r>
            <w:r>
              <w:rPr>
                <w:rFonts w:ascii="Times New Roman" w:cs="Times New Roman" w:eastAsia="Times New Roman" w:hAnsi="Times New Roman"/>
                <w:sz w:val="18"/>
                <w:szCs w:val="18"/>
                <w:b w:val="1"/>
                <w:bCs w:val="1"/>
                <w:color w:val="auto"/>
                <w:w w:val="95"/>
                <w:vertAlign w:val="superscript"/>
              </w:rPr>
              <w:t>(a)(b)</w:t>
            </w:r>
          </w:p>
        </w:tc>
        <w:tc>
          <w:tcPr>
            <w:tcW w:w="194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Availability Factor</w:t>
            </w: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BTU/kWh</w:t>
            </w:r>
          </w:p>
        </w:tc>
        <w:tc>
          <w:tcPr>
            <w:tcW w:w="16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Factor</w:t>
            </w:r>
          </w:p>
        </w:tc>
      </w:tr>
      <w:tr>
        <w:trPr>
          <w:trHeight w:val="217"/>
        </w:trPr>
        <w:tc>
          <w:tcPr>
            <w:tcW w:w="28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Texas</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9,271</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28,728</w:t>
            </w: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11,087</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34.8 %</w:t>
            </w:r>
          </w:p>
        </w:tc>
      </w:tr>
      <w:tr>
        <w:trPr>
          <w:trHeight w:val="224"/>
        </w:trPr>
        <w:tc>
          <w:tcPr>
            <w:tcW w:w="2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East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13,237</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19.9 %</w:t>
            </w:r>
          </w:p>
        </w:tc>
      </w:tr>
      <w:tr>
        <w:trPr>
          <w:trHeight w:val="224"/>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West/Other</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7,443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49.1 %</w:t>
            </w:r>
          </w:p>
        </w:tc>
      </w:tr>
    </w:tbl>
    <w:p>
      <w:pPr>
        <w:spacing w:after="0" w:line="70" w:lineRule="exact"/>
        <w:rPr>
          <w:sz w:val="20"/>
          <w:szCs w:val="20"/>
          <w:color w:val="auto"/>
        </w:rPr>
      </w:pPr>
    </w:p>
    <w:p>
      <w:pPr>
        <w:ind w:left="400" w:hanging="395"/>
        <w:spacing w:after="0"/>
        <w:tabs>
          <w:tab w:leader="none" w:pos="4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equity method investments. Includes the Texas Generation Portfolio, acquired as of April 10, 2025</w:t>
      </w:r>
    </w:p>
    <w:p>
      <w:pPr>
        <w:spacing w:after="0" w:line="12"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Cottonwood until the lease ended in May 2025, and Indian River 4 until retirement in February 2025</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2024</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4"/>
        </w:trPr>
        <w:tc>
          <w:tcPr>
            <w:tcW w:w="28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1"/>
        </w:trPr>
        <w:tc>
          <w:tcPr>
            <w:tcW w:w="28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200"/>
              <w:spacing w:after="0" w:line="190" w:lineRule="exact"/>
              <w:rPr>
                <w:sz w:val="20"/>
                <w:szCs w:val="20"/>
                <w:color w:val="auto"/>
              </w:rPr>
            </w:pPr>
            <w:r>
              <w:rPr>
                <w:rFonts w:ascii="Times New Roman" w:cs="Times New Roman" w:eastAsia="Times New Roman" w:hAnsi="Times New Roman"/>
                <w:sz w:val="14"/>
                <w:szCs w:val="14"/>
                <w:b w:val="1"/>
                <w:bCs w:val="1"/>
                <w:color w:val="auto"/>
              </w:rPr>
              <w:t xml:space="preserve">Fossil Plants </w:t>
            </w:r>
            <w:r>
              <w:rPr>
                <w:rFonts w:ascii="Times New Roman" w:cs="Times New Roman" w:eastAsia="Times New Roman" w:hAnsi="Times New Roman"/>
                <w:sz w:val="18"/>
                <w:szCs w:val="18"/>
                <w:b w:val="1"/>
                <w:bCs w:val="1"/>
                <w:color w:val="auto"/>
                <w:vertAlign w:val="superscript"/>
              </w:rPr>
              <w:t>(a)</w:t>
            </w:r>
          </w:p>
        </w:tc>
        <w:tc>
          <w:tcPr>
            <w:tcW w:w="1620" w:type="dxa"/>
            <w:vAlign w:val="bottom"/>
            <w:tcBorders>
              <w:bottom w:val="single" w:sz="8" w:color="auto"/>
            </w:tcBorders>
          </w:tcPr>
          <w:p>
            <w:pPr>
              <w:spacing w:after="0"/>
              <w:rPr>
                <w:sz w:val="16"/>
                <w:szCs w:val="16"/>
                <w:color w:val="auto"/>
              </w:rPr>
            </w:pPr>
          </w:p>
        </w:tc>
      </w:tr>
      <w:tr>
        <w:trPr>
          <w:trHeight w:val="125"/>
        </w:trPr>
        <w:tc>
          <w:tcPr>
            <w:tcW w:w="2840" w:type="dxa"/>
            <w:vAlign w:val="bottom"/>
          </w:tcPr>
          <w:p>
            <w:pPr>
              <w:spacing w:after="0"/>
              <w:rPr>
                <w:sz w:val="10"/>
                <w:szCs w:val="10"/>
                <w:color w:val="auto"/>
              </w:rPr>
            </w:pPr>
          </w:p>
        </w:tc>
        <w:tc>
          <w:tcPr>
            <w:tcW w:w="162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rPr>
              <w:t>Net Owned</w:t>
            </w:r>
          </w:p>
        </w:tc>
        <w:tc>
          <w:tcPr>
            <w:tcW w:w="158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4"/>
                <w:szCs w:val="14"/>
                <w:b w:val="1"/>
                <w:bCs w:val="1"/>
                <w:color w:val="auto"/>
              </w:rPr>
              <w:t>Net Generation (In</w:t>
            </w:r>
          </w:p>
        </w:tc>
        <w:tc>
          <w:tcPr>
            <w:tcW w:w="1960" w:type="dxa"/>
            <w:vAlign w:val="bottom"/>
            <w:gridSpan w:val="3"/>
          </w:tcPr>
          <w:p>
            <w:pPr>
              <w:ind w:left="300"/>
              <w:spacing w:after="0" w:line="125" w:lineRule="exact"/>
              <w:rPr>
                <w:sz w:val="20"/>
                <w:szCs w:val="20"/>
                <w:color w:val="auto"/>
              </w:rPr>
            </w:pPr>
            <w:r>
              <w:rPr>
                <w:rFonts w:ascii="Times New Roman" w:cs="Times New Roman" w:eastAsia="Times New Roman" w:hAnsi="Times New Roman"/>
                <w:sz w:val="14"/>
                <w:szCs w:val="14"/>
                <w:b w:val="1"/>
                <w:bCs w:val="1"/>
                <w:color w:val="auto"/>
              </w:rPr>
              <w:t>Annual Equivalent</w:t>
            </w:r>
          </w:p>
        </w:tc>
        <w:tc>
          <w:tcPr>
            <w:tcW w:w="162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8"/>
              </w:rPr>
              <w:t>Average Net Heat Rate</w:t>
            </w:r>
          </w:p>
        </w:tc>
        <w:tc>
          <w:tcPr>
            <w:tcW w:w="1620" w:type="dxa"/>
            <w:vAlign w:val="bottom"/>
          </w:tcPr>
          <w:p>
            <w:pPr>
              <w:jc w:val="right"/>
              <w:ind w:right="339"/>
              <w:spacing w:after="0" w:line="125" w:lineRule="exact"/>
              <w:rPr>
                <w:sz w:val="20"/>
                <w:szCs w:val="20"/>
                <w:color w:val="auto"/>
              </w:rPr>
            </w:pPr>
            <w:r>
              <w:rPr>
                <w:rFonts w:ascii="Times New Roman" w:cs="Times New Roman" w:eastAsia="Times New Roman" w:hAnsi="Times New Roman"/>
                <w:sz w:val="14"/>
                <w:szCs w:val="14"/>
                <w:b w:val="1"/>
                <w:bCs w:val="1"/>
                <w:color w:val="auto"/>
              </w:rPr>
              <w:t>Net Capacity</w:t>
            </w:r>
          </w:p>
        </w:tc>
      </w:tr>
      <w:tr>
        <w:trPr>
          <w:trHeight w:val="197"/>
        </w:trPr>
        <w:tc>
          <w:tcPr>
            <w:tcW w:w="284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Capacity (MW)</w:t>
            </w:r>
          </w:p>
        </w:tc>
        <w:tc>
          <w:tcPr>
            <w:tcW w:w="1580" w:type="dxa"/>
            <w:vAlign w:val="bottom"/>
            <w:gridSpan w:val="2"/>
          </w:tcPr>
          <w:p>
            <w:pPr>
              <w:jc w:val="center"/>
              <w:ind w:right="100"/>
              <w:spacing w:after="0" w:line="197" w:lineRule="exact"/>
              <w:rPr>
                <w:sz w:val="20"/>
                <w:szCs w:val="20"/>
                <w:color w:val="auto"/>
              </w:rPr>
            </w:pPr>
            <w:r>
              <w:rPr>
                <w:rFonts w:ascii="Times New Roman" w:cs="Times New Roman" w:eastAsia="Times New Roman" w:hAnsi="Times New Roman"/>
                <w:sz w:val="14"/>
                <w:szCs w:val="14"/>
                <w:b w:val="1"/>
                <w:bCs w:val="1"/>
                <w:color w:val="auto"/>
                <w:w w:val="96"/>
              </w:rPr>
              <w:t xml:space="preserve">thousands of MWh) </w:t>
            </w:r>
            <w:r>
              <w:rPr>
                <w:rFonts w:ascii="Times New Roman" w:cs="Times New Roman" w:eastAsia="Times New Roman" w:hAnsi="Times New Roman"/>
                <w:sz w:val="18"/>
                <w:szCs w:val="18"/>
                <w:b w:val="1"/>
                <w:bCs w:val="1"/>
                <w:color w:val="auto"/>
                <w:w w:val="96"/>
                <w:vertAlign w:val="superscript"/>
              </w:rPr>
              <w:t>(a)</w:t>
            </w:r>
          </w:p>
        </w:tc>
        <w:tc>
          <w:tcPr>
            <w:tcW w:w="196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Availability Factor</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BTU/kWh</w:t>
            </w:r>
          </w:p>
        </w:tc>
        <w:tc>
          <w:tcPr>
            <w:tcW w:w="16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Factor</w:t>
            </w:r>
          </w:p>
        </w:tc>
      </w:tr>
      <w:tr>
        <w:trPr>
          <w:trHeight w:val="217"/>
        </w:trPr>
        <w:tc>
          <w:tcPr>
            <w:tcW w:w="28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Texas</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8,527</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23,350</w:t>
            </w: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70.8 %</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11,337</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30.1 %</w:t>
            </w:r>
          </w:p>
        </w:tc>
      </w:tr>
      <w:tr>
        <w:trPr>
          <w:trHeight w:val="224"/>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East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13,956</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24"/>
        </w:trPr>
        <w:tc>
          <w:tcPr>
            <w:tcW w:w="2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West/Other</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7,498</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57.6 %</w:t>
            </w:r>
          </w:p>
        </w:tc>
      </w:tr>
    </w:tbl>
    <w:p>
      <w:pPr>
        <w:spacing w:after="0" w:line="56" w:lineRule="exact"/>
        <w:rPr>
          <w:sz w:val="20"/>
          <w:szCs w:val="20"/>
          <w:color w:val="auto"/>
        </w:rPr>
      </w:pPr>
    </w:p>
    <w:p>
      <w:pPr>
        <w:ind w:left="400" w:hanging="395"/>
        <w:spacing w:after="0"/>
        <w:tabs>
          <w:tab w:leader="none" w:pos="4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equity method investments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are industry statistics for the Company's fossil plants, as defined by the NERC:</w:t>
      </w:r>
    </w:p>
    <w:p>
      <w:pPr>
        <w:spacing w:after="0" w:line="107" w:lineRule="exact"/>
        <w:rPr>
          <w:sz w:val="20"/>
          <w:szCs w:val="20"/>
          <w:color w:val="auto"/>
        </w:rPr>
      </w:pPr>
    </w:p>
    <w:p>
      <w:pPr>
        <w:jc w:val="both"/>
        <w:ind w:firstLine="395"/>
        <w:spacing w:after="0" w:line="335" w:lineRule="auto"/>
        <w:rPr>
          <w:sz w:val="20"/>
          <w:szCs w:val="20"/>
          <w:color w:val="auto"/>
        </w:rPr>
      </w:pPr>
      <w:r>
        <w:rPr>
          <w:rFonts w:ascii="Times New Roman" w:cs="Times New Roman" w:eastAsia="Times New Roman" w:hAnsi="Times New Roman"/>
          <w:sz w:val="16"/>
          <w:szCs w:val="16"/>
          <w:i w:val="1"/>
          <w:iCs w:val="1"/>
          <w:color w:val="auto"/>
        </w:rPr>
        <w:t xml:space="preserve">Annual Equivalent Availability Factor, or EAF </w:t>
      </w:r>
      <w:r>
        <w:rPr>
          <w:rFonts w:ascii="Times New Roman" w:cs="Times New Roman" w:eastAsia="Times New Roman" w:hAnsi="Times New Roman"/>
          <w:sz w:val="16"/>
          <w:szCs w:val="16"/>
          <w:color w:val="auto"/>
        </w:rPr>
        <w:t>— Measures the percentage of maximum generation available over time as the fraction of net maximum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generation that could be provided over a defined period of time after all types of outages and deratings, including seasonal deratings, are taken into account.</w:t>
      </w:r>
    </w:p>
    <w:p>
      <w:pPr>
        <w:spacing w:after="0" w:line="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Net Heat Rate </w:t>
      </w:r>
      <w:r>
        <w:rPr>
          <w:rFonts w:ascii="Times New Roman" w:cs="Times New Roman" w:eastAsia="Times New Roman" w:hAnsi="Times New Roman"/>
          <w:sz w:val="18"/>
          <w:szCs w:val="18"/>
          <w:color w:val="auto"/>
        </w:rPr>
        <w:t>— The net heat rate represents the total amount of fuel in BTU required to generate one net kWh provided.</w:t>
      </w:r>
    </w:p>
    <w:p>
      <w:pPr>
        <w:spacing w:after="0" w:line="109"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Net Capacity Factor </w:t>
      </w:r>
      <w:r>
        <w:rPr>
          <w:rFonts w:ascii="Times New Roman" w:cs="Times New Roman" w:eastAsia="Times New Roman" w:hAnsi="Times New Roman"/>
          <w:sz w:val="18"/>
          <w:szCs w:val="18"/>
          <w:color w:val="auto"/>
        </w:rPr>
        <w:t>— The net amount of electricity that a generating unit produces over a period of time divided by the net amount of electricity it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produced if it had run at full power over that time period. The net amount of electricity produced is the total amount of electricity generated minus the amount of electricity used during generation by the station.</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generation performance by region for the three years ended December 31, 2025, 2024 and 2023 is shown below:</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Net Generation</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of MWh)</w:t>
            </w: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50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Coal</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21,184</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15,433</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15,576</w:t>
            </w:r>
          </w:p>
        </w:tc>
        <w:tc>
          <w:tcPr>
            <w:tcW w:w="0" w:type="dxa"/>
            <w:vAlign w:val="bottom"/>
          </w:tcPr>
          <w:p>
            <w:pPr>
              <w:spacing w:after="0"/>
              <w:rPr>
                <w:sz w:val="1"/>
                <w:szCs w:val="1"/>
                <w:color w:val="auto"/>
              </w:rPr>
            </w:pPr>
          </w:p>
        </w:tc>
      </w:tr>
      <w:tr>
        <w:trPr>
          <w:trHeight w:val="224"/>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w:t>
            </w:r>
          </w:p>
        </w:tc>
        <w:tc>
          <w:tcPr>
            <w:tcW w:w="0" w:type="dxa"/>
            <w:vAlign w:val="bottom"/>
          </w:tcPr>
          <w:p>
            <w:pPr>
              <w:spacing w:after="0"/>
              <w:rPr>
                <w:sz w:val="1"/>
                <w:szCs w:val="1"/>
                <w:color w:val="auto"/>
              </w:rPr>
            </w:pPr>
          </w:p>
        </w:tc>
      </w:tr>
      <w:tr>
        <w:trPr>
          <w:trHeight w:val="224"/>
        </w:trPr>
        <w:tc>
          <w:tcPr>
            <w:tcW w:w="7500" w:type="dxa"/>
            <w:vAlign w:val="bottom"/>
          </w:tcPr>
          <w:p>
            <w:pPr>
              <w:ind w:left="240"/>
              <w:spacing w:after="0" w:line="224" w:lineRule="exact"/>
              <w:rPr>
                <w:sz w:val="20"/>
                <w:szCs w:val="20"/>
                <w:color w:val="auto"/>
              </w:rPr>
            </w:pPr>
            <w:r>
              <w:rPr>
                <w:rFonts w:ascii="Times New Roman" w:cs="Times New Roman" w:eastAsia="Times New Roman" w:hAnsi="Times New Roman"/>
                <w:sz w:val="18"/>
                <w:szCs w:val="18"/>
                <w:color w:val="auto"/>
              </w:rPr>
              <w:t xml:space="preserve">Nuclear </w:t>
            </w:r>
            <w:r>
              <w:rPr>
                <w:rFonts w:ascii="Times New Roman" w:cs="Times New Roman" w:eastAsia="Times New Roman" w:hAnsi="Times New Roman"/>
                <w:sz w:val="22"/>
                <w:szCs w:val="22"/>
                <w:color w:val="auto"/>
                <w:vertAlign w:val="superscript"/>
              </w:rPr>
              <w:t>(a)</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7,867</w:t>
            </w:r>
          </w:p>
        </w:tc>
        <w:tc>
          <w:tcPr>
            <w:tcW w:w="0" w:type="dxa"/>
            <w:vAlign w:val="bottom"/>
          </w:tcPr>
          <w:p>
            <w:pPr>
              <w:spacing w:after="0"/>
              <w:rPr>
                <w:sz w:val="1"/>
                <w:szCs w:val="1"/>
                <w:color w:val="auto"/>
              </w:rPr>
            </w:pPr>
          </w:p>
        </w:tc>
      </w:tr>
      <w:tr>
        <w:trPr>
          <w:trHeight w:val="242"/>
        </w:trPr>
        <w:tc>
          <w:tcPr>
            <w:tcW w:w="75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Texas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30,776</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East</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50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Coal</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0" w:type="dxa"/>
            <w:vAlign w:val="bottom"/>
          </w:tcPr>
          <w:p>
            <w:pPr>
              <w:spacing w:after="0"/>
              <w:rPr>
                <w:sz w:val="1"/>
                <w:szCs w:val="1"/>
                <w:color w:val="auto"/>
              </w:rPr>
            </w:pPr>
          </w:p>
        </w:tc>
      </w:tr>
      <w:tr>
        <w:trPr>
          <w:trHeight w:val="224"/>
        </w:trPr>
        <w:tc>
          <w:tcPr>
            <w:tcW w:w="7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Oil</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4"/>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17"/>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East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500" w:type="dxa"/>
            <w:vAlign w:val="bottom"/>
            <w:shd w:val="clear" w:color="auto" w:fill="CCEEFF"/>
          </w:tcPr>
          <w:p>
            <w:pPr>
              <w:ind w:left="140"/>
              <w:spacing w:after="0" w:line="190" w:lineRule="exact"/>
              <w:rPr>
                <w:sz w:val="20"/>
                <w:szCs w:val="20"/>
                <w:color w:val="auto"/>
              </w:rPr>
            </w:pPr>
            <w:r>
              <w:rPr>
                <w:rFonts w:ascii="Times New Roman" w:cs="Times New Roman" w:eastAsia="Times New Roman" w:hAnsi="Times New Roman"/>
                <w:sz w:val="18"/>
                <w:szCs w:val="18"/>
                <w:b w:val="1"/>
                <w:bCs w:val="1"/>
                <w:color w:val="auto"/>
              </w:rPr>
              <w:t>West/Other</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500" w:type="dxa"/>
            <w:vAlign w:val="bottom"/>
          </w:tcPr>
          <w:p>
            <w:pPr>
              <w:ind w:left="240"/>
              <w:spacing w:after="0" w:line="224" w:lineRule="exact"/>
              <w:rPr>
                <w:sz w:val="20"/>
                <w:szCs w:val="20"/>
                <w:color w:val="auto"/>
              </w:rPr>
            </w:pPr>
            <w:r>
              <w:rPr>
                <w:rFonts w:ascii="Times New Roman" w:cs="Times New Roman" w:eastAsia="Times New Roman" w:hAnsi="Times New Roman"/>
                <w:sz w:val="18"/>
                <w:szCs w:val="18"/>
                <w:color w:val="auto"/>
              </w:rPr>
              <w:t>Gas</w:t>
            </w:r>
            <w:r>
              <w:rPr>
                <w:rFonts w:ascii="Times New Roman" w:cs="Times New Roman" w:eastAsia="Times New Roman" w:hAnsi="Times New Roman"/>
                <w:sz w:val="22"/>
                <w:szCs w:val="22"/>
                <w:color w:val="auto"/>
                <w:vertAlign w:val="superscript"/>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5,899</w:t>
            </w:r>
          </w:p>
        </w:tc>
        <w:tc>
          <w:tcPr>
            <w:tcW w:w="0" w:type="dxa"/>
            <w:vAlign w:val="bottom"/>
          </w:tcPr>
          <w:p>
            <w:pPr>
              <w:spacing w:after="0"/>
              <w:rPr>
                <w:sz w:val="1"/>
                <w:szCs w:val="1"/>
                <w:color w:val="auto"/>
              </w:rPr>
            </w:pPr>
          </w:p>
        </w:tc>
      </w:tr>
      <w:tr>
        <w:trPr>
          <w:trHeight w:val="224"/>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Renewables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7"/>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West/Other</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0" w:type="dxa"/>
            <w:vAlign w:val="bottom"/>
          </w:tcPr>
          <w:p>
            <w:pPr>
              <w:spacing w:after="0"/>
              <w:rPr>
                <w:sz w:val="1"/>
                <w:szCs w:val="1"/>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5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generation performance</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34,568</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31,699</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38,695</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400" w:hanging="395"/>
        <w:spacing w:after="0"/>
        <w:tabs>
          <w:tab w:leader="none" w:pos="4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Company's undivided interest in total MWh generated by STP. The Company sold its interest in STP on November 1, 2023</w:t>
      </w:r>
    </w:p>
    <w:p>
      <w:pPr>
        <w:spacing w:after="0" w:line="12"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Cottonwood lease ended in May 2025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1"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While there has been consolidation in the competitive retail energy space over the past few years, there is still considerable competition for customers. In Texas, there is healthy competition in deregulated areas and customers can choose providers based on the most appealing offers. Outside of Texas, electricity and natural gas retailers compete with the incumbent utilities, in addition to other retail electric and natural gas providers, which can inhibit competition depending on the market rules of the state. There is a high degree of fragmentation, with both large and small competitors offering a range of value propositions, including value, rewards, and sustainability-based offerings. The wholesale natural gas business is highly competitive, as marketers compete to buy and sell large volumes of natural gas with customers such as utilities, producers, and power generators, while also competing for limited transportation and storage assets needed to manage these volumes.</w:t>
      </w:r>
    </w:p>
    <w:p>
      <w:pPr>
        <w:spacing w:after="0" w:line="8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Wholesale generation is highly fragmented and diverse in terms of industry structure by region. As such, there is wide variation in the capabilities, resources, nature and identities of the Company’s competitors depending on the market. Competitors include regulated utilities, municipalities, cooperatives, other independent power producers, and power marketers or trading companies, including those owned by financial institutions.</w:t>
      </w:r>
    </w:p>
    <w:p>
      <w:pPr>
        <w:spacing w:after="0" w:line="75"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smart home market is an expanding global opportunity and is in the early stages of broad consumer adoption. It is highly competitive and fragmented. Major competitors range from large-cap technology companies seeking to expand their core market opportunity who predominantly offer do-it-yourself devices that put a large burden on homeowners to self-install and support many devices, to security-based providers, as well as industrial and telecommunications companies that offer connected home experiences. Vivint Smart Home provides the full smart home experience, with an end-to-end solution that includes a wide range of unique capabilities and use cases. Currently, the vast majority of competitors do not offer comprehensive smart home solutions and accompanying services.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Price Volatility</w:t>
      </w:r>
    </w:p>
    <w:p>
      <w:pPr>
        <w:spacing w:after="0" w:line="111" w:lineRule="exact"/>
        <w:rPr>
          <w:sz w:val="20"/>
          <w:szCs w:val="20"/>
          <w:color w:val="auto"/>
        </w:rPr>
      </w:pPr>
    </w:p>
    <w:p>
      <w:pPr>
        <w:jc w:val="both"/>
        <w:ind w:firstLine="410"/>
        <w:spacing w:after="0" w:line="250" w:lineRule="auto"/>
        <w:rPr>
          <w:sz w:val="20"/>
          <w:szCs w:val="20"/>
          <w:color w:val="auto"/>
        </w:rPr>
      </w:pPr>
      <w:r>
        <w:rPr>
          <w:rFonts w:ascii="Times New Roman" w:cs="Times New Roman" w:eastAsia="Times New Roman" w:hAnsi="Times New Roman"/>
          <w:sz w:val="18"/>
          <w:szCs w:val="18"/>
          <w:color w:val="auto"/>
        </w:rPr>
        <w:t>The sale of power and natural gas to retail customers are seasonal businesses with the demand for power generally peaking during the summer, and the demand for natural gas generally peaking during the winter. As a result, net working capital requirements for the Company's retail operations generally increase during summer and winter months along with the higher revenues, and then decline during off-peak months. Weather may impact operating results and extreme weather conditions could have a material impact. The rates charged to retail customers may be impacted by fluctuations in total power prices and market dynamics, such as the price of natural gas, transmission constraints, competitor actions, and changes in market heat rates.</w:t>
      </w:r>
    </w:p>
    <w:p>
      <w:pPr>
        <w:spacing w:after="0" w:line="80" w:lineRule="exact"/>
        <w:rPr>
          <w:sz w:val="20"/>
          <w:szCs w:val="20"/>
          <w:color w:val="auto"/>
        </w:rPr>
      </w:pPr>
    </w:p>
    <w:p>
      <w:pPr>
        <w:jc w:val="both"/>
        <w:ind w:firstLine="410"/>
        <w:spacing w:after="0" w:line="252" w:lineRule="auto"/>
        <w:rPr>
          <w:sz w:val="20"/>
          <w:szCs w:val="20"/>
          <w:color w:val="auto"/>
        </w:rPr>
      </w:pPr>
      <w:r>
        <w:rPr>
          <w:rFonts w:ascii="Times New Roman" w:cs="Times New Roman" w:eastAsia="Times New Roman" w:hAnsi="Times New Roman"/>
          <w:sz w:val="18"/>
          <w:szCs w:val="18"/>
          <w:color w:val="auto"/>
        </w:rPr>
        <w:t>Annual and quarterly operating results of the Company's generation portfolio can be significantly affected by weather and energy commodity price volatility. Significant other events, such as the demand for natural gas, interruptions in fuel supply infrastructure and relative levels of hydroelectric capacity can increase seasonal fuel and power price volatility. The preceding factors related to seasonality and price volatility are fairly uniform across the regions in which the Company operates.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Framework</w:t>
      </w:r>
    </w:p>
    <w:p>
      <w:pPr>
        <w:spacing w:after="0" w:line="111"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NRG sells electricity, natural gas and related products and services, and smart home products and services to customers throughout the U.S. and Canada. In most of the states and regions that have introduced retail consumer choice, NRG competitively offers electricity, natural gas and other value-enhancing services to customers. Each retail consumer choice state or province establishes its own retail competition laws and regulations, and the specific operational, licensing, and compliance requirements vary by state or province. Regulated terms and conditions of default service, as well as any movement to replace default service with competitive services, as is done in ERCOT, can affect customer participation in retail competition. In Canada, NRG sells energy and related services to residential and commercial customers in the province of Alberta pursuant both to a regulated rate service governed by provincial regulations as well as a competitive service with rates set by market forces. Sales of energy to commercial customers take place in other provinces as well. The attractiveness of NRG's retail offerings may be impacted by the rules, regulations, market structure and communication requirements from public utility commissions in each state and province.</w:t>
      </w:r>
    </w:p>
    <w:p>
      <w:pPr>
        <w:spacing w:after="0" w:line="8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NRG's fleet of power plants which it owns, operates or manages are located in organized energy markets, known as RTOs or ISOs. Each organized market administers day-ahead and real-time centralized bid-based energy and ancillary services markets pursuant to tariffs approved by FERC, or in the case of ERCOT, market rules approved by the PUCT. These tariffs and rules dictate how the energy markets operate, how market participants make bilateral sales with one another and how entities with market-based rates are compensated. Established prices reflect the value of energy at the specific location and time it is delivered, which is known as the Locational Marginal Price. Each market is subject to market mitigation measures designed to limit the exercise of locational market power. These market structures facilitate NRG's sale of power and capacity products at market-based rates.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3" w:name="page14"/>
    <w:bookmarkEnd w:id="13"/>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Other than ERCOT and AESO, each of the ISO regions also operates a capacity or resource adequacy market that provides an opportunity for generating and demand response resources to earn revenues to offset their fixed costs that are not recovered in the energy and ancillary services markets. The ISOs are also responsible for transmission planning and operations.</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Texas</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NRG's business in Texas is subject to standards and regulations adopted by the PUCT and ERCOT, including the requirement for retailers to be certified by the PUCT in order to contract with end-users to sell electricity. The ERCOT market is one of the nation's largest and, historically, fastest growing power markets. ERCOT is an energy-only market. The majority of the retail load in the ERCOT market region is served by competitive retail suppliers, except certain areas that have not opted into competitive consumer choice and are served by municipal utilities and electric cooperatives.</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East</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While most of the states in the East region of the U.S. have introduced some level of retail consumer choice for electricity and/or natural gas, the incumbent utilities currently provide default service in most of the states and as a result typically serve the majority of residential customers. NRG’s retail activities in the East include both direct sales to end-use customers as well as sales through municipal aggregations, both of which are subject to standards and regulations adopted by the ISOs, state public utility commissions and legislators, including the requirement for retailers to be certified in each state in order to contract with end-users to sell electricity.</w:t>
      </w:r>
    </w:p>
    <w:p>
      <w:pPr>
        <w:spacing w:after="0" w:line="80"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Power plants owned, operated or managed by NRG and NRG's demand response assets located in the East region of the U.S. are within the control areas of PJM, NYISO, ISO-NE and MISO. Each of the market regions in the East region provides for robust competition in the day-ahead and real-time energy and ancillary services markets. Additionally, the assets in the East region receive a significant portion of their revenues from capacity markets. PJM and ISO-NE use a forward capacity auction, while NYISO uses three primary types of capacity auctions: strip auctions held twice a year for six-month terms, monthly auctions held before each month and spot market auctions held days before the start of each month. MISO has an annual auction. Capacity market prices are sensitive to design parameters, as well as additions of new capacity. PJM and ISO-NE operate a pay-for-performance model where capacity payments are modified based on real-time generator performance during certain system conditions. In such markets, NRG’s actual capacity revenues will be the combination of cleared auction prices times the quantity of MW cleared, plus the net of any over-performance "bonus payments" and any under-performance charges. Additionally, bidding rules allow for the incorporation of a risk premium into generator bids.</w:t>
      </w:r>
    </w:p>
    <w:p>
      <w:pPr>
        <w:spacing w:after="0" w:line="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West</w:t>
      </w:r>
    </w:p>
    <w:p>
      <w:pPr>
        <w:spacing w:after="0" w:line="111"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In the West region of the U.S., NRG is an LSE and sells electricity at retail in California’s Direct Access marketplace, as well as through community choice aggregations in the state. Additionally, NRG sells natural gas as both a retail supplier and wholesaler principally in California. NRG also owns equity interests in, operates, or manages power plants located entirely within the CAISO footprint. The CAISO operates day-ahead and real-time locational markets for energy and ancillary services, while managing congestion primarily through nodal prices. The CAISO system facilitates NRG's sale and purchase of power, ancillary services and capacity products at market-based rates, either within the CAISO's centralized energy and ancillary service markets or bilaterally. The CPUC also determines capacity requirements for LSEs and for specified local areas utilizing inputs from the CAISO. Both the CAISO and CPUC rules require LSEs to contract with sufficient generation resources in order to maintain minimum levels of generation within defined local areas. Additionally, the CAISO has independent authority to contract with needed resources under certain circumstances, typically either when LSEs have failed to procure sufficient resources, or system conditions change unexpectedly.</w:t>
      </w:r>
    </w:p>
    <w:p>
      <w:pPr>
        <w:spacing w:after="0" w:line="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Canada, NRG sells to residential and commercial retail customers in Alberta, within the AESO footprint, under both regulated rates approved by the AUC as well as through competitive service. The Company's regulated rates are approved through periodic rate applications that establish rates for power and gas sales as well as for recovery of other costs associated with operating the regulated business. In addition, the Company sells energy to commercial customers in other provinces. All sales and operations are subject to applicable federal and provincial laws and regulations.</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Vivint Smart Home</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Vivint Smart Home operates in all states throughout the U.S. that regulate in some manner the sale, installation, servicing, monitoring or maintenance of smart home and electronic security systems. Vivint Smart Home and its sales representatives are typically required to obtain and maintain licenses, certifications or similar permits from governmental entities as a condition to engaging in the smart home and security service business. Vivint Smart Home is subject to federal and state laws related to consumer financing which may include rules related to fees and charges, disclosures and regulation of the party extending consumer credit.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Energy Regulatory Matters</w:t>
      </w:r>
    </w:p>
    <w:p>
      <w:pPr>
        <w:spacing w:after="0" w:line="11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As participants in wholesale and retail energy markets and owners and operators of power plants, certain NRG entities are subject to regulation by various federal and state government agencies. These include the CFTC, FERC and the PUCT, as well as other public utility commissions in certain states where NRG's generation or distributed generation assets are located. In addition, NRG is subject to the market rules, procedures and protocols of the various ISO and RTO markets in which it participates. Likewise, certain NRG entities participating in the retail markets are subject to rules and regulations established by the states and provinces in which NRG entities are licensed to sell at retail. NRG must also comply with the mandatory reliability requirements imposed by NERC and the regional reliability entities in the regions where NRG operates.</w:t>
      </w:r>
    </w:p>
    <w:p>
      <w:pPr>
        <w:spacing w:after="0" w:line="8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NRG's operations within the ERCOT footprint are not subject to rate regulation by FERC, as they are deemed to operate solely within the ERCOT market and not in interstate commerce. These operations are subject to regulation by the PUCT.</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State and Provincial Energy Regulation</w:t>
      </w:r>
    </w:p>
    <w:p>
      <w:pPr>
        <w:spacing w:after="0" w:line="111" w:lineRule="exact"/>
        <w:rPr>
          <w:sz w:val="20"/>
          <w:szCs w:val="20"/>
          <w:color w:val="auto"/>
        </w:rPr>
      </w:pPr>
    </w:p>
    <w:p>
      <w:pPr>
        <w:jc w:val="both"/>
        <w:ind w:firstLine="395"/>
        <w:spacing w:after="0" w:line="280" w:lineRule="auto"/>
        <w:rPr>
          <w:sz w:val="20"/>
          <w:szCs w:val="20"/>
          <w:color w:val="auto"/>
        </w:rPr>
      </w:pPr>
      <w:r>
        <w:rPr>
          <w:rFonts w:ascii="Times New Roman" w:cs="Times New Roman" w:eastAsia="Times New Roman" w:hAnsi="Times New Roman"/>
          <w:sz w:val="16"/>
          <w:szCs w:val="16"/>
          <w:i w:val="1"/>
          <w:iCs w:val="1"/>
          <w:color w:val="auto"/>
        </w:rPr>
        <w:t xml:space="preserve">Maryland Legislation </w:t>
      </w:r>
      <w:r>
        <w:rPr>
          <w:rFonts w:ascii="Times New Roman" w:cs="Times New Roman" w:eastAsia="Times New Roman" w:hAnsi="Times New Roman"/>
          <w:sz w:val="16"/>
          <w:szCs w:val="16"/>
          <w:color w:val="auto"/>
        </w:rPr>
        <w:t>— On May 9, 2024, Maryland Governor Wes Moore signed Senate Bill (“SB”) 1 into law, which restricts the competitive retail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electric and natural gas market in Maryland, affecting residential customers but not commercial and industrial customers. Key provisions of the law took effect on January 1, 2025. The legislation imposes a price cap on residential contracts tied to a trailing 12-month historical average of utility rates, with only a limited exception for renewable power products. Renewable products must now have their price pre-approved by the Maryland Public Service Commission and source their renewable electricity certificates from within the PJM region. The law also requires that any variable-price contract not contain a change in price more than once a year, except time-of-use contracts, and limits contract terms to 12 months. It requires affirmative consent for the renewal of customer contracts for renewable power products. The law also imposes licensing requirements on energy salespeople. While the law states that it does not impair existing contracts, the Maryland Public Service Commission has ruled that grandfathering of existing contracts will end as of December 31, 2025, and that suppliers must issue separate bills for their charges for all new and renewing contracts as of January 1, 2026. On October 1, 2024, Green Mountain Energy Company, NRG’s renewable electricity provider, along with a retail trade association to which NRG belongs, filed a lawsuit in federal court challenging the constitutionality of SB 1. On November 18, 2024, the trial court denied the plaintiffs' motion for a preliminary injunction. The plaintiffs, including Green Mountain, filed an appeal to this denial in the Court of Appeals for the Fourth Circuit and oral argument occurred on October 24, 2025. The appeal is pending.</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Regional Regulatory Developments</w:t>
      </w:r>
    </w:p>
    <w:p>
      <w:pPr>
        <w:spacing w:after="0" w:line="11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 xml:space="preserve">NRG is affected by rule/tariff changes that occur in the ISO regions. For further discussion on regulatory developments, see Item 15 — Note 23, </w:t>
      </w:r>
      <w:r>
        <w:rPr>
          <w:rFonts w:ascii="Times New Roman" w:cs="Times New Roman" w:eastAsia="Times New Roman" w:hAnsi="Times New Roman"/>
          <w:sz w:val="18"/>
          <w:szCs w:val="18"/>
          <w:i w:val="1"/>
          <w:iCs w:val="1"/>
          <w:color w:val="auto"/>
        </w:rPr>
        <w:t xml:space="preserve">Regulatory Matters, </w:t>
      </w:r>
      <w:r>
        <w:rPr>
          <w:rFonts w:ascii="Times New Roman" w:cs="Times New Roman" w:eastAsia="Times New Roman" w:hAnsi="Times New Roman"/>
          <w:sz w:val="18"/>
          <w:szCs w:val="18"/>
          <w:color w:val="auto"/>
        </w:rPr>
        <w:t>to the Consolidated Financial Statements.</w:t>
      </w:r>
    </w:p>
    <w:p>
      <w:pPr>
        <w:spacing w:after="0" w:line="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ERCOT/PUCT</w:t>
      </w:r>
    </w:p>
    <w:p>
      <w:pPr>
        <w:spacing w:after="0" w:line="109"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PUCT’s Actions with Respect to Wholesale Pricing and Market Design — </w:t>
      </w:r>
      <w:r>
        <w:rPr>
          <w:rFonts w:ascii="Times New Roman" w:cs="Times New Roman" w:eastAsia="Times New Roman" w:hAnsi="Times New Roman"/>
          <w:sz w:val="18"/>
          <w:szCs w:val="18"/>
          <w:color w:val="auto"/>
        </w:rPr>
        <w:t>The PUCT continues to analyze and implement multiple options for promoting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reliability in the wholesale electric market, including the adoption of a reliability standard for resource adequacy and market-based mechanisms to achieve this standard. The Commission adopted a reliability standard that became effective in September 2024.</w:t>
      </w:r>
    </w:p>
    <w:p>
      <w:pPr>
        <w:spacing w:after="0" w:line="74"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In 2023, the Texas Legislature authorized implementation of the Performance Credit Mechanism ("PCM"), which will measure real-time contribution to system reliability and provide compensation for resources to be available, subject to certain "guardrails" such as an absolute annual net cost cap, as part of its adoption of the PUCT Sunset Bill (House Bill 1500). In December 2024, the PUCT decided to shelve implementation of the PCM indefinitely. The Texas Legislature also directed the PUCT to implement a new ancillary service called Dispatchable Reliability Reserve Service ("DRRS") to further increase ERCOT's capability to manage net load variability and firming requirements for new generation resources which penalize poor performance during periods of low grid reserves. In November 2025, ERCOT published an updated design proposal for DRRS that includes the ability for the PUCT to configure it to support resource adequacy through stronger financial incentives for dispatchable thermal generation. The PUCT will evaluate the final design of DRRS as part of the review of the reliability standard in 2026. The PUCT adopted a final rule to implement the firming requirement in December 2025, which requires new generation resources with signed interconnection agreements on or after January 1, 2027, to acquire additional capacity to meet a minimum requirement during low reserve hours on the ERCOT system.</w:t>
      </w:r>
    </w:p>
    <w:p>
      <w:pPr>
        <w:spacing w:after="0" w:line="87"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Texas Energy Fund </w:t>
      </w:r>
      <w:r>
        <w:rPr>
          <w:rFonts w:ascii="Times New Roman" w:cs="Times New Roman" w:eastAsia="Times New Roman" w:hAnsi="Times New Roman"/>
          <w:sz w:val="18"/>
          <w:szCs w:val="18"/>
          <w:color w:val="auto"/>
        </w:rPr>
        <w:t>— Through SB 2627, the Texas Legislature created the TEF, to provide grants and low-interest loans (3%) to incentivize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of more dispatchable generation and smaller backup generation in ERCOT. The PUCT also adopted a rule for the completion bonus grant program in April 2024, which provides for opportunities for grants of $120,000 per MW for dispatchable generation projects interconnected before June 1, 2026, or $80,000 per MW for dispatchable generation projects interconnected on or after June 1, 2026 but before June 1, 2029, subject to performance requirements. The 89th Texas Legislature passed SB 2268, which separated the 10,000 MW collective cap on the ERCOT loan and grant programs resulting in a 10,000 MW cap for the loan program and a separate 10,000 MW cap for the completion bonus grant program.</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5" w:name="page16"/>
    <w:bookmarkEnd w:id="15"/>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NRG, through its subsidiaries, filed and received approval from the PUCT for loan proceeds for three separate projects, totaling more than 1,500 MWs of capacity. Specifically, on July 31, 2025, the Company entered into a $216 million loan agreement with the PUCT under the TEF (the “First TEF Loan”) to support the development of T.H. Wharton, a 415 MW facility. On December 12, 2025, the PUCT approved the notice of eligibility for the completion bonus grant for T.H. Wharton. On September 26, 2025, the Company entered into a $562 million loan agreement with the PUCT under the TEF (the “Second TEF Loan”) to support the development of Cedar Bayou 5, a 689 MW facility. Lastly, on November 20, 2025, the Company entered into a $370 million loan agreement with the PUCT under the TEF (the “Third TEF Loan”) to support the development of Greens Bayou 6, a 443 MW facility. All three projects are currently under construction.</w:t>
      </w:r>
    </w:p>
    <w:p>
      <w:pPr>
        <w:spacing w:after="0" w:line="80"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Real-time Co-optimization of Energy and Ancillary Services plus Batteries (“RTC+B”) </w:t>
      </w:r>
      <w:r>
        <w:rPr>
          <w:rFonts w:ascii="Times New Roman" w:cs="Times New Roman" w:eastAsia="Times New Roman" w:hAnsi="Times New Roman"/>
          <w:sz w:val="18"/>
          <w:szCs w:val="18"/>
          <w:color w:val="auto"/>
        </w:rPr>
        <w:t>— On December 5, 2025, ERCOT implemented its multi-year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 to upgrade its systems to co-optimize the dispatch of energy and ancillary services in real-time. The RTC+B project replaced the Operating Reserve Demand Curve with demand curves for each ancillary service product which will act as the primary scarcity pricing mechanism when energy or ancillary services are in shortage.</w:t>
      </w:r>
    </w:p>
    <w:p>
      <w:pPr>
        <w:spacing w:after="0" w:line="75"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Senate Bill 6 </w:t>
      </w:r>
      <w:r>
        <w:rPr>
          <w:rFonts w:ascii="Times New Roman" w:cs="Times New Roman" w:eastAsia="Times New Roman" w:hAnsi="Times New Roman"/>
          <w:sz w:val="18"/>
          <w:szCs w:val="18"/>
          <w:color w:val="auto"/>
        </w:rPr>
        <w:t>— On June 20, 2025, the Governor of Texas signed SB 6 into law, which includes various provisions that concern how both ERCOT,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transmission and distribution utilities, and power generation companies plan for and serve large loads (defined as 75 MWs and above) in the ERCOT market. SB 6 improves load forecasting accuracy by requiring criteria for inclusion into the forecast and by requiring financial commitments upon a request for a large load customer seeking interconnection to begin engineering studies. In addition, SB 6 includes processes by which large loads should be required or incentivized to curtail their operations. At the same time, SB 6 establishes a PUCT regulatory procedure to minimize potential reliability and stranded-cost impacts that may be associated with new large load co-locations with power generators that were interconnected to ERCOT and operating as stand-alone generators as of September 1, 2025. Generators connected to the grid after this date are exempt from this procedure. Finally, SB 6 requires the PUCT to investigate revising the cost allocation and rate design that governs the ERCOT transmission system. The PUCT rulemaking process for these components of SB 6 is in progress.</w:t>
      </w:r>
    </w:p>
    <w:p>
      <w:pPr>
        <w:spacing w:after="0" w:line="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PJM</w:t>
      </w:r>
    </w:p>
    <w:p>
      <w:pPr>
        <w:spacing w:after="0" w:line="109"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Capacity Market Litigation and Reforms </w:t>
      </w:r>
      <w:r>
        <w:rPr>
          <w:rFonts w:ascii="Times New Roman" w:cs="Times New Roman" w:eastAsia="Times New Roman" w:hAnsi="Times New Roman"/>
          <w:sz w:val="18"/>
          <w:szCs w:val="18"/>
          <w:color w:val="auto"/>
        </w:rPr>
        <w:t>— On September 27, 2024, various public interest organizations filed a complaint at FERC against PJM seeking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to the treatment of RMRs in the capacity market. On November 18, 2024, various state consumer advocates filed a complaint at FERC against PJM seeking revisions to several aspects of PJM’s capacity market, including requiring resources previously subject to categorical exemptions to participate in capacity auctions, longer notice periods for deactivating generating resources, and several other changes. On December 9, 2024, PJM submitted a filing at FERC proposing various capacity market updates regarding the treatment of qualifying resources that are retained under RMR agreements as capacity, retention of a dual-fuel fired combustion turbine plant as the reference resource, and updates to the Non-Performance Charge based on the RTO Net CONE for the 2026/2027 and 2027/2028 delivery years. On February 14, 2025, FERC approved PJM’s filings. One party filed a request for rehearing, and on August 8, 2025, FERC issued an order denying the rehearing request.</w:t>
      </w:r>
    </w:p>
    <w:p>
      <w:pPr>
        <w:spacing w:after="0" w:line="87"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On December 13, 2024, PJM filed tariff changes to add provisions enabling a one-time reliability-based expansion of the eligibility criteria for PJM’s interconnection process intended to allow a limited number of additional resources to participate in an upcoming interconnection queue. On February 11, 2025, FERC approved PJM’s filing. Multiple parties filed requests for rehearing, and on July 28, 2025, FERC issued an order denying the rehearing requests.</w:t>
      </w:r>
    </w:p>
    <w:p>
      <w:pPr>
        <w:spacing w:after="0" w:line="4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December 20, 2024, PJM submitted tariff changes that propose to require all Existing Generation Capacity Resources to offer into the capacity auctions beginning with the 2026/2027 delivery year as well as certain enhancements to the Market Seller Offer Cap. On February 20, 2025, FERC approved PJM’s filing. Multiple parties filed requests for rehearing and on June 26, 2025, FERC issued an order denying the rehearing requests.</w:t>
      </w:r>
    </w:p>
    <w:p>
      <w:pPr>
        <w:spacing w:after="0" w:line="7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On February 20, 2025, PJM submitted proposed revisions to its tariff to establish a price cap and a price floor for the auctions for 2026/2027 and 2027/2028 delivery years. Two parties filed requests for rehearing, and on September 30, 2025, FERC issued an order denying the rehearing requests.</w:t>
      </w:r>
    </w:p>
    <w:p>
      <w:pPr>
        <w:spacing w:after="0" w:line="62" w:lineRule="exact"/>
        <w:rPr>
          <w:sz w:val="20"/>
          <w:szCs w:val="20"/>
          <w:color w:val="auto"/>
        </w:rPr>
      </w:pPr>
    </w:p>
    <w:p>
      <w:pPr>
        <w:jc w:val="both"/>
        <w:ind w:firstLine="395"/>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Revisions to PJM Locational Deliverability Area (“LDA”) Reliability Requirement </w:t>
      </w:r>
      <w:r>
        <w:rPr>
          <w:rFonts w:ascii="Times New Roman" w:cs="Times New Roman" w:eastAsia="Times New Roman" w:hAnsi="Times New Roman"/>
          <w:sz w:val="16"/>
          <w:szCs w:val="16"/>
          <w:color w:val="auto"/>
        </w:rPr>
        <w:t>— PJM delayed publication of the Base Residual Auction ("BRA")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results for the 2024/2025 delivery year and filed at FERC to revise the definition of the LDA Reliability Requirement in the Tariff to allow PJM to exclude certain resources from the calculation of the LDA Reliability Requirement. On February 21, 2023, FERC accepted PJM's filing. Multiple parties, including NRG, filed for rehearing. Rehearing was denied by operation of law, and multiple parties, including the Company, filed appeals to the Court of Appeals for the Third Circuit. On March 12, 2024, the court vacated the portion of the FERC orders that allowed PJM to apply the revised LDA Reliability Requirement to the 2024/2025 capacity auction. On March 29, 2024, PJM filed a petition for declaratory order seeking confirmation as to the capacity commitment rules for the 2024/2025 auction. On April 22, 2024, in response to PJM’s March 29, 2024 petition, multiple parties filed a complaint seeking to find the revised rate unjust and unreasonable and implement rates consistent with FERC's February 2023 decision (“April 2024 complaint”). On May 6, 2024,</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6" w:name="page17"/>
    <w:bookmarkEnd w:id="16"/>
    <w:p>
      <w:pPr>
        <w:jc w:val="both"/>
        <w:spacing w:after="0" w:line="289" w:lineRule="auto"/>
        <w:rPr>
          <w:sz w:val="20"/>
          <w:szCs w:val="20"/>
          <w:color w:val="auto"/>
        </w:rPr>
      </w:pPr>
      <w:r>
        <w:rPr>
          <w:rFonts w:ascii="Times New Roman" w:cs="Times New Roman" w:eastAsia="Times New Roman" w:hAnsi="Times New Roman"/>
          <w:sz w:val="16"/>
          <w:szCs w:val="16"/>
          <w:color w:val="auto"/>
        </w:rPr>
        <w:t>FERC directed PJM to recalculate the 2024/2025 auction results under the initial LDA Reliability Requirement rules, and further directed PJM to rerun the Third Incremental Auction. PJM published the revised BRA and Third Incremental Auction results on May 8, 2024 and May 23, 2024, respectively. On July 9, 2024, FERC denied the April 2024 complaint. Those parties filed an appeal to the Court of Appeals for the D.C. Circuit on November 5, 2024. Multiple parties, including NRG, intervened in the appeal and oral argument was held on November 17, 2025. On January 13, 2026, the Court of Appeals for the D.C. Circuit issued a decision vacating FERC’s order denying the April 2024 complaint and remanding the case to FERC for a ruling on the substance of the complaint.</w:t>
      </w:r>
    </w:p>
    <w:p>
      <w:pPr>
        <w:spacing w:after="0" w:line="48"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PJM Base Residual Auction Revisions and Delay — </w:t>
      </w:r>
      <w:r>
        <w:rPr>
          <w:rFonts w:ascii="Times New Roman" w:cs="Times New Roman" w:eastAsia="Times New Roman" w:hAnsi="Times New Roman"/>
          <w:sz w:val="18"/>
          <w:szCs w:val="18"/>
          <w:color w:val="auto"/>
        </w:rPr>
        <w:t>On October 13, 2023, PJM made two filings at FERC. In the first filing, PJM proposed revisions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Market Seller Offer Cap, which FERC rejected on February 6, 2024. The second filing proposed to make changes to PJM’s resource adequacy risk modeling and capacity accreditation processes, which FERC approved, with condition, on January 20, 2024. The approved changes were in effect for the 2025/2026 BRA that occurred in July 2024. In November 2024, at PJM’s request, FERC approved delays to future BRAs.</w:t>
      </w:r>
    </w:p>
    <w:p>
      <w:pPr>
        <w:spacing w:after="0" w:line="7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July 22, 2025, PJM announced the results of its BRA for the 2026/2027 planning year. The price came in at the FERC-approved cap of $329.17/MW-day for the entire PJM footprint of which NRG cleared approximately 1,008 MWs from the Company’s PJM generation fleet. NRG’s expected capacity revenues from the BRA for the 2026/2027 delivery year is approximately $121 million.</w:t>
      </w:r>
    </w:p>
    <w:p>
      <w:pPr>
        <w:spacing w:after="0" w:line="7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December 17, 2025, PJM announced the results of its BRA for the 2027/2028 delivery year. The price came in at the FERC-approved cap of $333.44/MW-day for the entire PJM footprint of which NRG cleared approximately 1,077 MWs from the Company’s PJM generation fleet. NRG’s expected capacity revenues from the BRA for the 2027/2028 delivery year is approximately $131 million.</w:t>
      </w:r>
    </w:p>
    <w:p>
      <w:pPr>
        <w:spacing w:after="0" w:line="73"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PJM’s Reforms to Large Load Additions </w:t>
      </w:r>
      <w:r>
        <w:rPr>
          <w:rFonts w:ascii="Times New Roman" w:cs="Times New Roman" w:eastAsia="Times New Roman" w:hAnsi="Times New Roman"/>
          <w:sz w:val="18"/>
          <w:szCs w:val="18"/>
          <w:color w:val="auto"/>
        </w:rPr>
        <w:t>— On September 15, 2025, PJM began a formal stakeholder process called the Critical Issue Fast Path (“CIFP”)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address large load additions. Discussed reforms include changes to the PJM demand response program, improvements to load forecasting, and an expedited interconnection pathway for qualified large load projects. On November 19, 2025, the CIFP process concluded, and the PJM Board of Managers (“Board”) began deliberations to determine a final proposal, with the goal of submitting a filing at FERC to implement the identified reforms in the first quarter of 2026. On January 16, 2026, the National Energy Dominance Council within the White House released a Statement of Principles, signed by all 13 governors in the PJM region, urging PJM to address revenue certainty for new generation through an auction process for new capacity, allocate the costs of these new resources to data centers, improve load forecasting, and accelerate ongoing generation interconnection studies. Also on January 16, 2026, the PJM Board issued a decisional letter on the CIFP process. The Board letter directed PJM staff to implement changes to load forecasting, implement a bring your own new generation program and associated expedited interconnection track, initiate immediately a Reliability Backstop Auction to obtain commitments of additional generation for a longer term, and undertake a holistic review of the PJM markets to analyze how they can evolve to provide appropriate incentives for investment and performance. PJM also sought feedback on keeping the price collar in place for the 2028/29 and 2029/30 delivery years. The implementation of these market changes could have material impacts on the PJM market.</w:t>
      </w:r>
    </w:p>
    <w:p>
      <w:pPr>
        <w:spacing w:after="0" w:line="86"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Consumer Advocates Complaint </w:t>
      </w:r>
      <w:r>
        <w:rPr>
          <w:rFonts w:ascii="Times New Roman" w:cs="Times New Roman" w:eastAsia="Times New Roman" w:hAnsi="Times New Roman"/>
          <w:sz w:val="18"/>
          <w:szCs w:val="18"/>
          <w:color w:val="auto"/>
        </w:rPr>
        <w:t>— On April 14, 2025, various state consumer advocates filed a complaint with FERC asking FERC to reprice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2025/2026 PJM capacity auction results. If FERC were to grant the request, the capacity prices for the 2025/2026 delivery year would be expected to change. The complaint is pending at FERC.</w:t>
      </w:r>
    </w:p>
    <w:p>
      <w:pPr>
        <w:spacing w:after="0" w:line="7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Indian River RMR Proceeding </w:t>
      </w:r>
      <w:r>
        <w:rPr>
          <w:rFonts w:ascii="Times New Roman" w:cs="Times New Roman" w:eastAsia="Times New Roman" w:hAnsi="Times New Roman"/>
          <w:sz w:val="18"/>
          <w:szCs w:val="18"/>
          <w:color w:val="auto"/>
        </w:rPr>
        <w:t>— On June 29, 2021, Indian River notified PJM that it intended to retire Unit 4. PJM identified reliability violations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resulting from the proposed deactivation of Unit 4. The Company filed a cost based RMR rate schedule at FERC. The Company reached settlement with a number of the intervening parties and the settlement agreement was filed. On January 16, 2025, FERC issued an order approving the settlement agreement. Indian River Unit 4 retired on February 23, 2025. On May 19, 2025, Maryland Office of People’s Counsel filed an appeal to the Court of Appeals for the Fourth Circuit of FERC’s denial on its request for rehearing. On August 22, 2025, NRG filed a motion to transfer venue. On November 12, 2025, the motion to transfer venue was granted and the appeal was transferred to the Court of Appeals for the D.C. Circuit. The appeal is pending.</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w:t>
      </w:r>
    </w:p>
    <w:p>
      <w:pPr>
        <w:spacing w:after="0" w:line="113"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From time to time, NRG entities may be subject to examinations, investigations and/or enforcement actions by federal, state and provincial licensing and regulatory agencies and may face the risk of penalties for violation of financial services, consumer protections and other applicable laws and regulations.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Environmental Regulatory Matters</w:t>
      </w:r>
    </w:p>
    <w:p>
      <w:pPr>
        <w:spacing w:after="0" w:line="111"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NRG is subject to numerous environmental laws in the development, construction, ownership and operation of power plants. These laws generally require that governmental permits and approvals be obtained before construction and maintained during operation of power plants. In general, the electric generation industry has faced increasingly stringent requirements regarding air quality, GHG emissions, combustion byproducts, water use and discharge, and threatened and endangered species including several rules promulgated in 2024. Future laws may require the addition of emissions controls or other environmental controls or to impose additional restrictions the operations of the Company's facilities including unit retirements or impose obligations related to historic coal ash use, storage and disposal. At the federal level, the President has issued several Executive Orders that indicate that the current administration intends to relax or rescind some previously promulgated regulations. The EPA has proposed several and finalized some rules that relax and/or rescind regulations previously promulgated. Complying with environmental laws often involves specialized human resources and significant capital and operating expenses, as well as occasionally curtailing operations. NRG decides to invest capital for environmental controls based on the relative certainty of the requirements, an evaluation of compliance options and the expected economic returns on capital.</w:t>
      </w:r>
    </w:p>
    <w:p>
      <w:pPr>
        <w:spacing w:after="0" w:line="8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Several regulations that affect the Company have been and continue to be revised by the EPA, including requirements regarding coal ash, GHG emissions, NAAQS revisions and implementation, and effluent limitation guidelines. NRG will evaluate the impact of these regulations as they are revised but cannot fully predict the impact of each until anticipated revisions, legal challenges and reconsiderations are resolved.</w:t>
      </w:r>
    </w:p>
    <w:p>
      <w:pPr>
        <w:spacing w:after="0" w:line="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Air</w:t>
      </w:r>
    </w:p>
    <w:p>
      <w:pPr>
        <w:spacing w:after="0" w:line="113" w:lineRule="exact"/>
        <w:rPr>
          <w:sz w:val="20"/>
          <w:szCs w:val="20"/>
          <w:color w:val="auto"/>
        </w:rPr>
      </w:pPr>
    </w:p>
    <w:p>
      <w:pPr>
        <w:jc w:val="both"/>
        <w:ind w:firstLine="395"/>
        <w:spacing w:after="0" w:line="239" w:lineRule="auto"/>
        <w:rPr>
          <w:sz w:val="20"/>
          <w:szCs w:val="20"/>
          <w:color w:val="auto"/>
        </w:rPr>
      </w:pPr>
      <w:r>
        <w:rPr>
          <w:rFonts w:ascii="Times New Roman" w:cs="Times New Roman" w:eastAsia="Times New Roman" w:hAnsi="Times New Roman"/>
          <w:sz w:val="18"/>
          <w:szCs w:val="18"/>
          <w:color w:val="auto"/>
        </w:rPr>
        <w:t>The CAA and related regulations (as well as similar state and local requirements) have the potential to affect air emissions, operating practices and pollution control equipment required at power plants. Under the CAA, the EPA sets NAAQS for certain pollutants including SO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ozone, and PM2.5. Many of the Company's facilities are located in or near areas that are classified by the EPA as not achieving certain NAAQS (non-attainment areas). The relevant NAAQS may become more stringent. In March 2024, the EPA increased the stringency of the PM2.5 NAAQS but in November 2025, the EPA asked the DC Circuit to vacate the March 2024 rule. The Company maintains a comprehensive compliance strategy to address continuing and new requirements. Complying with increasingly stringent requirements could require the installation of additional emissions control equipment at some NRG facilities or retiring of units if installing such controls is not economic. Significant changes to air regulatory programs affecting the Company are described below.</w:t>
      </w:r>
    </w:p>
    <w:p>
      <w:pPr>
        <w:spacing w:after="0" w:line="88" w:lineRule="exact"/>
        <w:rPr>
          <w:sz w:val="20"/>
          <w:szCs w:val="20"/>
          <w:color w:val="auto"/>
        </w:rPr>
      </w:pPr>
    </w:p>
    <w:p>
      <w:pPr>
        <w:jc w:val="both"/>
        <w:ind w:firstLine="395"/>
        <w:spacing w:after="0" w:line="279" w:lineRule="auto"/>
        <w:rPr>
          <w:sz w:val="20"/>
          <w:szCs w:val="20"/>
          <w:color w:val="auto"/>
        </w:rPr>
      </w:pPr>
      <w:r>
        <w:rPr>
          <w:rFonts w:ascii="Times New Roman" w:cs="Times New Roman" w:eastAsia="Times New Roman" w:hAnsi="Times New Roman"/>
          <w:sz w:val="16"/>
          <w:szCs w:val="16"/>
          <w:i w:val="1"/>
          <w:iCs w:val="1"/>
          <w:color w:val="auto"/>
        </w:rPr>
        <w:t xml:space="preserve">CPP/ACE Rules </w:t>
      </w:r>
      <w:r>
        <w:rPr>
          <w:rFonts w:ascii="Times New Roman" w:cs="Times New Roman" w:eastAsia="Times New Roman" w:hAnsi="Times New Roman"/>
          <w:sz w:val="16"/>
          <w:szCs w:val="16"/>
          <w:color w:val="auto"/>
        </w:rPr>
        <w:t>— The attention in recent years on GHG emissions has resulted in federal and state regulations. In 2019, the EPA promulgated the ACE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rule, which rescinded the CPP, which had sought to broadly regulate CO2 emissions from the power sector. On January 19, 2021, the U.S. Court of Appeals for the D.C. Circuit (the “D.C. Circuit”) vacated the ACE rule (but on February 22, 2021, at the EPA's request, stayed the issuance of the portion of the mandate that would vacate the repeal of the CPP). On June 30, 2022, the U.S. Supreme Court held that the "generation shifting" approach in the CPP exceeded the powers granted to the EPA by Congress. On May 9, 2024, the EPA promulgated a rule that repealed the ACE rule and significantly revised the manner in which new combustion-turbine and existing steam EGU's GHG emissions would be regulated including capturing and storing/sequestering CO2 in some instances. This rule has been challenged by numerous parties in the D.C. Circuit including 27 states with 22 states intervening in support of the rule. The D.C. Circuit held oral arguments related to this rule in December 2024. In February 2025, the court granted a motion the DOJ filed asking the court to hold proceedings in abeyance while the EPA evaluates the rule. On June 17, 2025, the EPA proposed to repeal all GHG emission standards for fossil fuel-fired power plants under Section 111 of the CAA. The EPA is proposing to conclude that GHG emissions from domestic fossil fuel-fired EGUs do not contribute to dangerous air pollution at a level sufficient to invoke the EPA’s authority under CAA Section 111. In addition to its primary proposal to repeal all GHG emission standards for the power sector promulgated in both 2015 and 2024, the EPA has included an alternative proposal to repeal just specific portions. On February 18, 2026, the EPA rescinded the 2009 GHG Endangerment Finding related to motor vehicle emissions. Although this rescission does not directly alter the GHG regulations related to power plants, the Company believes that the EPA may amend such regulations in the next few months.</w:t>
      </w:r>
    </w:p>
    <w:p>
      <w:pPr>
        <w:spacing w:after="0" w:line="272"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Cross-State Air Pollution Rule (“CSAPR”) </w:t>
      </w:r>
      <w:r>
        <w:rPr>
          <w:rFonts w:ascii="Times New Roman" w:cs="Times New Roman" w:eastAsia="Times New Roman" w:hAnsi="Times New Roman"/>
          <w:sz w:val="18"/>
          <w:szCs w:val="18"/>
          <w:color w:val="auto"/>
        </w:rPr>
        <w:t>— On March 15, 2023, the EPA signed and released a prepublication version of a final rule that sought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significantly revise the CSAPR to address the good-neighbor obligations of the 2015 ozone NAAQS for 23 states (a Federal Implementation Plan or “FIP”) after earlier having disapproved numerous state plans to address the issue. Several states, including Texas, challenged the EPA's disapproval of their state plans. On May 1, 2023, the U.S. Court of Appeals for the Fifth Circuit (the “Fifth Circuit”) stayed the EPA's disapproval of Texas's and Louisiana's state plans, which disapprovals are a condition precedent to the EPA imposing its plan on Texas and Louisiana. On March 25, 2025, the Fifth Circuit upheld the EPA’s disapproval of Texas’s and Louisiana’s state plans but did not address the FIP. On May 9, 2025, Texas and other parties petitioned the Fifth Circuit for a rehearing with the whole court. On June 5, 2023, the EPA promulgated the FIP. On June 27, 2024, the U.S. Supreme Court stayed the FIP in the 11 states where the rule had not already been stayed. On April 14, 2025, the D.C. Circuit granted the EPA’s request to hold the legal challenges in abeyance while the EPA revisits the rule. On January 30, 2026, the EPA proposed a Phase 1 reconsideration rule covering Alabama, Arizona, Iowa,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8" w:name="page19"/>
    <w:bookmarkEnd w:id="18"/>
    <w:p>
      <w:pPr>
        <w:jc w:val="both"/>
        <w:spacing w:after="0" w:line="268" w:lineRule="auto"/>
        <w:rPr>
          <w:sz w:val="20"/>
          <w:szCs w:val="20"/>
          <w:color w:val="auto"/>
        </w:rPr>
      </w:pPr>
      <w:r>
        <w:rPr>
          <w:rFonts w:ascii="Times New Roman" w:cs="Times New Roman" w:eastAsia="Times New Roman" w:hAnsi="Times New Roman"/>
          <w:sz w:val="18"/>
          <w:szCs w:val="18"/>
          <w:color w:val="auto"/>
        </w:rPr>
        <w:t>Kansas, Kentucky, Minnesota, Mississippi, Nevada, New Mexico and Tennessee. The EPA intends to address additional states in a separate action. The Company cannot predict the outcome of the legal challenges to the various state disapprovals and the final rule promulgated on June 5, 2023.</w:t>
      </w:r>
    </w:p>
    <w:p>
      <w:pPr>
        <w:spacing w:after="0" w:line="1" w:lineRule="exact"/>
        <w:rPr>
          <w:sz w:val="20"/>
          <w:szCs w:val="20"/>
          <w:color w:val="auto"/>
        </w:rPr>
      </w:pPr>
    </w:p>
    <w:p>
      <w:pPr>
        <w:jc w:val="both"/>
        <w:ind w:firstLine="395"/>
        <w:spacing w:after="0" w:line="279" w:lineRule="auto"/>
        <w:rPr>
          <w:sz w:val="20"/>
          <w:szCs w:val="20"/>
          <w:color w:val="auto"/>
        </w:rPr>
      </w:pPr>
      <w:r>
        <w:rPr>
          <w:rFonts w:ascii="Times New Roman" w:cs="Times New Roman" w:eastAsia="Times New Roman" w:hAnsi="Times New Roman"/>
          <w:sz w:val="17"/>
          <w:szCs w:val="17"/>
          <w:i w:val="1"/>
          <w:iCs w:val="1"/>
          <w:color w:val="auto"/>
        </w:rPr>
        <w:t xml:space="preserve">Regional Haze </w:t>
      </w:r>
      <w:r>
        <w:rPr>
          <w:rFonts w:ascii="Times New Roman" w:cs="Times New Roman" w:eastAsia="Times New Roman" w:hAnsi="Times New Roman"/>
          <w:sz w:val="17"/>
          <w:szCs w:val="17"/>
          <w:color w:val="auto"/>
        </w:rPr>
        <w:t>— In May 2023, the EPA proposed to withdraw the existing Texas Sulfur Dioxide Trading Program and replace it with unit-specific SO</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limits for 12 units in Texas to address requirements to improve visibility at National Parks and Wilderness areas. The Company does not expect this proposal to be finalized during the current U.S. presidential administration. On December 5, 2025, the EPA approved Texas’s plans to address the Regional Haze rule.</w:t>
      </w:r>
    </w:p>
    <w:p>
      <w:pPr>
        <w:spacing w:after="0" w:line="2" w:lineRule="exact"/>
        <w:rPr>
          <w:sz w:val="20"/>
          <w:szCs w:val="20"/>
          <w:color w:val="auto"/>
        </w:rPr>
      </w:pPr>
    </w:p>
    <w:p>
      <w:pPr>
        <w:jc w:val="both"/>
        <w:ind w:firstLine="395"/>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Greenhouse Gas Emissions </w:t>
      </w:r>
      <w:r>
        <w:rPr>
          <w:rFonts w:ascii="Times New Roman" w:cs="Times New Roman" w:eastAsia="Times New Roman" w:hAnsi="Times New Roman"/>
          <w:sz w:val="18"/>
          <w:szCs w:val="18"/>
          <w:color w:val="auto"/>
        </w:rPr>
        <w:t>— NRG emits 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generating electricity at its facilities. NRG's climate goals are to reduce greenhouse gas emissions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50% by 2025, from its current 2014 base year, and to achieve net-zero emissions by 2050. Greenhouse gas emissions included in NRG's goals are directly controlled emissions, emissions from purchased electricity for NRG's consumption, and emissions from employee business travel.</w:t>
      </w:r>
    </w:p>
    <w:p>
      <w:pPr>
        <w:spacing w:after="0" w:line="6"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color w:val="auto"/>
        </w:rPr>
        <w:t>From the current 2014 base year through 2025, the Company's directly controlled 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e emissions decreased from 57 million metric tons to 30 million metric tons, representing a cumulative 47% reduction. The decrease is attributed to reductions in fleet-wide annual net generation and an overall market-driven shift away from coal as a primary fuel to natural gas. Although the Company exceeded its goal in 2023 (58%) and 2024 (57%), its 2025 (47%) emissions reduction was impacted by volatility within the power markets, driven by market conditions.</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2025, less than 5% of the Company's consolidated revenues were derived from coal-fired operating assets.</w:t>
      </w:r>
    </w:p>
    <w:p>
      <w:pPr>
        <w:spacing w:after="0" w:line="109" w:lineRule="exact"/>
        <w:rPr>
          <w:sz w:val="20"/>
          <w:szCs w:val="20"/>
          <w:color w:val="auto"/>
        </w:rPr>
      </w:pPr>
    </w:p>
    <w:p>
      <w:pPr>
        <w:jc w:val="both"/>
        <w:ind w:firstLine="395"/>
        <w:spacing w:after="0" w:line="233" w:lineRule="auto"/>
        <w:rPr>
          <w:sz w:val="20"/>
          <w:szCs w:val="20"/>
          <w:color w:val="auto"/>
        </w:rPr>
      </w:pPr>
      <w:r>
        <w:rPr>
          <w:rFonts w:ascii="Times New Roman" w:cs="Times New Roman" w:eastAsia="Times New Roman" w:hAnsi="Times New Roman"/>
          <w:sz w:val="18"/>
          <w:szCs w:val="18"/>
          <w:color w:val="auto"/>
        </w:rPr>
        <w:t>The following charts reflect the Company’s domestic generation portfolio, including assets accounted for through equity method investments but excluding the remaining renewables activity. Prior year information on U.S. 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e emissions and U.S. generation was adjusted to include acquired assets and to remove divested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68580</wp:posOffset>
            </wp:positionV>
            <wp:extent cx="5949315" cy="20053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49315" cy="2005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Mercury and Air Toxics Standards (“MATS”) </w:t>
      </w:r>
      <w:r>
        <w:rPr>
          <w:rFonts w:ascii="Times New Roman" w:cs="Times New Roman" w:eastAsia="Times New Roman" w:hAnsi="Times New Roman"/>
          <w:sz w:val="18"/>
          <w:szCs w:val="18"/>
          <w:color w:val="auto"/>
        </w:rPr>
        <w:t>— On May 7, 2024, the EPA promulgated a final rule that amends the MATS rule by, among other things,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increasing the stringency of the filterable particulate matter standard at coal-burning units. The deadline for complying with this more stringent standard had been 2027. On April 8, 2025, the President signed a Proclamation that creates a 2-year exemption for compliance beginning on July 8, 2027 and ending on July 8, 2029 for certain coal units including those owned by the Company. Twenty-three states have challenged this rule in the D.C. Circuit. On June 17, 2025, the EPA proposed to repeal the majority of the 2024 final rule amending the MATS rule. The outcome of this rulemaking is uncertain. The Company anticipates that the U.S. presidential administration will substantively revise this rule.</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Water</w:t>
      </w:r>
    </w:p>
    <w:p>
      <w:pPr>
        <w:spacing w:after="0" w:line="11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is required under the Clean Water Act to comply with intake and discharge requirements, requirements for technological controls and operating practices. As with air quality regulations, federal and state water regulations have become more stringent and imposed new requirements.</w:t>
      </w:r>
    </w:p>
    <w:p>
      <w:pPr>
        <w:spacing w:after="0" w:line="62" w:lineRule="exact"/>
        <w:rPr>
          <w:sz w:val="20"/>
          <w:szCs w:val="20"/>
          <w:color w:val="auto"/>
        </w:rPr>
      </w:pPr>
    </w:p>
    <w:p>
      <w:pPr>
        <w:jc w:val="both"/>
        <w:ind w:firstLine="395"/>
        <w:spacing w:after="0" w:line="294" w:lineRule="auto"/>
        <w:rPr>
          <w:sz w:val="20"/>
          <w:szCs w:val="20"/>
          <w:color w:val="auto"/>
        </w:rPr>
      </w:pPr>
      <w:r>
        <w:rPr>
          <w:rFonts w:ascii="Times New Roman" w:cs="Times New Roman" w:eastAsia="Times New Roman" w:hAnsi="Times New Roman"/>
          <w:sz w:val="16"/>
          <w:szCs w:val="16"/>
          <w:i w:val="1"/>
          <w:iCs w:val="1"/>
          <w:color w:val="auto"/>
        </w:rPr>
        <w:t xml:space="preserve">ELG </w:t>
      </w:r>
      <w:r>
        <w:rPr>
          <w:rFonts w:ascii="Times New Roman" w:cs="Times New Roman" w:eastAsia="Times New Roman" w:hAnsi="Times New Roman"/>
          <w:sz w:val="16"/>
          <w:szCs w:val="16"/>
          <w:color w:val="auto"/>
        </w:rPr>
        <w:t>— In 2015, the EPA revised the ELG for Steam Electric Generating Facilities, which imposed more stringent requirements (as individual permits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were renewed) for wastewater streams from FGD, fly ash, bottom ash and flue gas mercury control. On October 13, 2020, the EPA amended the 2015 ELG rule by: (i) altering the stringency of certain limits for FGD wastewater; (ii) relaxing the zero-discharge requirement for bottom ash transport water; and (iii) changing several deadlines. In 2021, NRG informed its regulators that the Company intends to comply with the ELG by ceasing combustion of coal by the end</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9" w:name="page20"/>
    <w:bookmarkEnd w:id="19"/>
    <w:p>
      <w:pPr>
        <w:jc w:val="both"/>
        <w:spacing w:after="0" w:line="286" w:lineRule="auto"/>
        <w:rPr>
          <w:sz w:val="20"/>
          <w:szCs w:val="20"/>
          <w:color w:val="auto"/>
        </w:rPr>
      </w:pPr>
      <w:r>
        <w:rPr>
          <w:rFonts w:ascii="Times New Roman" w:cs="Times New Roman" w:eastAsia="Times New Roman" w:hAnsi="Times New Roman"/>
          <w:sz w:val="16"/>
          <w:szCs w:val="16"/>
          <w:color w:val="auto"/>
        </w:rPr>
        <w:t>of 2028 at its domestic coal units outside of Texas, and installing appropriate controls by the end of 2025 at its two plants that have coal-fired units in Texas. On May 9, 2024, the EPA promulgated a rule that again revises the ELG by, among other things, further restricting the discharge of (i) FGD wastewater, (ii) bottom ash transport water, and (iii) combustion residual leachate. The rule was challenged in numerous courts, but the cases were consolidated in the U.S. Court of Appeals for the Eighth Circuit. The outcome of the legal challenges is uncertain. On February 19, 2025, the DOJ filed a motion asking the court to hold proceedings in abeyance while the U.S. presidential administration evaluates the rule, which the court granted. On December 31, 2025, the EPA promulgated a rule that extends several deadlines and provides greater flexibility regarding decisions to invest in more stringent controls.</w:t>
      </w:r>
    </w:p>
    <w:p>
      <w:pPr>
        <w:spacing w:after="0" w:line="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Byproducts</w:t>
      </w:r>
    </w:p>
    <w:p>
      <w:pPr>
        <w:spacing w:after="0" w:line="113"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In 2015, the EPA finalized the rule regulating byproducts of coal combustion (e.g., ash and gypsum) as solid wastes under the RCRA. On August 21, 2018, the D.C. Circuit found, among other things, that the EPA had not adequately regulated unlined ponds and legacy surface impoundments. On August 28, 2020, the EPA finalized "A Holistic Approach to Closure Part A: Deadline to Initiate Closure," which amended the April 2015 Rule to address the August 2018 D.C. Circuit decision and extend some of the deadlines. On November 12, 2020, the EPA finalized "A Holistic Approach to Closure Part B: Alternative Demonstration for Unlined Surface Impoundments," which further amended the April 2015 Rule to, among other things, provide procedures for requesting approval to operate existing ash impoundments with an alternate liner. On May 8, 2024, the EPA promulgated a rule that establishes requirements for: (i) inactive (or legacy) surface impoundments at inactive facilities and (ii) coal combustion residuals (“CCR”) management units (regardless of how or when the CCR was placed) at regulated facilities. The rule also creates an obligation to conduct site assessments (at all active and certain inactive facilities) to determine whether CCR management units are present. On February 10, 2026, the EPA promulgated a rule extending certain deadlines in the 2024 rule. The rule has been challenged in the D.C. Circuit and the outcome of the legal challenges is uncertain.</w:t>
      </w:r>
    </w:p>
    <w:p>
      <w:pPr>
        <w:spacing w:after="0" w:line="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Domestic Site Remediation Matters</w:t>
      </w:r>
    </w:p>
    <w:p>
      <w:pPr>
        <w:spacing w:after="0" w:line="11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Under certain federal, state and local environmental laws, a current or previous owner or operator of a facility, including an electric generating facility, may be required to investigate and remediate releases or threatened releases of hazardous or toxic substances or petroleum products. NRG may be responsible for property damage, personal injury and investigation and remediation costs incurred by a party in connection with hazardous material releases or threatened releases. These laws impose liability without regard to whether the owner knew of or caused the presence of the hazardous substances, and the courts have interpreted liability under such laws to be strict (without fault) and joint and several. Cleanup obligations can often be triggered during the closure or decommissioning of a facility, in addition to spills during its operations.</w:t>
      </w:r>
    </w:p>
    <w:p>
      <w:pPr>
        <w:spacing w:after="0" w:line="80" w:lineRule="exact"/>
        <w:rPr>
          <w:sz w:val="20"/>
          <w:szCs w:val="20"/>
          <w:color w:val="auto"/>
        </w:rPr>
      </w:pPr>
    </w:p>
    <w:p>
      <w:pPr>
        <w:jc w:val="both"/>
        <w:ind w:firstLine="395"/>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Jewett Mine Lignite Contract </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Limestone facility historically burned lignite obtained from the Jewett mine. Active mining ceased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2016; however, the Company remains responsible for reclamation activities and is responsible for all reclamation costs. NRG has recorded an adequate ARO liability. The Railroad Commission of Texas has imposed a bond obligation of approximately $112 million for the reclamation of the Jewett mine, which NRG supports through surety bonds. The cost of the reclamation may exceed the value of the bonds. NRG may provide additional performance assurance if required by the Railroad Commission of Texas.</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Regional Environmental Developments</w:t>
      </w:r>
    </w:p>
    <w:p>
      <w:pPr>
        <w:spacing w:after="0" w:line="111"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Ash Regulation in Illinois </w:t>
      </w:r>
      <w:r>
        <w:rPr>
          <w:rFonts w:ascii="Times New Roman" w:cs="Times New Roman" w:eastAsia="Times New Roman" w:hAnsi="Times New Roman"/>
          <w:sz w:val="18"/>
          <w:szCs w:val="18"/>
          <w:color w:val="auto"/>
        </w:rPr>
        <w:t>— On July 30, 2019, Illinois enacted legislation that required the state to promulgate regulations regarding coal ash at surface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impoundments. On April 15, 2021, the state promulgated the implementing regulation, which became effective on April 21, 2021. NRG has applied for initial operating permits and construction permits (for closure and retrofits) as required by the regulation and is waiting for most of its permits to be issued by the Illinois EPA.</w:t>
      </w:r>
    </w:p>
    <w:p>
      <w:pPr>
        <w:spacing w:after="0" w:line="75"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Houston Nonattainment for 2008 Ozone Standard </w:t>
      </w:r>
      <w:r>
        <w:rPr>
          <w:rFonts w:ascii="Times New Roman" w:cs="Times New Roman" w:eastAsia="Times New Roman" w:hAnsi="Times New Roman"/>
          <w:sz w:val="18"/>
          <w:szCs w:val="18"/>
          <w:color w:val="auto"/>
        </w:rPr>
        <w:t>— In 2022, the EPA changed the Houston area’s classification from Serious to Severe nonattainment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2008 Ozone Standard. Accordingly, Texas is required to develop a new control strategy and submit it to the EPA.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NRG sells to a wide variety of customers, primarily end-use customers in the residential, commercial and industrial, and wholesale sectors. The Company owns and operates power plants to generate and sell power to wholesale customers, such as utilities and other intermediaries. The Company had no customer that comprised more than 10% of the Company's consolidated revenues for the year ended December 31, 2025.</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As of December 31, 2025, NRG and its consolidated subsidiaries had 16,702 employees, including 7,929 active smart home direct sales and installation individuals, which are largely seasonal. Approximately 4% of the Company's employees were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color w:val="auto"/>
        </w:rPr>
        <w:t>covered by U.S. collective bargaining agreements. During 2025, the Company did not experience any labor stoppages or labor disputes at any of its facilities.</w:t>
      </w:r>
    </w:p>
    <w:p>
      <w:pPr>
        <w:spacing w:after="0" w:line="13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NRG believes its employees are vital to its success and is committed to offering employees a rewarding career that provides opportunities for growth and the ability to make valuable contributions toward the achievement of the Company’s business objectives. NRG focuses on safety, health and wellness, employee engagement, talent development and total rewards for its workforce.</w:t>
      </w:r>
    </w:p>
    <w:p>
      <w:pPr>
        <w:spacing w:after="0" w:line="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Safety</w:t>
      </w:r>
    </w:p>
    <w:p>
      <w:pPr>
        <w:spacing w:after="0" w:line="113"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Safety is embedded in the culture at NRG. The Company strives to begin meetings with a safety moment and regularly reminds its employees that safety comes first. NRG has achieved its targeted top decile safety record of Occupational Safety and Health Administration recordable injury rates in each of the 5 previous years.</w:t>
      </w:r>
    </w:p>
    <w:p>
      <w:pPr>
        <w:spacing w:after="0" w:line="75"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following chart reflects the Company's 5 year safety record, excluding Vivint Smart Home which uses different industry specific safety benchmarks. For 2025, Vivint Smart Home safety performance was better than the industry average when measured against relevant, industry-specific benchmarks, with a recordable injury rate of 2.07 compared to the Bureau of Labor Statistics median of 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59055</wp:posOffset>
            </wp:positionV>
            <wp:extent cx="5431155" cy="23895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31155" cy="2389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Health and Wellness</w:t>
      </w:r>
    </w:p>
    <w:p>
      <w:pPr>
        <w:spacing w:after="0" w:line="11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NRG has continued to invest in the health and well-being of its employees and their families by providing programs that holistically support its employees’ physical, emotional, social and financial wellness, allowing employees the opportunity to take control of their well-being and focus on what matters most to them for a healthy, secure future. The Company includes well-being questions in the annual employee engagement survey as well as goals as a metric in the Annual Incentive Plan (“AIP”), ensuring that the Company has an informed view of well-being across NRG and that AIP participants are motivated to improve their overall well-being.</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w:t>
      </w:r>
    </w:p>
    <w:p>
      <w:pPr>
        <w:spacing w:after="0" w:line="1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NRG is committed to a merit-based workplace where employees are treated fairly and with respect. The Company seeks to build on that position by continually improving its hiring and promotion policies, linking them to its new company values and leadership competencies, while promoting a culture of internal mobility and growth for its employees. The Company strives to be a place that empowers employee growth and celebrates the individual employee and their unique backgrounds.</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Talent Development</w:t>
      </w:r>
    </w:p>
    <w:p>
      <w:pPr>
        <w:spacing w:after="0" w:line="11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NRG deploys various talent development strategies and programs to develop leaders who can execute on the Company’s strategy and drive value for all stakeholders. The Board of Directors regularly engages with management on leadership development and succession planning, including providing feedback on development plans and bench strength for key senior leader positions. In 2025, the Company launched several development tools like the career development launch pad and LinkedIn Learning, seeing robust usage among employees. NRG continued its annual Emerging Executive Leaders Program to strengthen the identified pipeline of future executives and create a cohort of high potential candidates to work on active company challenges or opportunities. Additionally, the Company expanded a front-line leader program called Peak Leadership to the entire company with the intent to onboard first-level leaders into their leadership role in select business units.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1" w:name="page22"/>
    <w:bookmarkEnd w:id="21"/>
    <w:p>
      <w:pPr>
        <w:jc w:val="both"/>
        <w:spacing w:after="0" w:line="256" w:lineRule="auto"/>
        <w:rPr>
          <w:sz w:val="20"/>
          <w:szCs w:val="20"/>
          <w:color w:val="auto"/>
        </w:rPr>
      </w:pPr>
      <w:r>
        <w:rPr>
          <w:rFonts w:ascii="Times New Roman" w:cs="Times New Roman" w:eastAsia="Times New Roman" w:hAnsi="Times New Roman"/>
          <w:sz w:val="18"/>
          <w:szCs w:val="18"/>
          <w:color w:val="auto"/>
        </w:rPr>
        <w:t>Company has a performance management tool that emphasizes a continuous feedback loop, with 97% of employees completing a midyear 2025 check in. Employees have access to a robust online training curriculum covering topics such as leadership, communication and productivity. During 2025, more than 1,400 employees at different levels participated in facilitated training sessions.</w:t>
      </w:r>
    </w:p>
    <w:p>
      <w:pPr>
        <w:spacing w:after="0" w:line="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Total Rewards</w:t>
      </w:r>
    </w:p>
    <w:p>
      <w:pPr>
        <w:spacing w:after="0" w:line="11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NRG seeks to provide market competitive compensation and benefits benchmarked against the industries in which the Company operates: energy, consumer services and, where appropriate, the entire market. To ensure incentives are properly aligned with business needs and can attract and retain qualified employees, the Compensation Committee of the Board of Directors actively reviews the Company's total rewards programs, including benchmarking, risk assessment, and program design. NRG offers full-time employees incentives designed to motivate and reward success, and it continues to evaluate its benefits and offerings taking into consideration the needs of its employees to ensure they are competitive and best serve its employees. Every two years, the Company engages an independent third-party to benchmark its compensation and benefits programs against its peers and report the results to the Compensation Committee of the Board of Directors.</w:t>
      </w:r>
    </w:p>
    <w:p>
      <w:pPr>
        <w:spacing w:after="0" w:line="8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For further discussion and recent available data regarding the Company’s efforts and programs please see the Company’s 2025 Proxy Statement and 2024 Sustainability Metrics which are available on the Company’s website at: </w:t>
      </w:r>
      <w:r>
        <w:rPr>
          <w:rFonts w:ascii="Times New Roman" w:cs="Times New Roman" w:eastAsia="Times New Roman" w:hAnsi="Times New Roman"/>
          <w:sz w:val="18"/>
          <w:szCs w:val="18"/>
          <w:i w:val="1"/>
          <w:iCs w:val="1"/>
          <w:color w:val="auto"/>
        </w:rPr>
        <w:t>www.nrg.com</w:t>
      </w:r>
      <w:r>
        <w:rPr>
          <w:rFonts w:ascii="Times New Roman" w:cs="Times New Roman" w:eastAsia="Times New Roman" w:hAnsi="Times New Roman"/>
          <w:sz w:val="18"/>
          <w:szCs w:val="18"/>
          <w:color w:val="auto"/>
        </w:rPr>
        <w:t>. Information included on or accessible via the Company’s website is not part of, or otherwise incorporated into, this Annual Report on Form 10-K.</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 xml:space="preserve">NRG's annual reports on Form 10-K, quarterly reports on Form 10-Q, current reports on Form 8-K, and amendments to those reports filed or furnished pursuant to section 13(a) or 15(d) of the Exchange Act are available free of charge through the SEC's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and through the Company's website, </w:t>
      </w:r>
      <w:r>
        <w:rPr>
          <w:rFonts w:ascii="Times New Roman" w:cs="Times New Roman" w:eastAsia="Times New Roman" w:hAnsi="Times New Roman"/>
          <w:sz w:val="18"/>
          <w:szCs w:val="18"/>
          <w:i w:val="1"/>
          <w:iCs w:val="1"/>
          <w:color w:val="auto"/>
        </w:rPr>
        <w:t>www.nrg.com</w:t>
      </w:r>
      <w:r>
        <w:rPr>
          <w:rFonts w:ascii="Times New Roman" w:cs="Times New Roman" w:eastAsia="Times New Roman" w:hAnsi="Times New Roman"/>
          <w:sz w:val="18"/>
          <w:szCs w:val="18"/>
          <w:color w:val="auto"/>
        </w:rPr>
        <w:t>, as soon as reasonably practicable after they are electronically filed with, or furnished to, the SEC. The Company also routinely posts press releases, presentations, webcasts, sustainability reports and other information regarding the Company on the Company's website. The information posted on or accessible via the Company's website is not a part of, or otherwise incorporated into, this report.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NRG's risk factors are grouped into the following categories: (i) Risks Related to the Acquisition of the LSP Portfolio; (ii) Risks Related to the Operation of NRG's Business; (iii) Risks Related to Governmental Regulation and Laws; and (iv) Risks Related to Economic and Financial Market Conditions and the Company's Indebtedness.</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Risks Related to the Acquisition of the LSP Portfolio</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integration of NRG and the LSP Portfolio may disrupt or have a negative impact on the Company’s business.</w:t>
      </w:r>
    </w:p>
    <w:p>
      <w:pPr>
        <w:spacing w:after="0" w:line="11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LSP Portfolio is comprised of 13 GW of natural gas-fired generation and dual fuel assets and a demand response platform. The acquisition significantly increases NRG’s owned generation capacity and operational footprint. The acquisition is large and complex, and the Company will need to devote significant time and resources to integrating the plants, equipment, personnel, operations, and fuel arrangements with NRG’s existing generation, retail and commercial businesses. Any difficulties encountered in the transition and integration process could adversely affect the Company’s business, results of operations and financial condition.</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Risks that could impact the Company negatively include:</w:t>
      </w:r>
    </w:p>
    <w:p>
      <w:pPr>
        <w:spacing w:after="0" w:line="56" w:lineRule="exact"/>
        <w:rPr>
          <w:sz w:val="20"/>
          <w:szCs w:val="20"/>
          <w:color w:val="auto"/>
        </w:rPr>
      </w:pPr>
    </w:p>
    <w:p>
      <w:pPr>
        <w:ind w:left="480" w:hanging="317"/>
        <w:spacing w:after="0" w:line="254" w:lineRule="auto"/>
        <w:tabs>
          <w:tab w:leader="none" w:pos="4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managing and integrating the LSP Portfolio and its plants, pipelines, interconnection, operations, fuel contracts, and hedging arrangements;</w:t>
      </w:r>
    </w:p>
    <w:p>
      <w:pPr>
        <w:ind w:left="480" w:hanging="317"/>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the ongoing businesses and distraction of management;</w:t>
      </w:r>
    </w:p>
    <w:p>
      <w:pPr>
        <w:spacing w:after="0" w:line="3" w:lineRule="exact"/>
        <w:rPr>
          <w:rFonts w:ascii="Times New Roman" w:cs="Times New Roman" w:eastAsia="Times New Roman" w:hAnsi="Times New Roman"/>
          <w:sz w:val="18"/>
          <w:szCs w:val="18"/>
          <w:color w:val="auto"/>
        </w:rPr>
      </w:pPr>
    </w:p>
    <w:p>
      <w:pPr>
        <w:ind w:left="480" w:hanging="317"/>
        <w:spacing w:after="0" w:line="244" w:lineRule="auto"/>
        <w:tabs>
          <w:tab w:leader="none" w:pos="4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implementing and maintaining uniform processes, systems, standards, controls, procedures, practices, and policies pertaining to commercial, operational, financial, legal, regulatory, and/or accounting matters;</w:t>
      </w:r>
    </w:p>
    <w:p>
      <w:pPr>
        <w:ind w:left="480" w:hanging="317"/>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assumption of power purchase agreements, tolling arrangements, O&amp;M contracts and demand response agreements;</w:t>
      </w:r>
    </w:p>
    <w:p>
      <w:pPr>
        <w:spacing w:after="0" w:line="3" w:lineRule="exact"/>
        <w:rPr>
          <w:rFonts w:ascii="Times New Roman" w:cs="Times New Roman" w:eastAsia="Times New Roman" w:hAnsi="Times New Roman"/>
          <w:sz w:val="18"/>
          <w:szCs w:val="18"/>
          <w:color w:val="auto"/>
        </w:rPr>
      </w:pPr>
    </w:p>
    <w:p>
      <w:pPr>
        <w:ind w:left="480" w:hanging="317"/>
        <w:spacing w:after="0" w:line="244" w:lineRule="auto"/>
        <w:tabs>
          <w:tab w:leader="none" w:pos="4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timely implement and enact effective internal control over financial reporting for the acquired assets, including harmonizing the LSP Portfolio’s accounting policies and internal controls with the Company’s;</w:t>
      </w:r>
    </w:p>
    <w:p>
      <w:pPr>
        <w:ind w:left="480" w:hanging="317"/>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issues in integrating information technology, communications, and other systems;</w:t>
      </w:r>
    </w:p>
    <w:p>
      <w:pPr>
        <w:spacing w:after="0" w:line="3" w:lineRule="exact"/>
        <w:rPr>
          <w:rFonts w:ascii="Times New Roman" w:cs="Times New Roman" w:eastAsia="Times New Roman" w:hAnsi="Times New Roman"/>
          <w:sz w:val="18"/>
          <w:szCs w:val="18"/>
          <w:color w:val="auto"/>
        </w:rPr>
      </w:pPr>
    </w:p>
    <w:p>
      <w:pPr>
        <w:ind w:left="480" w:hanging="317"/>
        <w:spacing w:after="0" w:line="244" w:lineRule="auto"/>
        <w:tabs>
          <w:tab w:leader="none" w:pos="4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impairment of relationships with employees and partners, including the potential loss of valuable employees and difficulty in retaining and integrating personnel;</w:t>
      </w:r>
    </w:p>
    <w:p>
      <w:pPr>
        <w:ind w:left="480" w:hanging="317"/>
        <w:spacing w:after="0" w:line="244" w:lineRule="auto"/>
        <w:tabs>
          <w:tab w:leader="none" w:pos="4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expenses, unknown liabilities, or adverse changes arising from events, conditions, or actions occurring prior to or in connection with the acquisition, as well as unanticipated capital investments, environmental upgrades, or decommissioning liabilities;</w:t>
      </w:r>
    </w:p>
    <w:p>
      <w:pPr>
        <w:ind w:left="480" w:hanging="317"/>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addressing any possible differences in corporate cultures and management philosophies;</w:t>
      </w:r>
    </w:p>
    <w:p>
      <w:pPr>
        <w:spacing w:after="0" w:line="3" w:lineRule="exact"/>
        <w:rPr>
          <w:rFonts w:ascii="Times New Roman" w:cs="Times New Roman" w:eastAsia="Times New Roman" w:hAnsi="Times New Roman"/>
          <w:sz w:val="18"/>
          <w:szCs w:val="18"/>
          <w:color w:val="auto"/>
        </w:rPr>
      </w:pPr>
    </w:p>
    <w:p>
      <w:pPr>
        <w:ind w:left="480" w:hanging="317"/>
        <w:spacing w:after="0" w:line="244" w:lineRule="auto"/>
        <w:tabs>
          <w:tab w:leader="none" w:pos="4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federal or state laws or regulations, including those pertaining to thermal generation, emissions standards, capacity market rules, permitting, or otherwise relating to the assets acquired;</w:t>
      </w:r>
    </w:p>
    <w:p>
      <w:pPr>
        <w:ind w:left="480" w:hanging="317"/>
        <w:spacing w:after="0" w:line="244" w:lineRule="auto"/>
        <w:tabs>
          <w:tab w:leader="none" w:pos="4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NRG’s risk profile due to the geographic concentration of the generation assets in the LSP Portfolio and increased exposure to regional fuel, weather and market events; and</w:t>
      </w:r>
    </w:p>
    <w:p>
      <w:pPr>
        <w:ind w:left="480" w:hanging="317"/>
        <w:spacing w:after="0" w:line="248" w:lineRule="auto"/>
        <w:tabs>
          <w:tab w:leader="none" w:pos="4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Company may not realize all the expected benefits of the acquisition, including enhanced generation capabilities, if the assets and businesses cannot be integrated in an efficient and effective manner, which could result in increased costs or lower-than-expected revenues.</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the Company is not successful in addressing these risks effectively, the business could be impacted. Many of these factors will be outside of the Company’s control, and any one of them could result in delays, increased costs, decreases in the amount of expected revenues and diversion of management’s time and energy, which could materially affect NRG’s business, results of operations and financial condition. Similar risks may apply to any future acquisitions or dispositions the Company may undertake.</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Risks Related to the Operation of NRG's Business</w:t>
      </w:r>
    </w:p>
    <w:p>
      <w:pPr>
        <w:spacing w:after="0" w:line="10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NRG's financial performance may be impacted by price fluctuations in the retail and wholesale power and natural gas markets, as well as fluctuations in coal and oil markets and other market factors that are beyond the Company's control.</w:t>
      </w:r>
    </w:p>
    <w:p>
      <w:pPr>
        <w:spacing w:after="0" w:line="59"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Market prices for power, capacity, ancillary services, natural gas, coal, oil and renewable energy credits are unpredictable and tend to fluctuate substantially. Electric power generally must be produced concurrently with its use. As a result, power prices are subject to significant volatility due to supply and demand imbalances, especially in the day-ahead and spot markets. Long and short-term power and gas prices may also fluctuate substantially due to other factors outside of the Company's control, including:</w:t>
      </w:r>
    </w:p>
    <w:p>
      <w:pPr>
        <w:spacing w:after="0" w:line="25" w:lineRule="exact"/>
        <w:rPr>
          <w:sz w:val="20"/>
          <w:szCs w:val="20"/>
          <w:color w:val="auto"/>
        </w:rPr>
      </w:pPr>
    </w:p>
    <w:p>
      <w:pPr>
        <w:jc w:val="both"/>
        <w:ind w:left="480" w:hanging="317"/>
        <w:spacing w:after="0" w:line="256" w:lineRule="auto"/>
        <w:tabs>
          <w:tab w:leader="none" w:pos="4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generation capacity in the Company’s markets, including the addition of new supplies of power as a result of the development of new plants, expansion of existing plants, the continued operation of uneconomic power plants due to state subsidies, retirement of existing plants or addition of new transmission capacity;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23" w:name="page24"/>
    <w:bookmarkEnd w:id="23"/>
    <w:p>
      <w:pPr>
        <w:ind w:left="480" w:hanging="317"/>
        <w:spacing w:after="0"/>
        <w:tabs>
          <w:tab w:leader="none" w:pos="480" w:val="left"/>
        </w:tabs>
        <w:numPr>
          <w:ilvl w:val="0"/>
          <w:numId w:val="12"/>
        </w:numPr>
        <w:rPr>
          <w:rFonts w:ascii="Arial" w:cs="Arial" w:eastAsia="Arial" w:hAnsi="Arial"/>
          <w:sz w:val="21"/>
          <w:szCs w:val="21"/>
          <w:color w:val="auto"/>
        </w:rPr>
      </w:pPr>
      <w:r>
        <w:rPr>
          <w:rFonts w:ascii="Times New Roman" w:cs="Times New Roman" w:eastAsia="Times New Roman" w:hAnsi="Times New Roman"/>
          <w:sz w:val="18"/>
          <w:szCs w:val="18"/>
          <w:color w:val="auto"/>
        </w:rPr>
        <w:t>economic and political conditions, including the impact of changing U.S. trade policies and potential additional tariffs that may be imposed;</w:t>
      </w:r>
    </w:p>
    <w:p>
      <w:pPr>
        <w:spacing w:after="0" w:line="2" w:lineRule="exact"/>
        <w:rPr>
          <w:rFonts w:ascii="Arial" w:cs="Arial" w:eastAsia="Arial" w:hAnsi="Arial"/>
          <w:sz w:val="21"/>
          <w:szCs w:val="21"/>
          <w:color w:val="auto"/>
        </w:rPr>
      </w:pPr>
    </w:p>
    <w:p>
      <w:pPr>
        <w:ind w:left="480" w:hanging="317"/>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 supply disruptions, including plant outages and transmission disruptions;</w:t>
      </w:r>
    </w:p>
    <w:p>
      <w:pPr>
        <w:spacing w:after="0" w:line="1"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power and gas transmission infrastructure;</w:t>
      </w:r>
    </w:p>
    <w:p>
      <w:pPr>
        <w:spacing w:after="0" w:line="3"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capacity constraints or inefficiencies;</w:t>
      </w:r>
    </w:p>
    <w:p>
      <w:pPr>
        <w:spacing w:after="0" w:line="3"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including judicial decisions, environmental regulations and environmental legislation;</w:t>
      </w:r>
    </w:p>
    <w:p>
      <w:pPr>
        <w:spacing w:after="0" w:line="3"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provincial power regulations and legislation, and regulations and actions of the ISO and RTOs;</w:t>
      </w:r>
    </w:p>
    <w:p>
      <w:pPr>
        <w:spacing w:after="0" w:line="3"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including extreme weather conditions and seasonal fluctuations, including the effects of climate change;</w:t>
      </w:r>
    </w:p>
    <w:p>
      <w:pPr>
        <w:spacing w:after="0" w:line="3"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commodity prices and the supply of commodities, including but not limited to natural gas, coal and oil;</w:t>
      </w:r>
    </w:p>
    <w:p>
      <w:pPr>
        <w:spacing w:after="0" w:line="3" w:lineRule="exact"/>
        <w:rPr>
          <w:rFonts w:ascii="Times New Roman" w:cs="Times New Roman" w:eastAsia="Times New Roman" w:hAnsi="Times New Roman"/>
          <w:sz w:val="18"/>
          <w:szCs w:val="18"/>
          <w:color w:val="auto"/>
        </w:rPr>
      </w:pPr>
    </w:p>
    <w:p>
      <w:pPr>
        <w:ind w:left="480" w:hanging="317"/>
        <w:spacing w:after="0" w:line="244" w:lineRule="auto"/>
        <w:tabs>
          <w:tab w:leader="none" w:pos="4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power or gas, or in patterns of power or gas usage, including the potential development of demand-side management tools and practices, distributed generation, and more efficient end-use technologies;</w:t>
      </w:r>
    </w:p>
    <w:p>
      <w:pPr>
        <w:ind w:left="480" w:hanging="317"/>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fuels, new technologies and new forms of competition for the production of power; and</w:t>
      </w:r>
    </w:p>
    <w:p>
      <w:pPr>
        <w:spacing w:after="0" w:line="3"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health crisis, epidemic or pandemic.</w:t>
      </w:r>
    </w:p>
    <w:p>
      <w:pPr>
        <w:spacing w:after="0" w:line="9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While retail rates are generally designed to allow retail sellers of electricity and natural gas to pass through price fluctuations and other changes to costs, the Company may not be able to pass through all such changes to customers. For example, serving retail power customers in ISOs that have a capacity market exposes the Company to the risk that capacity costs can change and may not be recoverable, or the Company may engage in sales of power at fixed prices. Additionally, increases in wholesale costs to retail customers may cause additional customer defaults or increased customer attrition, or may be impacted by regulatory rules.</w:t>
      </w:r>
    </w:p>
    <w:p>
      <w:pPr>
        <w:spacing w:after="0" w:line="8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Conversely, should natural gas prices rise to consistently exceed coal prices, NRG’s demand for coal generation may exceed the near-term ability of coal suppliers or rail transporters to meet it, causing the Company to lose generation sales opportunities and/or realize higher retail energy supply costs.</w:t>
      </w:r>
    </w:p>
    <w:p>
      <w:pPr>
        <w:spacing w:after="0" w:line="6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Such factors and the associated fluctuations in power prices have affected the Company's wholesale and retail profitability in the past and are expected to continue to do so in the future.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Volatile power and gas supply costs and demand for power and gas could adversely affect the financial performance of NRG's retail operations.</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Company's earnings and cash flows could be adversely affected in any period in which the wholesale power or gas prices rise at a greater rate than the rates the Company can charge to customers. The price of wholesale electricity and gas supply purchases associated with the retail operations' energy commitments can be different than that reflected in the rates charged to customers due to, among other factors:</w:t>
      </w:r>
    </w:p>
    <w:p>
      <w:pPr>
        <w:spacing w:after="0" w:line="75" w:lineRule="exact"/>
        <w:rPr>
          <w:sz w:val="20"/>
          <w:szCs w:val="20"/>
          <w:color w:val="auto"/>
        </w:rPr>
      </w:pPr>
    </w:p>
    <w:p>
      <w:pPr>
        <w:ind w:left="480" w:hanging="317"/>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supply procurement contracts used and the timing of entering into related contracts;</w:t>
      </w:r>
    </w:p>
    <w:p>
      <w:pPr>
        <w:spacing w:after="0" w:line="21"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changes in the overall price of natural gas;</w:t>
      </w:r>
    </w:p>
    <w:p>
      <w:pPr>
        <w:spacing w:after="0" w:line="3"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monthly or seasonal fluctuations in the price of natural gas relative to the 12-month forward prices;</w:t>
      </w:r>
    </w:p>
    <w:p>
      <w:pPr>
        <w:spacing w:after="0" w:line="3"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transmission and transportation constraints and the Company's ability to move power or gas to its customers; and</w:t>
      </w:r>
    </w:p>
    <w:p>
      <w:pPr>
        <w:spacing w:after="0" w:line="3"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heat rate (i.e., the relationship between power and natural gas prices).</w:t>
      </w:r>
    </w:p>
    <w:p>
      <w:pPr>
        <w:spacing w:after="0" w:line="3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Company's earnings and cash flows could also be adversely affected in any period in which its customers' actual usage of electricity or gas significantly varies from the forecasted usage, which could occur due to, among other factors, weather events, changes in usage patterns, competition and economic conditions.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expectations regarding load growth may not materialize.</w:t>
      </w:r>
    </w:p>
    <w:p>
      <w:pPr>
        <w:spacing w:after="0" w:line="1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electricity industry is expected to experience a surge in demand driven primarily by new manufacturing, industrial and data center facilities (including to support the expected increase in demand for AI and generative AI (“GenAI”)). The U.S. Energy Information Administration's 2023 Annual Energy Outlook, combined with external forecasts, shows the potential for 500 TWh of incremental load across the U.S. through 2030, as compared to 2023. ERCOT's current long term load forecast shows peak demand increasing from 86 GW in 2024 to 139 GW in 2030.</w:t>
      </w:r>
    </w:p>
    <w:p>
      <w:pPr>
        <w:spacing w:after="0" w:line="78"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However, there is no assurance that these forecasts will be accurate or that the anticipated load growth will occur as projected. Factors such as evolving technology, improvements in energy efficiency, changes in economic conditions, shifts in government policy or regulation, and project delays or cancellations by the Company’s commercial and industrial consumers (including data center facilities) could reduce or slow demand for electricity relative to current expectations. The Company’s capital expenditures and other investments are influenced by projected demand; if the anticipated load growth fails to materialize, the Company could incur additional expenses to terminate or redeploy any underutilized assets or infrastructure, or it may be unable to fully recover its capital expenditures or realize the expected returns on its investments.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24" w:name="page25"/>
    <w:bookmarkEnd w:id="24"/>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Operation of power generation facilities involves significant risks and hazards customary to the power industry that could have a material adverse effect on NRG's revenues and results of operations, and NRG may not have adequate insurance to cover these risks and hazards.</w:t>
      </w:r>
    </w:p>
    <w:p>
      <w:pPr>
        <w:spacing w:after="0" w:line="59" w:lineRule="exact"/>
        <w:rPr>
          <w:sz w:val="20"/>
          <w:szCs w:val="20"/>
          <w:color w:val="auto"/>
        </w:rPr>
      </w:pPr>
    </w:p>
    <w:p>
      <w:pPr>
        <w:jc w:val="both"/>
        <w:ind w:firstLine="395"/>
        <w:spacing w:after="0" w:line="282" w:lineRule="auto"/>
        <w:rPr>
          <w:sz w:val="20"/>
          <w:szCs w:val="20"/>
          <w:color w:val="auto"/>
        </w:rPr>
      </w:pPr>
      <w:r>
        <w:rPr>
          <w:rFonts w:ascii="Times New Roman" w:cs="Times New Roman" w:eastAsia="Times New Roman" w:hAnsi="Times New Roman"/>
          <w:sz w:val="16"/>
          <w:szCs w:val="16"/>
          <w:color w:val="auto"/>
        </w:rPr>
        <w:t>The ongoing operation of NRG's facilities involves risks that include the breakdown or failure of equipment or processes, performance below expected levels of output or efficiency and the inability to transport the Company's products to its customers in an efficient manner due to a lack of transmission capacity. Unplanned outages of generating units, including extensions of scheduled outages due to mechanical failures or other problems occur from time to time and are an inherent risk of the Company's business. Unplanned outages typically increase the Company's operation and maintenance expenses and may reduce the Company's revenues as a result of selling fewer MWh or incurring non-performance penalties and/or require NRG to incur significant costs as a result of obtaining replacement power from third parties in the open market or running one of its higher cost units to satisfy the Company's forward power sales obligations. NRG's inability to operate the Company's plants efficiently, manage capital expenditures and costs, and generate earnings and cash flow from the Company's asset-based businesses could have a material adverse effect on the Company's results of operations, financial condition or cash flows.</w:t>
      </w:r>
    </w:p>
    <w:p>
      <w:pPr>
        <w:spacing w:after="0" w:line="6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addition, NRG provides plant operations and commercial services to a variety of third parties. There is a risk that mistakes, mis-operations or actions taken by these third parties could be attributed to NRG, including the risk of investigation or penalties being assessed to NRG in connection with the services it offers, or that regulators could question whether NRG had the appropriate safeguards in place.</w:t>
      </w:r>
    </w:p>
    <w:p>
      <w:pPr>
        <w:spacing w:after="0" w:line="75"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Power generation involves hazardous activities, including acquiring, transporting and unloading fuel, operating large pieces of rotating equipment and delivering electricity to transmission and distribution systems. In addition to natural risks such as earthquake, flood, lightning, wildfires, hurricane and wind, other hazards, such as fire, explosion, structural collapse and machinery failure are inherent risks in the Company's operations. These and other hazards can cause significant personal injury or loss of life, severe damage to and destruction of property, plant and equipment, contamination of, or damage to, the environment and suspension of operations. The occurrence of any one of these events may result in NRG being named as a defendant in lawsuits asserting claims for substantial damages, including for environmental cleanup costs, personal injury and property damage and fines and/or penalties.</w:t>
      </w:r>
    </w:p>
    <w:p>
      <w:pPr>
        <w:spacing w:after="0" w:line="5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NRG maintains an amount of insurance protection that it considers adequate, obtains warranties from vendors and obligates contractors to meet certain performance levels, but the Company cannot provide any assurance that these measures will be sufficient or effective under all circumstances and against all hazards or liabilities to which it may be subject. A successful claim for which the Company is not adequately insured or protected could hurt its financial results and materially harm NRG's financial condition. NRG cannot provide any assurance that its insurance coverage will continue to be available at all or at rates or on terms similar to those presently available. Any losses not covered by insurance could have a material adverse effect on the Company's financial condition, results of operations or cash flows.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NRG's costs, results of operations, financial condition and cash flows could be adversely impacted by disruption of its fuel supplies.</w:t>
      </w:r>
    </w:p>
    <w:p>
      <w:pPr>
        <w:spacing w:after="0" w:line="11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NRG relies on natural gas, coal and oil to fuel a majority of its power generation facilities. Grid operations depend on the continuing financial viability of contractual counterparties, as well as the infrastructure (including rail lines, rail cars, barge facilities, roadways, riverways and natural gas pipelines) available to serve generation facilities and to ensure that there is sufficient power produced to meet retail demand. As a result, the Company’s wholesale generation facilities are subject to the risks of disruptions or curtailments in the production of power at its generation facilities if no fuel is available at any price, if a counterparty fails to perform or if there is a disruption in the fuel delivery infrastructure.</w:t>
      </w:r>
    </w:p>
    <w:p>
      <w:pPr>
        <w:spacing w:after="0" w:line="80"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NRG routinely hedges both its wholesale sales and purchases to support its retail load obligations. In order to hedge these obligations, the Company may enter into long-term and short-term contracts for the purchase and delivery of fuel. Many of the forward power sales contracts do not allow the Company to pass through changes in fuel costs or discharge the power sale obligations in the case of a disruption in fuel supply due to force majeure events or the default of a fuel supplier or transporter. Disruptions in the Company's fuel supplies or power supply arrangements may therefore require it to supply replacement power either by running its other, higher cost power plants or by obtaining power from third-party sources at market prices that could substantially exceed the contract price, or to pay damages to counterparties for failure to deliver power or sell electricity or natural gas as contracted. Any such event could have a material adverse effect on the Company's financial performance.</w:t>
      </w:r>
    </w:p>
    <w:p>
      <w:pPr>
        <w:spacing w:after="0" w:line="8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NRG also buys energy and fuel on a short-term or spot market basis. Prices sometimes rise or fall significantly over a relatively short period of time. The price NRG can obtain for the sale of energy may not rise at the same rate, or may not rise at all, to match a rise in fuel or delivery costs. Retail rates may also not rise at the same rate or may not rise at all. This may have a material adverse effect on the Company's financial performance.</w:t>
      </w:r>
    </w:p>
    <w:p>
      <w:pPr>
        <w:spacing w:after="0" w:line="7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NRG's plant operating characteristics and equipment, particularly at its coal-fired plants, often dictate the specific fuel quality to be combusted. The availability and price of specific fuel qualities may vary due to supplier financial or operational</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5" w:name="page26"/>
    <w:bookmarkEnd w:id="25"/>
    <w:p>
      <w:pPr>
        <w:jc w:val="both"/>
        <w:spacing w:after="0" w:line="250" w:lineRule="auto"/>
        <w:rPr>
          <w:sz w:val="20"/>
          <w:szCs w:val="20"/>
          <w:color w:val="auto"/>
        </w:rPr>
      </w:pPr>
      <w:r>
        <w:rPr>
          <w:rFonts w:ascii="Times New Roman" w:cs="Times New Roman" w:eastAsia="Times New Roman" w:hAnsi="Times New Roman"/>
          <w:sz w:val="18"/>
          <w:szCs w:val="18"/>
          <w:color w:val="auto"/>
        </w:rPr>
        <w:t>disruptions, transportation disruptions and force majeure. At times, coal of specific quality may not be available at any price or the Company may not be able to transport such coal to its facilities on a timely basis. In this case, the Company may not be able to run the coal facility even if it would be profitable. Operating a coal facility with different quality coal can lead to emission or operating problems. If the Company had sold forward the power from such a coal facility, it could be required to supply or purchase power from alternate sources, perhaps at a loss. This could have a material adverse impact on the financial results of specific plants and on the Company's results of operations.</w:t>
      </w:r>
    </w:p>
    <w:p>
      <w:pPr>
        <w:spacing w:after="0" w:line="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Inflation and customer affordability concerns may limit the Company’s ability to recover costs, constrain its pricing and reduce market demand for its products and services.</w:t>
      </w:r>
    </w:p>
    <w:p>
      <w:pPr>
        <w:spacing w:after="0" w:line="59"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Company’s electricity, natural gas, and smart home businesses are exposed to the risk that sustained inflation, commodity price volatility and other macroeconomic pressures will increase its costs and adversely affect the affordability of its products and services. The cost of fuel, natural gas, purchased power, labor, construction materials, equipment and financing have risen in recent years and may continue to rise. Such cost increases may continue to put upward pressure on the overall affordability of the Company’s products and services for its residential, commercial and industrial customers, which may impair the Company’s customers’ ability to pay their bills and/or subscriptions, cause some customers to reduce usage, and increase disconnections and bad debt expenses, all of which could negatively impact the Company.</w:t>
      </w:r>
    </w:p>
    <w:p>
      <w:pPr>
        <w:spacing w:after="0" w:line="8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In the markets in which the Company operates, the Company’s retail electric providers charge end-use customers a price for electricity that includes pass through charges assessed by the local utility. Capital intensive transmission and distribution projects by utility companies recently approved by certain state utility commissions have resulted in increases to such pass-through charges and raised public concerns about overall consumer affordability. If these concerns persist, the Company could be subject to heightened political and regulatory scrutiny, increased participation by consumer advocates and other stakeholders in regulatory proceedings, and create reputational risks associated with a perceived lack of affordability. Therefore, the Company’s financial performance could be negatively affected if it is unable to recover increased costs or if cost recovery is limited by regulation or market conditions.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NRG relies on storage, transportation assets and suppliers, which it does not own or control, to deliver natural gas.</w:t>
      </w:r>
    </w:p>
    <w:p>
      <w:pPr>
        <w:spacing w:after="0" w:line="113" w:lineRule="exact"/>
        <w:rPr>
          <w:sz w:val="20"/>
          <w:szCs w:val="20"/>
          <w:color w:val="auto"/>
        </w:rPr>
      </w:pPr>
    </w:p>
    <w:p>
      <w:pPr>
        <w:jc w:val="both"/>
        <w:ind w:firstLine="395"/>
        <w:spacing w:after="0" w:line="280" w:lineRule="auto"/>
        <w:rPr>
          <w:sz w:val="20"/>
          <w:szCs w:val="20"/>
          <w:color w:val="auto"/>
        </w:rPr>
      </w:pPr>
      <w:r>
        <w:rPr>
          <w:rFonts w:ascii="Times New Roman" w:cs="Times New Roman" w:eastAsia="Times New Roman" w:hAnsi="Times New Roman"/>
          <w:sz w:val="16"/>
          <w:szCs w:val="16"/>
          <w:color w:val="auto"/>
        </w:rPr>
        <w:t>The Company depends on natural gas pipelines and other transportation and storage facilities owned and operated by third parties to deliver natural gas to wholesale and retail markets and to provide retail energy services to customers. The Company's ability to provide natural gas for its present and projected customers will depend upon its suppliers' ability to obtain and deliver supplies of natural gas, as well as NRG's ability to acquire supplies. Factors beyond the control of the Company and its suppliers may affect the Company's ability to deliver such supplies. These factors include other parties' control over the drilling of new wells and the facilities to transport natural gas to the Company's receipt points, development of additional interstate pipeline infrastructure, availability of supply sources competition for the acquisition of natural gas, priority allocations, impact of severe weather disruptions to natural gas supplies and the regulatory and pricing policies of federal and state regulatory agencies, as well as the availability of Canadian reserves for export to the U.S. Energy deregulation legislation may increase competition among natural gas utilities and impact the quantities of natural gas requirements needed for sales service. If supply, transportation or storage is disrupted, including for reasons of force majeure, the ability of the Company to sell and deliver its products and services may be hindered. As a result, the Company may be responsible for damages incurred by its customers, such as the additional cost of acquiring alternative supply at then-current market rates. These conditions could have a material impact on the Company's financial condition, results of operations and cash flows.</w:t>
      </w:r>
    </w:p>
    <w:p>
      <w:pPr>
        <w:spacing w:after="0" w:line="27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NRG relies on power transmission and distribution facilities that it does not own or control and that are subject to transmission constraints within a number of the Company's core regions.</w:t>
      </w:r>
    </w:p>
    <w:p>
      <w:pPr>
        <w:spacing w:after="0" w:line="5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NRG depends on transmission and distribution facilities owned and operated by others to deliver power to its customers. If transmission or distribution is disrupted, including by force majeure events, or if the transmission or distribution infrastructure is inadequate, NRG's ability to deliver power may be adversely impacted. The Company also cannot predict whether transmission or distribution facilities will be expanded in specific markets to accommodate competitive access to those markets.</w:t>
      </w:r>
    </w:p>
    <w:p>
      <w:pPr>
        <w:spacing w:after="0" w:line="7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addition, in certain of the markets in which NRG operates, energy transmission congestion may occur and the Company may be deemed responsible for congestion costs associated with power sales or purchases, or retail sales, particularly where the Company’s load is not co-located with its retail sales obligations. If NRG were liable for such congestion costs, the Company's financial results could be adversely affected.</w:t>
      </w:r>
    </w:p>
    <w:p>
      <w:pPr>
        <w:spacing w:after="0" w:line="7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Maintenance, expansion and refurbishment of power generation facilities involve significant risks that could result in unplanned power outages or reduced output and could have a material adverse effect on NRG's results of operations, cash flows and financial condition.</w:t>
      </w:r>
    </w:p>
    <w:p>
      <w:pPr>
        <w:spacing w:after="0" w:line="5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NRG's facilities require periodic maintenance and repair. Any unexpected failure, including failure associated with breakdowns, forced outages, or any unanticipated capital expenditures could result in reduced profitability. NRG cannot be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6" w:name="page27"/>
    <w:bookmarkEnd w:id="26"/>
    <w:p>
      <w:pPr>
        <w:jc w:val="both"/>
        <w:spacing w:after="0" w:line="256" w:lineRule="auto"/>
        <w:rPr>
          <w:sz w:val="20"/>
          <w:szCs w:val="20"/>
          <w:color w:val="auto"/>
        </w:rPr>
      </w:pPr>
      <w:r>
        <w:rPr>
          <w:rFonts w:ascii="Times New Roman" w:cs="Times New Roman" w:eastAsia="Times New Roman" w:hAnsi="Times New Roman"/>
          <w:sz w:val="18"/>
          <w:szCs w:val="18"/>
          <w:color w:val="auto"/>
        </w:rPr>
        <w:t>certain of the level of capital expenditures that will be required due to changing environmental and safety laws (including changes in the interpretation or enforcement thereof), needed facility repairs and unexpected events (such as natural disasters or terrorist attacks). The unexpected requirement of large capital expenditures could have a material adverse effect on the Company's liquidity and financial condition.</w:t>
      </w:r>
    </w:p>
    <w:p>
      <w:pPr>
        <w:spacing w:after="0" w:line="7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 Company may incur additional costs or delays in the development and construction of new generation projects and may not be able to recover its investments or complete the projects.</w:t>
      </w:r>
    </w:p>
    <w:p>
      <w:pPr>
        <w:spacing w:after="0" w:line="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NRG’s development and construction of new generation facilities involve many risks, including:</w:t>
      </w:r>
    </w:p>
    <w:p>
      <w:pPr>
        <w:spacing w:after="0" w:line="135" w:lineRule="exact"/>
        <w:rPr>
          <w:sz w:val="20"/>
          <w:szCs w:val="20"/>
          <w:color w:val="auto"/>
        </w:rPr>
      </w:pPr>
    </w:p>
    <w:p>
      <w:pPr>
        <w:ind w:left="480" w:hanging="317"/>
        <w:spacing w:after="0"/>
        <w:tabs>
          <w:tab w:leader="none" w:pos="480" w:val="left"/>
        </w:tabs>
        <w:numPr>
          <w:ilvl w:val="0"/>
          <w:numId w:val="14"/>
        </w:numPr>
        <w:rPr>
          <w:rFonts w:ascii="Arial" w:cs="Arial" w:eastAsia="Arial" w:hAnsi="Arial"/>
          <w:sz w:val="21"/>
          <w:szCs w:val="21"/>
          <w:color w:val="auto"/>
        </w:rPr>
      </w:pPr>
      <w:r>
        <w:rPr>
          <w:rFonts w:ascii="Times New Roman" w:cs="Times New Roman" w:eastAsia="Times New Roman" w:hAnsi="Times New Roman"/>
          <w:sz w:val="18"/>
          <w:szCs w:val="18"/>
          <w:color w:val="auto"/>
        </w:rPr>
        <w:t>unanticipated cost overruns and schedule delays;</w:t>
      </w:r>
    </w:p>
    <w:p>
      <w:pPr>
        <w:spacing w:after="0" w:line="2" w:lineRule="exact"/>
        <w:rPr>
          <w:rFonts w:ascii="Arial" w:cs="Arial" w:eastAsia="Arial" w:hAnsi="Arial"/>
          <w:sz w:val="21"/>
          <w:szCs w:val="21"/>
          <w:color w:val="auto"/>
        </w:rPr>
      </w:pPr>
    </w:p>
    <w:p>
      <w:pPr>
        <w:ind w:left="480" w:hanging="317"/>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inability in obtaining necessary permits and licenses;</w:t>
      </w:r>
    </w:p>
    <w:p>
      <w:pPr>
        <w:spacing w:after="0" w:line="1"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interruptions;</w:t>
      </w:r>
    </w:p>
    <w:p>
      <w:pPr>
        <w:spacing w:after="0" w:line="3"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and labor disputes;</w:t>
      </w:r>
    </w:p>
    <w:p>
      <w:pPr>
        <w:spacing w:after="0" w:line="3"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interferences;</w:t>
      </w:r>
    </w:p>
    <w:p>
      <w:pPr>
        <w:spacing w:after="0" w:line="3"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engineering, environmental and geological problems; and</w:t>
      </w:r>
    </w:p>
    <w:p>
      <w:pPr>
        <w:spacing w:after="0" w:line="3"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various third parties to perform under contracts.</w:t>
      </w:r>
    </w:p>
    <w:p>
      <w:pPr>
        <w:spacing w:after="0" w:line="91"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Any of these risks could cause NRG's financial returns on such new investments to be lower than expected, or could cause the Company to operate below expected capacity or availability levels, which could result in loss of revenues, increase in expenses, higher maintenance costs and penalties. Furthermore, the risk of significant cost overruns may be exacerbated in the current environment of elevated inflation, supply chain disruption and changing tariff and trade policies, which may cause actual construction costs to be significantly higher than initial estimates, and the Company may be unable to pass these increased costs through to its customers. To protect against certain risks, the Company obtains insurance and warranties for limited periods relating to the construction of each project and its equipment, and obligates its contractors and suppliers to meet certain performance levels. However, such insurance, warranties or performance guarantees may not be adequate to cover increased expenses. As a result, a project may cost more than projected and the Company may be unable to fund principal and interest payments under construction financing obligations, if any. In addition, the Company’s failure to meet project-specific financing requirements under its TEF Loans could result in default or acceleration of debt repayment.</w:t>
      </w:r>
    </w:p>
    <w:p>
      <w:pPr>
        <w:spacing w:after="0" w:line="8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Furthermore, where the Company has partnering relationships with a third party, the Company is subject to the viability and performance of the third party. The Company's inability to find a replacement contracting party where the original contracting party has failed to perform, could result in the abandonment of the development and/or construction of such project, while the Company could remain obligated on other agreements associated with the project.</w:t>
      </w:r>
    </w:p>
    <w:p>
      <w:pPr>
        <w:spacing w:after="0" w:line="7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If the Company is unable to complete the development or construction of a facility, or decides to delay, downsize, or cancel such project, it may not be able to recover its investment in that facility. Furthermore, if construction projects are not completed according to specification, the Company may incur liabilities and suffer reduced plant efficiency, higher operating costs and reduced net income.</w:t>
      </w:r>
    </w:p>
    <w:p>
      <w:pPr>
        <w:spacing w:after="0" w:line="7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NRG's trading operations and use of hedging agreements could result in financial losses that negatively impact its results of operations, and NRG's hedging activities may increase the volatility in the Company's quarterly and annual financial results.</w:t>
      </w:r>
    </w:p>
    <w:p>
      <w:pPr>
        <w:spacing w:after="0" w:line="59"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The Company typically enters into hedging agreements, including contracts to purchase or sell commodities at future dates and at fixed prices, to manage the commodity price risks inherent in its business. The Company’s risk management policies and hedging procedures may not mitigate risk as planned, and the Company may fail to fully or effectively hedge its commodity supply and price risk. In addition, these activities, although intended to mitigate price volatility, expose the Company to other risks. When the Company sells or buys power or gas forward, it gives up the opportunity to buy or sell at the future price, which not only may result in lost opportunity costs but also may require the Company to post significant amounts of cash collateral or other credit support to its counterparties. The Company also relies on counterparty performance under its hedging agreements and is exposed to the credit quality of its counterparties under those agreements. Further, if the values of the financial contracts change in a manner that the Company does not anticipate, or if a counterparty fails to perform under a contract, it could harm the Company's business, operating results or financial position.</w:t>
      </w:r>
    </w:p>
    <w:p>
      <w:pPr>
        <w:spacing w:after="0" w:line="85"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NRG does not typically hedge the entire exposure of its operations against commodity price volatility. To the extent it does not hedge against commodity price volatility, the Company's results of operations and financial position may be improved or diminished based upon movement in commodity prices.</w:t>
      </w:r>
    </w:p>
    <w:p>
      <w:pPr>
        <w:spacing w:after="0" w:line="17"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NRG may engage in trading activities, including the trading of power, natural gas, fuel, emissions allowances, environmental attributes and credits, weather, and other physical and financial commodity related products that are not directly related to the operation of the Company's generation facilities or the management of related risks. These trading activities take place in volatile markets and some of these trades could be characterized as speculative. This trading activity may expose the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Company to the risk of significant financial losses which could have a material adverse effect on its business and financial condition.</w:t>
      </w:r>
    </w:p>
    <w:p>
      <w:pPr>
        <w:spacing w:after="0" w:line="109"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 xml:space="preserve">NRG generally attempts to balance its fixed-price physical and financial purchases and sales commitments in terms of contract volumes and the timing of performance and delivery obligations through the use of financial and physical derivative contracts. These derivatives are accounted for in accordance with the FASB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which requires the Company to record all derivatives on the balance sheet at fair value with changes in the fair value resulting from fluctuations in the underlying commodity prices immediately recognized in earnings, unless the derivative qualifies for cash flow hedge accounting treatment or a scope exception. As a result, the Company's quarterly and annual results are subject to significant fluctuations caused by changes in market prices.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NRG may not have sufficient liquidity to hedge market risks effectively.</w:t>
      </w:r>
    </w:p>
    <w:p>
      <w:pPr>
        <w:spacing w:after="0" w:line="1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is exposed to market risks through its retail and wholesale operations, which involve the purchase of electricity and natural gas for resale, the sale of energy, capacity and related products, and the purchase and sale of fuel, transmission services and emission allowances. These market risks include, among other risks, volatility arising from location and timing differences that may be associated with buying and transporting fuel, converting fuel into energy and delivering energy to a buyer.</w:t>
      </w:r>
    </w:p>
    <w:p>
      <w:pPr>
        <w:spacing w:after="0" w:line="78"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NRG undertakes to hedge these market activities through agreements with various counterparties. Many of the Company's agreements with counterparties include provisions that require the Company to provide guarantees, offset or netting arrangements, letters of credit, a first lien on assets and/or cash collateral to protect the counterparties against the risk of the Company's default or insolvency. The amount of such credit support that must be provided typically is based on the difference between the price of the commodity in a given contract and the market price of the commodity. Significant movements in market prices can result in the Company being required to provide cash collateral and letters of credit in very large amounts. The effectiveness of the Company's strategy may depend on the amount of collateral available to enter into or maintain these contracts, and liquidity requirements may be greater than the Company anticipates or will be able to meet. Without a sufficient amount of working capital to post as collateral in support of performance guarantees or as a cash margin, the Company may not be able to manage price volatility effectively or to implement its strategy. An increase in the amount of letters of credit or cash collateral required to be provided to the Company's counterparties may negatively affect the Company's liquidity and financial condition.</w:t>
      </w:r>
    </w:p>
    <w:p>
      <w:pPr>
        <w:spacing w:after="0" w:line="6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Further, if retail customers use more power or gas than expected, or if any of NRG's facilities experience unplanned outages, the Company may be required to procure additional power or gas at spot market prices to fulfill contractual commitments. Without adequate liquidity to meet margin and collateral requirements, the Company may be exposed to significant losses, may miss significant opportunities, and may have increased exposure to the volatility of spot markets.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periods when NRG will not be able to meet its commitments under forward sale or purchase obligations at a reasonable cost or at all.</w:t>
      </w:r>
    </w:p>
    <w:p>
      <w:pPr>
        <w:spacing w:after="0" w:line="11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The Company may sell fixed price gas as a proxy for power. Because the obligations under most of the Company's forward sale agreements are not contingent on a unit being available to generate power, NRG is generally required to deliver power to the buyer, even in the event of a plant outage, fuel supply disruption or a reduction in the available capacity of the unit. To the extent that the Company does not have sufficient lower-cost capacity to meet its commitments under its forward sale obligations, the Company would be required to supply replacement power either by running its other, higher cost power plants or by obtaining power from third-party sources at market prices that could substantially exceed the contract price. If NRG fails to deliver the contracted power, it would be required to pay the difference between the market price at the delivery point and the contract price, and the amount of such payments could be substantial.</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NRG’s strategy relies, in part, on its ability to bundle its products and services to optimize its network of home energy and smart home customers, and if it is unable to retain existing customers and expand their use of the Company’s products and services, its expected growth and operating results could be adversely affected.</w:t>
      </w:r>
    </w:p>
    <w:p>
      <w:pPr>
        <w:spacing w:after="0" w:line="73"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As part of NRG’s growth strategy, it is important for the Company to bundle home energy and smart home services and products to optimize its customer base. As the Company is pursuing these opportunities to bundle services and products, there can be no assurances that its efforts in this regard will be successful. Additionally, for the Company to be successful in such opportunities, it must retain its existing customers. The length of the terms for which NRG’s home energy customers are contracted can be for multi-year periods, but many customers are contracted for a period of one year or less. Smart home customers historically have entered into subscriptions that range from three to five years. These customers are not obligated to, and may not, renew their contracts or subscriptions after the expiration of their original commitments. If customers terminate or do not renew their contracts or do not expand their use of NRG’s products and services, the Company’s growth strategy may not be successful and its expected results of operations may be adversely affected.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8" w:name="page29"/>
    <w:bookmarkEnd w:id="28"/>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 Company’s consumer product and home services offerings expose it to installation-related damage claims, product liability, insurance limitations, and reputational risk.</w:t>
      </w:r>
    </w:p>
    <w:p>
      <w:pPr>
        <w:spacing w:after="0" w:line="59"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The Company may be liable to customers for any damage caused to customers’ homes, facilities, belongings or property during the installation of Company products and systems, such as smart home systems. Where such work is performed by the Company’s employees and independent contractors, such as repairs performed under the Company's home protection plan products, the Company may nonetheless face claims and costs for damage. In addition, shortages of skilled labor for Company projects could significantly delay a project or otherwise increase its costs. The products that the Company sells or manufactures may expose the Company to product liability claims relating to personal injury, death, or environmental or property damage, and may require product recalls or other actions. Although the Company maintains liability insurance and its service contracts limit Company liability, the Company cannot be certain that its coverage will be adequate for liabilities actually incurred or that insurance will continue to be available to the Company on economically reasonable terms, or at all, or that contractual limitations will be enforced. The laws of some states limit or prohibit insurance coverage for certain liabilities and actions, and any significant uninsured damages could have a material adverse effect on the Company’s business, financial condition and cash flows. Further, any product liability claims or damage caused by the Company could significantly impair the Company’s brand and reputation, which may result in a failure to maintain customers and achieve the Company’s desired growth initiatives in these new businesses.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technology may impair the value of, and the attractiveness of, NRG’s retail products, smart home products or services, and generation facilities.</w:t>
      </w:r>
    </w:p>
    <w:p>
      <w:pPr>
        <w:spacing w:after="0" w:line="136"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Research and development activities are ongoing in the industry to provide alternative and more efficient technologies to produce power, including wind, photovoltaic (solar) cells, hydrogen, energy storage, and improvements in traditional technologies and equipment, such as more efficient gas turbines. Advances in these or other technologies, including through AI, could reduce the costs of power production to a level below what the Company has currently forecasted, which could adversely affect its cash flows, results of operations or competitive position. Technology, including distributed technology or changes in retail rate structures, may also have a material impact on the Company’s ability to retain retail customers. Further, technological innovation and changes could cause the Company’s smart home products and services to become obsolete, or otherwise more expensive and less effective than those of competitors, putting the Company at a competitive disadvantage.</w:t>
      </w:r>
    </w:p>
    <w:p>
      <w:pPr>
        <w:spacing w:after="0" w:line="82"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Some emerging technologies, such as distributed renewable energy technologies, broad consumer adoption of electric vehicles and energy storage devices, could affect the price of energy. These emerging technologies may affect the financial viability of utility counterparties and could have significant impacts on wholesale market prices, which could ultimately have a material adverse effect on NRG's financial condition, results of operations and cash flows.</w:t>
      </w:r>
    </w:p>
    <w:p>
      <w:pPr>
        <w:spacing w:after="0" w:line="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The Company’s smart home services rely on innovation and any failure to adequately protect the Company’s intellectual property underlying such innovation, or claims that the Company has infringed the intellectual property rights of others, could have an adverse effect on its business and operations and result in a competitive disadvantage.</w:t>
      </w:r>
    </w:p>
    <w:p>
      <w:pPr>
        <w:spacing w:after="0" w:line="73"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The Company relies on a combination of patent, trademark, copyright and trade secret right under the laws of the United States and other countries and a combination of confidentiality procedures, contractual provisions and other methods, to protect its intellectual property, all of which offer only limited protection. If the Company fails to acquire the necessary intellectual property rights or adequately protect or assert its intellectual property rights, competitors may manufacture and market similar products and services or convert customers, which could adversely affect market share and results of operations for smart home services. In addition, patent rights may not prevent competitors from developing, using or selling products or services that are similar to or address the same market as the Company’s smart home products and services. Certain of the Company’s smart home solutions contain software modules licensed under “open-source” licenses, which may entail greater risks than the use of commercial software, as open-source licensors generally do not provide warranties or other contractual protections regarding infringement claims or the quality of the code. Further, if proprietary software is combined with open-source software, in certain cases the Company could be required to release the source code of the proprietary software to the public, allowing competitors to create similar products with lower development effort and time.</w:t>
      </w:r>
    </w:p>
    <w:p>
      <w:pPr>
        <w:spacing w:after="0" w:line="8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It is possible that certain of the Company’s smart home products and services or those of third parties incorporated into its offerings could infringe the intellectual property rights of others. From time to time, Vivint Smart Home has been subject to claims based on allegations of infringement, misappropriation or other violations of the intellectual property rights of others. If the Company is unable to successfully defend against such claims or license necessary third-party technology or intellectual property on acceptable terms, it may be required to develop alternative, non-infringing technology, which could require significant time, effort, and expense and may ultimately not be successful.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9" w:name="page30"/>
    <w:bookmarkEnd w:id="29"/>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The operation of the Company's businesses is subject to advanced persistent cyber-based security threats and integrity risk. Attacks on NRG's infrastructure that breach cyber/data security measures could expose the Company to significant liabilities, reputational damage, regulatory action, and disrupt business operations, which could have a material adverse effect.</w:t>
      </w:r>
    </w:p>
    <w:p>
      <w:pPr>
        <w:spacing w:after="0" w:line="73" w:lineRule="exact"/>
        <w:rPr>
          <w:sz w:val="20"/>
          <w:szCs w:val="20"/>
          <w:color w:val="auto"/>
        </w:rPr>
      </w:pPr>
    </w:p>
    <w:p>
      <w:pPr>
        <w:jc w:val="both"/>
        <w:ind w:firstLine="391"/>
        <w:spacing w:after="0" w:line="246" w:lineRule="auto"/>
        <w:rPr>
          <w:sz w:val="20"/>
          <w:szCs w:val="20"/>
          <w:color w:val="auto"/>
        </w:rPr>
      </w:pPr>
      <w:r>
        <w:rPr>
          <w:rFonts w:ascii="Times New Roman" w:cs="Times New Roman" w:eastAsia="Times New Roman" w:hAnsi="Times New Roman"/>
          <w:sz w:val="18"/>
          <w:szCs w:val="18"/>
          <w:color w:val="auto"/>
        </w:rPr>
        <w:t>Numerous functions affecting the efficient operation of NRG’s businesses depend on the secure and reliable storage, processing and communication of electronic data and the use of sophisticated computer hardware and software systems, much of which is connected (directly or indirectly) to the internet. As a result, NRG's information technology systems and infrastructure, and those of its vendors and suppliers, are vulnerable to cyber-based security threats which could compromise confidentiality, integrity or availability. While the Company has controls in place designed to protect its infrastructure, such breaches and threats are becoming increasingly sophisticated and complex, requiring continuing evolution and constant improvements in security programs and technology. Furthermore, NRG’s operations can be additionally impaired by disruptions or security failures of third-party vendors and suppliers over which NRG lacks direct control or oversight. Any breach, disruption or similar event that impairs NRG's information technology infrastructure could disrupt normal business operations and affect the Company's ability to control its generation assets, provide smart home services, maintain confidentiality, availability and integrity of restricted data, access retail customer information and limit communication with customers and third parties, which could have a material adverse effect on the Company.</w:t>
      </w:r>
    </w:p>
    <w:p>
      <w:pPr>
        <w:spacing w:after="0" w:line="8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As part of the continuing development of new and modified reliability standards, the FERC has approved changes to its Critical Infrastructure Protection reliability standards and has established standards for assets identified as "critical cyber assets." Under the Energy Policy Act of 2005, the FERC can impose penalties, up to $1 million per day, per violation, for failure to comply with mandatory electric reliability standards, including standards to protect the power system against potential disruptions from cyber/data and physical security breaches.</w:t>
      </w:r>
    </w:p>
    <w:p>
      <w:pPr>
        <w:spacing w:after="0" w:line="78"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Further, the Company's retail and Home businesses, as well as Vivint Smart Home's smart home platform, require accessing, collecting, storing and transmitting sensitive customer data in the ordinary course of business. Changes in data privacy and data protection laws and regulations, or any failure to comply with such laws and regulations, could adversely affect the Company’s business and financial results. NRG's retail, Home and smart home businesses access and store sensitive customer data. Additionally, NRG relies on vendors and service providers, such as call centers, that may require access to sensitive data, which increase the risk of data breaches through third-party action or errors that the Company may be unable to foresee, prevent, or mitigate. The services, networks and information systems utilized by the Company may be at risk for breaches as a result of third-party actions, employee or vendor error, malfeasance or other factors.</w:t>
      </w:r>
    </w:p>
    <w:p>
      <w:pPr>
        <w:spacing w:after="0" w:line="82" w:lineRule="exact"/>
        <w:rPr>
          <w:sz w:val="20"/>
          <w:szCs w:val="20"/>
          <w:color w:val="auto"/>
        </w:rPr>
      </w:pPr>
    </w:p>
    <w:p>
      <w:pPr>
        <w:jc w:val="both"/>
        <w:ind w:firstLine="395"/>
        <w:spacing w:after="0" w:line="245" w:lineRule="auto"/>
        <w:rPr>
          <w:sz w:val="20"/>
          <w:szCs w:val="20"/>
          <w:color w:val="auto"/>
        </w:rPr>
      </w:pPr>
      <w:r>
        <w:rPr>
          <w:rFonts w:ascii="Times New Roman" w:cs="Times New Roman" w:eastAsia="Times New Roman" w:hAnsi="Times New Roman"/>
          <w:sz w:val="18"/>
          <w:szCs w:val="18"/>
          <w:color w:val="auto"/>
        </w:rPr>
        <w:t>Although the Company takes precautions and has adopted procedures to protect its infrastructure, the effectiveness of such measures may be limited by insufficient employee awareness or their noncompliance with established protocols. Furthermore, despite such precautions, the Company has been, and will likely continue to be, subject to attempts at phishing, social engineering, identity-based attacks, and other cybersecurity intrusions. International conflict increases the risk of state-sponsored or ideologically motivated cyber threats and escalated use of cybercriminal and cyber-espionage activities. In particular, the current geopolitical climate has further escalated cybersecurity risk, with various government agencies, including the U.S. Cybersecurity &amp; Infrastructure Security Agency, issuing warnings of increased cyber threats, particularly for U.S. critical infrastructure companies such as the Company. Additionally, the rapid advancement and integration of AI and machine learning technologies present new and evolving risks. These technologies can be exploited by malicious actors to enhance the sophistication and scale of cyberattacks, making it more challenging to detect and mitigate such threats. While the Company has not experienced a cyber/data breach or event causing any material operational, reputational or financial harm, it recognizes the growing threat within the general marketplace and the industry in which it operates, and there is no assurance that NRG will be able to prevent any such harm in the future. If a material breach of the Company's information technology systems were to occur, the critical operational capabilities and reputation of its business may be adversely affected, customer confidence may be diminished, and NRG may be subject to substantial legal or regulatory scrutiny and claims, any of which may contribute to potential legal or regulatory actions against the Company, loss of customers, fines, penalties or other sanctions and otherwise have a material adverse effect. Any loss or disruption of critical operational capabilities to support the Company's generation, commercial or retail operations, loss of customers, or loss of confidential or proprietary data through a breach, unauthorized access, disruption, misuse or disclosure could adversely affect NRG's reputation, expose the Company to material legal or regulatory claims and impair the Company's ability to execute its business strategy, which could have a material adverse effect. In addition, NRG may experience increased capital and operating costs to implement enhanced security for its information technology infrastructure. NRG cannot provide any assurance that such events and impacts will not be material in the future, and the Company's efforts to deter, identify and mitigate future breaches may require additional significant capital and may not be successful. As a result, the Company could incur substantial losses in connection with a cybersecurity incident.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30" w:name="page31"/>
    <w:bookmarkEnd w:id="30"/>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 Company’s use of, or failure to effectively adopt, AI systems in its operations, services and products poses operational, competitive, cybersecurity, legal and compliance risks that could adversely affect the Company.</w:t>
      </w:r>
    </w:p>
    <w:p>
      <w:pPr>
        <w:spacing w:after="0" w:line="5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Company has used and expects to expand the use of AI technologies, including GenAI, in its operations. services and products. Because GenAI is an emerging technology, deficient AI development, governance, or deployment practices by NRG or third-party vendors and service providers could result in unintended consequences, and the intended benefits may fail to materialize. Due to its non-deterministic nature, GenAI technologies can create inaccurate, offensive, incomplete, or misleading outputs; reflect or exacerbate biases and discriminatory outcomes; or operate outside intended parameters due to model drift, deficient training data, and incorrect prompting.</w:t>
      </w:r>
    </w:p>
    <w:p>
      <w:pPr>
        <w:spacing w:after="0" w:line="80"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The Company’s usage of third-party AI models, platforms, or cloud services introduces additional risks, including performance failures, service outages, and insufficient indemnities. The Company may also face claims that training data or model outputs infringe intellectual property rights or misappropriate trade secrets, and AI use may increase the risk of inadvertent disclosure or improper processing of confidential, personal, or commercially sensitive information.</w:t>
      </w:r>
    </w:p>
    <w:p>
      <w:pPr>
        <w:spacing w:after="0" w:line="4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Conversely, any failure by the Company to effectively and timely develop and implement AI technologies, or to attract and retain AI talent, could impair the Company’s ability to compete, particularly if competitors incorporate AI more quickly or more successfully to lower costs, improve customer experience, and accelerate innovation.</w:t>
      </w:r>
    </w:p>
    <w:p>
      <w:pPr>
        <w:spacing w:after="0" w:line="75"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The regulatory landscape surrounding AI, including GenAI, is evolving, and the use of such technologies may become subject to regulation under new laws or new applications of existing laws. If the Company’s use of the recommendations, content, or analyses that AI applications produce is, or is alleged to be, deficient or inaccurate, or involve breaches of licenses, tort claims, violations of privacy, consumer protection, or other laws, NRG could be subjected to legal liability, brand or reputational harm and operational interruptions that ultimately have a material adverse effect on NRG’s results of operations. Compliance with applicable AI laws and regulations may also require the Company to incur significant costs to modify and maintain its business practices.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may have a material adverse effect on NRG's results of operations, cash flows and the market value of its assets.</w:t>
      </w:r>
    </w:p>
    <w:p>
      <w:pPr>
        <w:spacing w:after="0" w:line="11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Company's retail operations face competition for customers. Competitors may offer different products, lower prices, and other incentives which may attract customers away from the Company. In some retail electricity markets, the principal competitor may be the incumbent utility. The incumbent utility often has the advantage of long-standing relationships with its customers and strong brand recognition. Furthermore, NRG may face competition from other energy service providers, other energy industry participants, or nationally branded providers of consumer products and services — including providers that may be better equipped to satisfy the large and rapid load growth expected of manufacturing, industrial, and data center customers — who have, and may in the future, develop businesses and offerings that compete with NRG.</w:t>
      </w:r>
    </w:p>
    <w:p>
      <w:pPr>
        <w:spacing w:after="0" w:line="8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Company's smart home services market faces competition from residential security companies as well as other companies that are able to bundle their existing offerings, such as cable, telecommunications and internet service, with automation and monitored security services, and from do-it-yourself smart home systems, which customers are able to install without subscription services.</w:t>
      </w:r>
    </w:p>
    <w:p>
      <w:pPr>
        <w:spacing w:after="0" w:line="7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Company’s plant operations face competition from newer or more efficient plants owned by competitors, which may put some of the Company's plants at a disadvantage to the extent these competitors are able to consume the same or less fuel as the Company's plant. Over time, the Company's plants may be unable to compete with these more efficient plants, which could result in asset retirements.</w:t>
      </w:r>
    </w:p>
    <w:p>
      <w:pPr>
        <w:spacing w:after="0" w:line="7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NRG’s competitors may have greater liquidity, greater access to credit and other financial resources, lower cost structures, more effective risk management policies and procedures, greater ability to incur losses, longer-standing relationships with customers, greater brand awareness, greater potential for profitability from retail sales or greater flexibility in the timing of their sale of generation capacity and ancillary services than NRG does. Competitors may also have better access to subsidies or other out-of-market payments that put NRG at a competitive disadvantage.</w:t>
      </w:r>
    </w:p>
    <w:p>
      <w:pPr>
        <w:spacing w:after="0" w:line="7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NRG's competitors may be able to respond more quickly to new laws or regulations or emerging technologies, or devote greater resources to marketing of retail energy and home services than NRG can. In addition, current and potential competitors may make strategic acquisitions or establish cooperative relationships among themselves or with third parties. Accordingly, it is possible that new competitors or alliances among current and new competitors may emerge and rapidly gain significant market share.</w:t>
      </w:r>
    </w:p>
    <w:p>
      <w:pPr>
        <w:spacing w:after="0" w:line="7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There can be no assurance that NRG will be able to compete successfully against current and future competitors, and any failure to do so would have a material adverse effect on the Company's business, financial condition, results of operations and cash flow.</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31" w:name="page32"/>
    <w:bookmarkEnd w:id="31"/>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Supplier and/or customer concentration, the inability of suppliers to meet their obligations and dependence on third-party service providers may expose the Company to significant financial credit or performance risks and adversely affect NRG's results of operations, cash flows and financial condition.</w:t>
      </w:r>
    </w:p>
    <w:p>
      <w:pPr>
        <w:spacing w:after="0" w:line="5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NRG often relies on a single contracted supplier or a small number of suppliers for the provision and transportation of fuel, chemicals and other services required for the operation of certain of its facilities. If these suppliers cannot perform these services, the Company utilizes the marketplace. There can be no assurance that the marketplace can provide these services as, when and where required or at comparable prices. The Company also relies on a number of sole or limited source suppliers for critical components for its smart home products and services, and those services are dependent on third-party cellular, telecommunications and/or internet providers.</w:t>
      </w:r>
    </w:p>
    <w:p>
      <w:pPr>
        <w:spacing w:after="0" w:line="8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failure of any supplier or customer to fulfill its contractual obligations to NRG, the inability of NRG to source products and services on acceptable terms, if at all, and the failure of third parties to provide services to its customers that are necessary for the Company’s smart home services could have a material adverse effect on the Company's financial results. As a result, the financial performance of the Company's facilities is dependent on the credit quality of, and continued performance by, suppliers and customers, which cannot be guaranteed.</w:t>
      </w:r>
    </w:p>
    <w:p>
      <w:pPr>
        <w:spacing w:after="0" w:line="7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Negative publicity may damage NRG's reputation or its brands and negatively impact its business, financial condition, results of operations and ability to attract and retain highly qualified employees.</w:t>
      </w:r>
    </w:p>
    <w:p>
      <w:pPr>
        <w:spacing w:after="0" w:line="59"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NRG’s reputation and brands could be damaged for numerous reasons, including negative views of the Company’s environmental impact, sustainability goals, supply chain practices, product and service offerings, sponsorship relationships, charitable giving programs and public statements made by Company officials. Additionally, the Company is from time to time named in investigations, claims and lawsuits arising in the ordinary course of business, and customers have in the past communicated complaints to consumer protection organizations, regulators or the media. Negative claims or publicity regarding the Company or its operations, offerings, practices or customer service may damage its brands or reputation, even if such claims are untrue. The Company may also experience criticism or backlash from media, customers, employees, government entities, advocacy groups and other stakeholders that disagree with positions taken by the Company or its executives. Negative publicity may result in changes in consumer preferences, increased costs in countering the narrative, or undue scrutiny. As a result, if the Company’s brands or reputation are damaged, it could negatively impact the Company’s business, financial condition, results of operations, and ability to attract and retain highly qualified employees.</w:t>
      </w:r>
    </w:p>
    <w:p>
      <w:pPr>
        <w:spacing w:after="0" w:line="7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NRG's business, financial condition and results of operations could be adversely impacted by strikes or work stoppages by its unionized employees or inability to replace employees as they retire.</w:t>
      </w:r>
    </w:p>
    <w:p>
      <w:pPr>
        <w:spacing w:after="0" w:line="59"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As of December 31, 2025, approximately 4% of NRG's employees were covered by U.S collective bargaining agreements. In the event that the Company's union employees strike, participate in a work stoppage or slowdown or engage in other forms of labor strife or disruption, NRG would be responsible for procuring replacement labor or the Company could experience reduced power generation or outages. Although NRG's ability to procure such labor is uncertain, contingency staffing planning is completed as part of each respective contract negotiation. Strikes, work stoppages or the inability to negotiate future collective bargaining agreements on favorable terms could have a material adverse effect on the Company's business, financial condition, results of operations and cash flows. In addition, a number of the Company's employees at NRG's plants are close to retirement. The Company's inability to replace retiring workers could create potential knowledge and expertise gaps as such workers retire.</w:t>
      </w:r>
    </w:p>
    <w:p>
      <w:pPr>
        <w:spacing w:after="0" w:line="7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NRG's failure to manage key executive succession and retention and to continue to attract qualified personnel could adversely affect the Company's financial condition and results of operations.</w:t>
      </w:r>
    </w:p>
    <w:p>
      <w:pPr>
        <w:spacing w:after="0" w:line="5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loss of one or more of the Company’s key personnel or the inability to effectively identify a suitable successor to a key role could adversely affect the Company’s business. The failure to successfully transition and assimilate key employees, the effectiveness of the Company’s leaders, and any further transition, could adversely affect the Company’s financial condition and results of operations.</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Risks Related to Governmental Regulation and Laws</w:t>
      </w:r>
    </w:p>
    <w:p>
      <w:pPr>
        <w:spacing w:after="0" w:line="107"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NRG's business is subject to substantial energy regulation and may be adversely affected by legislative or regulatory changes, as well as liability under, or any future inability to comply with, existing or future energy regulations or requirements.</w:t>
      </w:r>
    </w:p>
    <w:p>
      <w:pPr>
        <w:spacing w:after="0" w:line="5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NRG's business is subject to extensive U.S. federal, state and local laws and foreign laws. Compliance with, or changes to, the requirements under these legal regimes may cause the Company to incur significant additional costs, reduce the Company's ability to hedge exposure or to sell retail power within certain states or to certain classes of retail customers, or restrict the Company’s marketing practices, its ability to pass through costs to retail customers, or its ability to compete on favorable terms with competitors, including the incumbent utility. Retail competition and home protection services are regulated on a state-by-state or at the province-by-province level and are highly dependent on state and provincial laws, regulations and policies, which</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32" w:name="page33"/>
    <w:bookmarkEnd w:id="32"/>
    <w:p>
      <w:pPr>
        <w:jc w:val="both"/>
        <w:spacing w:after="0" w:line="268" w:lineRule="auto"/>
        <w:rPr>
          <w:sz w:val="20"/>
          <w:szCs w:val="20"/>
          <w:color w:val="auto"/>
        </w:rPr>
      </w:pPr>
      <w:r>
        <w:rPr>
          <w:rFonts w:ascii="Times New Roman" w:cs="Times New Roman" w:eastAsia="Times New Roman" w:hAnsi="Times New Roman"/>
          <w:sz w:val="18"/>
          <w:szCs w:val="18"/>
          <w:color w:val="auto"/>
        </w:rPr>
        <w:t>could change at any moment. Failure to comply with such requirements could result in the shutdown of a non-complying facility or line of business, the imposition of liens, fines, penalties and/or civil or criminal liability.</w:t>
      </w:r>
    </w:p>
    <w:p>
      <w:pPr>
        <w:spacing w:after="0" w:line="64" w:lineRule="exact"/>
        <w:rPr>
          <w:sz w:val="20"/>
          <w:szCs w:val="20"/>
          <w:color w:val="auto"/>
        </w:rPr>
      </w:pPr>
    </w:p>
    <w:p>
      <w:pPr>
        <w:jc w:val="both"/>
        <w:ind w:firstLine="395"/>
        <w:spacing w:after="0" w:line="280" w:lineRule="auto"/>
        <w:rPr>
          <w:sz w:val="20"/>
          <w:szCs w:val="20"/>
          <w:color w:val="auto"/>
        </w:rPr>
      </w:pPr>
      <w:r>
        <w:rPr>
          <w:rFonts w:ascii="Times New Roman" w:cs="Times New Roman" w:eastAsia="Times New Roman" w:hAnsi="Times New Roman"/>
          <w:sz w:val="16"/>
          <w:szCs w:val="16"/>
          <w:color w:val="auto"/>
        </w:rPr>
        <w:t>Public utilities under the FPA are required to obtain FERC acceptance of their rate schedules for wholesale sales of electricity. Except for ERCOT generation facilities and power marketers, all of NRG's non-qualifying facility generating companies and power marketing affiliates in the U.S. make sales of electricity in interstate commerce and are public utilities for purposes of the FPA. FERC has granted each of NRG's generating and power marketing companies that make sales of electricity outside of ERCOT the authority to sell electricity at market-based rates. FERC's orders that grant NRG's generating and power marketing companies market-based rate authority reserve the right to revoke or revise that authority if FERC subsequently determines that NRG can exercise market power in transmission or generation, create barriers to entry, or engage in abusive affiliate transactions. In addition, NRG's market-based sales are subject to certain market behavior rules, and if any of NRG's generating and power marketing companies were deemed to have violated those rules, they are subject to potential disgorgement of profits associated with the violation and/or suspension or revocation of their market-based rate authority. If NRG's generating and power marketing companies were to lose their market-based rate authority, such companies would be required to obtain FERC's acceptance of a cost-of-service rate schedule and could become subject to the accounting, record-keeping, and reporting requirements that are imposed on utilities with cost-based rate schedules. This could have a material adverse effect on the rates NRG charges for power from its facilities.</w:t>
      </w:r>
    </w:p>
    <w:p>
      <w:pPr>
        <w:spacing w:after="0" w:line="275" w:lineRule="exact"/>
        <w:rPr>
          <w:sz w:val="20"/>
          <w:szCs w:val="20"/>
          <w:color w:val="auto"/>
        </w:rPr>
      </w:pPr>
    </w:p>
    <w:p>
      <w:pPr>
        <w:jc w:val="both"/>
        <w:ind w:firstLine="391"/>
        <w:spacing w:after="0" w:line="284" w:lineRule="auto"/>
        <w:rPr>
          <w:sz w:val="20"/>
          <w:szCs w:val="20"/>
          <w:color w:val="auto"/>
        </w:rPr>
      </w:pPr>
      <w:r>
        <w:rPr>
          <w:rFonts w:ascii="Times New Roman" w:cs="Times New Roman" w:eastAsia="Times New Roman" w:hAnsi="Times New Roman"/>
          <w:sz w:val="16"/>
          <w:szCs w:val="16"/>
          <w:color w:val="auto"/>
        </w:rPr>
        <w:t>The Company's generation assets are also subject to the reliability standards promulgated by the designated Electric Reliability Organization (currently NERC) and approved by FERC. If NRG fails to comply with the mandatory reliability standards, NRG could be subject to sanctions, including substantial monetary penalties and increased compliance obligations. NRG is also affected by legislative and regulatory changes, as well as changes to market design, market rules, tariffs, cost allocations, and bidding rules that occur in the existing ISOs. The ISOs that oversee most of the wholesale power markets impose, and in the future may continue to impose, mitigation, including price limitations, offer caps, non-performance penalties and other mechanisms to address some of the volatility and the potential exercise of market power in these markets. These types of price limitations and other regulatory mechanisms may have a material adverse effect on the profitability of NRG's generation facilities that sell energy and capacity into the wholesale power markets.</w:t>
      </w:r>
    </w:p>
    <w:p>
      <w:pPr>
        <w:spacing w:after="0" w:line="55"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The regulatory environment is subject to significant changes due to state and federal policies affecting wholesale and retail competition and the creation of incentives for the addition of large amounts of new renewable and nuclear generation and, in some cases, transmission. These changes are ongoing, and the Company cannot predict the future design of the wholesale power markets or the ultimate effect that the changing regulatory environment will have on NRG's business. In addition, in some of these markets, interested parties have proposed material market design changes. If competitive restructuring of the electric power markets is reversed, discontinued, or delayed, the Company's business prospects and financial results could be negatively impacted. In addition, there have been a number of reforms to the regulation of the derivatives markets, both in the United States and internationally. These regulations, and any further changes thereto, or adoption of additional regulations, including any regulations relating to position limits on futures and other derivatives or margin for derivatives, could negatively impact NRG’s ability to hedge its portfolio in an efficient, cost-effective manner by, among other things, potentially decreasing liquidity in the forward commodity and derivatives markets or limiting NRG’s ability to utilize non-cash collateral for derivatives transactions.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NRG’s business may be affected by interference in the competitive wholesale marketplace.</w:t>
      </w:r>
    </w:p>
    <w:p>
      <w:pPr>
        <w:spacing w:after="0" w:line="11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NRG’s generation and competitive retail operations rely on a competitive wholesale marketplace. The competitive wholesale marketplace may be impacted by out-of-market subsidies, imports of power from Canada, renewable mandates or subsidies, mandates to sell power below its cost of acquisition and associated costs as well as out-of-market payments to new or existing generators. These out-of-market subsidies to existing or new generation undermine the competitive wholesale marketplace, which can lead to premature retirement of existing facilities, including those owned by the Company. If these measures continue, capacity and energy prices may be suppressed, and the Company may not be successful in its efforts to insulate the competitive market from this interference. The Company's retail operations may be materially impacted by rules or regulations that allow regulated utilities to participate in competitive retail markets or own and operate facilities that could be provided by competitive market participants.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Additions or changes in tax laws and regulations could potentially affect the Company’s financial results or liquidity.</w:t>
      </w:r>
    </w:p>
    <w:p>
      <w:pPr>
        <w:spacing w:after="0" w:line="11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NRG is subject to various types of tax arising from normal business operations in the jurisdictions in which the Company operates. Any additions or changes to tax legislation, or their interpretation and application, including those with retroactive effect, could have a material adverse effect on NRG’s financial condition and results of operations, including income tax provision and accruals reflected in the consolidated financial statements. For example, in July 2025, the One Big Beautiful Bill Act was signed into law. To date, the law has not had a materially adverse effect on the Company’s operations; however, revisions or new interpretations of the law may impact its future financial condition. Further, the Company is subject to a 15% corporate alternative minimum tax as a result of the Inflation Reduction Act. The CAMT may lead to volatility in the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3" w:name="page34"/>
    <w:bookmarkEnd w:id="33"/>
    <w:p>
      <w:pPr>
        <w:jc w:val="both"/>
        <w:spacing w:after="0" w:line="256" w:lineRule="auto"/>
        <w:rPr>
          <w:sz w:val="20"/>
          <w:szCs w:val="20"/>
          <w:color w:val="auto"/>
        </w:rPr>
      </w:pPr>
      <w:r>
        <w:rPr>
          <w:rFonts w:ascii="Times New Roman" w:cs="Times New Roman" w:eastAsia="Times New Roman" w:hAnsi="Times New Roman"/>
          <w:sz w:val="18"/>
          <w:szCs w:val="18"/>
          <w:color w:val="auto"/>
        </w:rPr>
        <w:t>Company’s cash tax payment obligations, particularly if final Treasury regulations substantially depart from proposed regulations and interim guidance, especially with regard to the treatment of commodity or currency variability resulting from potential changes in the fair value of derivative instruments. The Company continuously monitors and assesses proposed tax legislation that could negatively impact its business.</w:t>
      </w:r>
    </w:p>
    <w:p>
      <w:pPr>
        <w:spacing w:after="0" w:line="7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 Capacity Performance product into the PJM market could lead to substantial changes in capacity income and non-performance penalties, which could have a material adverse effect on NRG’s results of operations, financial condition and cash flows.</w:t>
      </w:r>
    </w:p>
    <w:p>
      <w:pPr>
        <w:spacing w:after="0" w:line="5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PJM operates a pay-for-performance model where capacity payments are modified based on real-time generator performance. Capacity market prices are sensitive to design parameters, as well as additions of new capacity. NRG may experience substantial changes in capacity income and incur non-performance penalties, which could have a material adverse effect on NRG’s results of operations, financial condition and cash flows.</w:t>
      </w:r>
    </w:p>
    <w:p>
      <w:pPr>
        <w:spacing w:after="0" w:line="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NRG is subject to environmental laws that impose extensive and increasingly stringent requirements on the Company's ongoing operations, as well as potentially substantial liabilities arising out of environmental contamination. These environmental requirements and liabilities could adversely impact NRG's results of operations, financial condition and cash flows.</w:t>
      </w:r>
    </w:p>
    <w:p>
      <w:pPr>
        <w:spacing w:after="0" w:line="7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NRG is subject to the environmental laws of foreign and U.S., federal, state and local authorities. The Company must comply with numerous environmental laws and obtain numerous governmental permits and approvals to build and operate the Company's plants. Should NRG fail to comply with any environmental requirements that apply to its operations, the Company could be subject to administrative, civil and/or criminal liability and fines, and regulatory agencies could take other actions seeking to curtail the Company's operations. In addition, when new requirements take effect or when existing environmental requirements are revised, reinterpreted or subject to changing enforcement policies, NRG's business, results of operations, financial condition and cash flows could be adversely affected.</w:t>
      </w:r>
    </w:p>
    <w:p>
      <w:pPr>
        <w:spacing w:after="0" w:line="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NRG's businesses are subject to physical, market and economic risks relating to potential effects of climate change, and policies to regulate GHG emissions and mitigate climate change which could adversely impact NRG's results of operations, financial condition and cash flows.</w:t>
      </w:r>
    </w:p>
    <w:p>
      <w:pPr>
        <w:spacing w:after="0" w:line="59"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Fluctuations in weather and other environmental conditions, including temperature and precipitation levels, may affect consumer demand for electricity or natural gas. In addition, the potential physical effects of climate change, such as increased frequency and severity of storms, floods and other climatic events, could disrupt NRG's operations and supply chain, and cause it to incur significant costs in preparing for or responding to these effects. These or other changes in climate could lead to increased operating costs or capital expenses. NRG's customers may also experience the potential physical impacts of climate change and may incur significant costs in preparing for or responding to these efforts, including changing the fuel mix and resiliency of their energy solutions and supply.</w:t>
      </w:r>
    </w:p>
    <w:p>
      <w:pPr>
        <w:spacing w:after="0" w:line="8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contribution of climate change to the frequency or intensity of weather-related events could affect NRG's operations and planning process. Climate change could also affect the availability of a secure and economical supply of water in some locations, which is essential for the continued operation of NRG's generation plants. NRG monitors water supply risk carefully. If it is determined that a water supply risk exists that could impact projected generation levels at any plant, risk mitigation efforts are identified and evaluated for implementation.</w:t>
      </w:r>
    </w:p>
    <w:p>
      <w:pPr>
        <w:spacing w:after="0" w:line="7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Further, demand for NRG's energy-related services could be similarly impacted by consumers’ preferences or market or regulatory factors favoring energy efficiency, lower carbon energy sources or reduced electricity or natural gas usage.</w:t>
      </w:r>
    </w:p>
    <w:p>
      <w:pPr>
        <w:spacing w:after="0" w:line="64"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Company's ability to achieve its GHG emissions reduction targets depends on many factors, including the ability to retire high emitting assets, ability to reduce emissions based on technological advances and innovation, and ability to source energy from less carbon intense resources. In addition, any future decarbonization efforts may increase costs, or NRG may otherwise be limited in its ability to apply them. The cost associated with NRG's GHG emissions reduction goals could be significant. Failure to achieve the Company's emissions targets could result in a negative impact on access to and cost of capital, changing investor sentiment regarding investment in the Company or reputation harm.</w:t>
      </w:r>
    </w:p>
    <w:p>
      <w:pPr>
        <w:spacing w:after="0" w:line="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Enhanced data privacy and data protection laws and regulations, or any non-compliance with such laws and regulations, could adversely affect NRG’s business and financial results.</w:t>
      </w:r>
    </w:p>
    <w:p>
      <w:pPr>
        <w:spacing w:after="0" w:line="59"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The consumer privacy landscape continues to experience momentum for greater privacy protection and reform at the state and federal level in response to precedents set forth by the Personal Information Protection and Electronic Documents Act (the "PIPEDA") of Canada and the California Consumer Privacy Act (the "CCPA"). The development and evolving nature of domestic and international privacy regulation and enforcement could impact and potentially limit how NRG collects, processes, discloses and stores personally identifiable information. California residents have increased access rights (including the right to limit the use, right of data deletion and correction and right of non-disclosure of sensitive personal information), which are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4" w:name="page35"/>
    <w:bookmarkEnd w:id="34"/>
    <w:p>
      <w:pPr>
        <w:jc w:val="both"/>
        <w:spacing w:after="0" w:line="286" w:lineRule="auto"/>
        <w:rPr>
          <w:sz w:val="20"/>
          <w:szCs w:val="20"/>
          <w:color w:val="auto"/>
        </w:rPr>
      </w:pPr>
      <w:r>
        <w:rPr>
          <w:rFonts w:ascii="Times New Roman" w:cs="Times New Roman" w:eastAsia="Times New Roman" w:hAnsi="Times New Roman"/>
          <w:sz w:val="16"/>
          <w:szCs w:val="16"/>
          <w:color w:val="auto"/>
        </w:rPr>
        <w:t>enforced by a new state privacy regulator, resulting in more scrutiny of business practices and disclosures. Additional states including Virginia, Utah, Connecticut, Colorado, Nevada, Texas, New Hampshire, Nebraska and Maryland have similarly adopted enhanced data privacy legislation and patterned after the standards set forth by CCPA, including broader data access rights, with several states going a step further requiring businesses to perform data protection assessments for a variety of processing activities. The Company is also bound by contractual requirements relating to privacy and data protection, and may agree to additional contractual requirements addressing these matters from time to time. In addition, Canadian data protection laws, PIPEDA, and the privacy laws of certain Canadian provinces who have promulgated more onerous data protection laws than PIPEDA, apply to the Company’s business in Canada.</w:t>
      </w:r>
    </w:p>
    <w:p>
      <w:pPr>
        <w:spacing w:after="0" w:line="53"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As new laws and regulations are created, amended or expanded, requiring businesses to implement processes to enable customers access to their data and enhanced data protection and management standards, NRG cannot forecast with any certainty the impact that they may have on the Company’s business; however, it is possible the Company may find it necessary or desirable to change certain of its business practices or to expend resources to modify its home products and services and otherwise adapt to these changes. It is possible that the Company may be unable to make such changes and modifications in a commercially reasonable manner or at all, and its ability to develop new home services and features could be limited. Any non-compliance with laws may result in proceedings or actions against the Company by governmental entities or individuals. Moreover, any inquiries or investigations, government penalties or sanctions, or civil actions by individuals may be costly to comply with, resulting in negative publicity, increased operating costs, significant management time and attention, and may lead to remedies that harm the business, including fines, demands or orders that existing business practices be modified or terminated.</w:t>
      </w:r>
    </w:p>
    <w:p>
      <w:pPr>
        <w:spacing w:after="0" w:line="7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NRG's retail operations and smart home services are subject to changing rules and regulations that could have a material impact on the Company's profitability.</w:t>
      </w:r>
    </w:p>
    <w:p>
      <w:pPr>
        <w:spacing w:after="0" w:line="59"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The competitiveness of NRG's retail operations partially depends on regulatory policies that establish the structure, rules, terms and conditions upon which services are offered to retail customers. These policies can include, among other things, controls on the retail rates that NRG can charge, the imposition of additional costs on sales, restrictions on the Company's ability to sell certain types of products or ability to obtain new customers through various marketing channels and disclosure requirements. The Company's retail operations may be materially impacted by rules or regulations that allow regulated utilities to participate in competitive retail markets or own and operate facilities that could be provided by competitive market participants. Additionally, state, federal or provincial imposition of net metering or RPS programs can make it more or less expensive for retail customers to supplement or replace their reliance on grid power.</w:t>
      </w:r>
    </w:p>
    <w:p>
      <w:pPr>
        <w:spacing w:after="0" w:line="82"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The Company’s retail and smart home services focus on transactions with residential customers, subjecting them to a variety of laws, regulations and licensing requirements governing interactions with residential consumers, including those pertaining to privacy and data security, telemarketing, in-person solicitations, online marketing, consumer financial and credit transactions, home improvements, warranties and door-to-door solicitation. In certain jurisdictions, the Company is required to obtain licenses or permits to comply with standards governing marketing and sales efforts, installation of equipment or servicing of customers and monitoring station employee selection and training. Increased regulation of matters relating to interactions with residential consumers could require modification to the Company’s retail and smart home services operations and the incurrence of additional expenses. Further, any expansion of the scope of products or services into new markets may require additional licenses and expenditures to otherwise maintain compliance with additional laws, regulations or licensing requirements. These laws and regulations, as well as their interpretation, and any new laws, regulations or licensing requirements could negatively affect the Company’s ability to acquire new residential customers. Any of these measures could increase costs for providing, or reduce customer satisfaction with respect to, retail and smart home services.</w:t>
      </w:r>
    </w:p>
    <w:p>
      <w:pPr>
        <w:spacing w:after="0" w:line="89" w:lineRule="exact"/>
        <w:rPr>
          <w:sz w:val="20"/>
          <w:szCs w:val="20"/>
          <w:color w:val="auto"/>
        </w:rPr>
      </w:pPr>
    </w:p>
    <w:p>
      <w:pPr>
        <w:jc w:val="both"/>
        <w:ind w:firstLine="430"/>
        <w:spacing w:after="0" w:line="286" w:lineRule="auto"/>
        <w:rPr>
          <w:sz w:val="20"/>
          <w:szCs w:val="20"/>
          <w:color w:val="auto"/>
        </w:rPr>
      </w:pPr>
      <w:r>
        <w:rPr>
          <w:rFonts w:ascii="Times New Roman" w:cs="Times New Roman" w:eastAsia="Times New Roman" w:hAnsi="Times New Roman"/>
          <w:sz w:val="16"/>
          <w:szCs w:val="16"/>
          <w:color w:val="auto"/>
        </w:rPr>
        <w:t>The Federal Trade Commission ("FTC") and the Federal Communications Commission have issued regulations that restrict direct-to-home marketing, telemarketing, email marketing and other sales practices, including limitations on methods of communication, requirements to maintain a “do not call” list, cancellation rights and required training for personnel to comply with these restrictions. Any noncompliance, or alleged noncompliance, of applicable regulations by the Company, third-party vendors used for marketing, telemarketing or lead generation activities or independent, third-party authorized dealers of retail or smart home services could result in private rights of actions or enforcement actions for civil or criminal penalties. Changes in regulations or interpretations that further restrict lead generating activities also could result in a reduction in the number of new retail or smart home services customers.</w:t>
      </w:r>
    </w:p>
    <w:p>
      <w:pPr>
        <w:spacing w:after="0" w:line="4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 Company’s retail and smart home businesses expose it to risks of liability for the acts or omissions of its employees, including with respect to sales practices.</w:t>
      </w:r>
    </w:p>
    <w:p>
      <w:pPr>
        <w:spacing w:after="0" w:line="59" w:lineRule="exact"/>
        <w:rPr>
          <w:sz w:val="20"/>
          <w:szCs w:val="20"/>
          <w:color w:val="auto"/>
        </w:rPr>
      </w:pPr>
    </w:p>
    <w:p>
      <w:pPr>
        <w:jc w:val="both"/>
        <w:ind w:firstLine="430"/>
        <w:spacing w:after="0" w:line="256" w:lineRule="auto"/>
        <w:rPr>
          <w:sz w:val="20"/>
          <w:szCs w:val="20"/>
          <w:color w:val="auto"/>
        </w:rPr>
      </w:pPr>
      <w:r>
        <w:rPr>
          <w:rFonts w:ascii="Times New Roman" w:cs="Times New Roman" w:eastAsia="Times New Roman" w:hAnsi="Times New Roman"/>
          <w:sz w:val="18"/>
          <w:szCs w:val="18"/>
          <w:color w:val="auto"/>
        </w:rPr>
        <w:t>Activities in connection with sales efforts by employees, independent contractors, and other agents, including predatory door-to-door sales tactics and fraudulent misrepresentations, have in the past subjected it to, and could in the future subject the Company to, governmental investigations and class action lawsuits for, among others, false advertising and deceptive trade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5" w:name="page36"/>
    <w:bookmarkEnd w:id="35"/>
    <w:p>
      <w:pPr>
        <w:jc w:val="both"/>
        <w:spacing w:after="0" w:line="268" w:lineRule="auto"/>
        <w:rPr>
          <w:sz w:val="20"/>
          <w:szCs w:val="20"/>
          <w:color w:val="auto"/>
        </w:rPr>
      </w:pPr>
      <w:r>
        <w:rPr>
          <w:rFonts w:ascii="Times New Roman" w:cs="Times New Roman" w:eastAsia="Times New Roman" w:hAnsi="Times New Roman"/>
          <w:sz w:val="18"/>
          <w:szCs w:val="18"/>
          <w:color w:val="auto"/>
        </w:rPr>
        <w:t>practice damage claims. Any litigation or regulatory proceedings resulting from such activities could adversely impact the Company’s business, financial condition, results of operations, and cash flows.</w:t>
      </w:r>
    </w:p>
    <w:p>
      <w:pPr>
        <w:spacing w:after="0" w:line="60"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 Company is subject to various risks in connection with Vivint Smart Home’s ongoing settlement administration process involving the FTC, and may be subject to other FTC actions in the future.</w:t>
      </w:r>
    </w:p>
    <w:p>
      <w:pPr>
        <w:spacing w:after="0" w:line="59"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In 2021, Vivint Smart Home entered into a settlement with the FTC where Vivint Smart Home agreed to implement various compliance-related measures and pay a penalty or fine. The settlement required an initial assessment and thereafter biennial assessments by an independent third-party assessor of Vivint Smart Home’s compliance programs and for the assessor to provide a report to the FTC staff on ongoing compliance with the settlement. Although Vivint Smart Home took action to enhance its compliance programs, these and other measures that the Company may take in the future may not be successful. If any assessments identify deficiencies in the Company’s efforts to comply, and should the FTC determine that Vivint Smart Home is not in full compliance with the settlement, the FTC could take further action, such as seeking judicial remedies for any noncompliance, and Vivint Smart Home could be subject to additional sanctions, fines, penalties and restrictions on its smart home operations. In addition, the filing of an application with the court for noncompliance with the settlement could lead to regulatory actions by other agencies or private litigation, which could impact Vivint Smart Home’s ability to obtain regulatory approvals necessary to carry out present or future plans and operations, and result in negative publicity.</w:t>
      </w:r>
    </w:p>
    <w:p>
      <w:pPr>
        <w:spacing w:after="0" w:line="7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 Company's international operations are exposed to political and economic risks, commercial instability and events beyond the Company's control in the countries in which it operates, which risks may negatively impact the Company's business.</w:t>
      </w:r>
    </w:p>
    <w:p>
      <w:pPr>
        <w:spacing w:after="0" w:line="59"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The Company's international operations depend on products manufactured, purchased and sold in the U.S. and internationally. In some cases, these countries have greater political and economic volatility and greater vulnerability to infrastructure labor, and supply chain disruptions than in NRG's other markets. Operating a business in a number of different regions and countries exposes the Company to a number of risks, including: imposition of burdensome tariffs or quotas, multiple and potentially conflicting laws, regulations and policies that are subject to change, imposition of currency restrictions on repatriation of earnings or other restraints, national and international conflict, including terrorist acts and political and economic instability or civil unrest that may severely disrupt economic activity in affected countries and result in increased cost. The occurrence of one or more of these events may negatively impact the Company's business, results of operations and financial condition.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Rates and terms for service of certain residential and commercial customers in Alberta are subject to regulatory review and approval.</w:t>
      </w:r>
    </w:p>
    <w:p>
      <w:pPr>
        <w:spacing w:after="0" w:line="113"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The Company owns Direct Energy Regulated Services, which serves as a regulated rate supplier for residential and commercial energy customers in portions of the province of Alberta. It is required to engage in regulatory approval proceedings as a part of the process of establishing the terms and rates for sales of power and natural gas. These proceedings typically involve multiple parties, including governmental bodies and officials, consumer advocacy groups and various consumers of energy, who have differing concerns but also have the common objective of limiting rate increases or even reducing rates. Decisions are subject to appeal, potentially leading to additional uncertainty associated with the approval proceedings. The potential duration of such proceedings creates a risk that rates ultimately approved by the applicable regulatory body may not be sufficient for the Company to recover its costs by the time the rates become effective. Established rates are also subject to subsequent reviews by regulators, whereby various portions of rates could be adjusted, subject to refund or disallowed. In certain instances, the Company could agree to negotiated settlements related to various rate matters and other cost recovery elements. These settlements are subject to regulatory approval. The ultimate outcome and timing of regulatory rate proceedings have a significant effect on the Company to recover its costs or earn an adequate return. In addition, subsequent legislative or regulatory action could alter the terms on which the regulated business operates and future earnings could be negatively impacted. The Company also operates a competitive energy supply business in Alberta that is not subject to rate regulation and is subject to stringent requirements to segregate operations and information relating to the competitive business from the regulated business. Failure to comply with these and other requirements on the business could subject the Company's regulated and competitive businesses in Alberta to fines, penalties, and restrictions on the ability to continue business.</w:t>
      </w:r>
    </w:p>
    <w:p>
      <w:pPr>
        <w:spacing w:after="0" w:line="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Risks Related to Economic and Financial Market Conditions and the Company's Indebtedness</w:t>
      </w:r>
    </w:p>
    <w:p>
      <w:pPr>
        <w:spacing w:after="0" w:line="10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NRG's level of indebtedness could adversely affect its ability to raise additional capital to fund its operations or return capital to stockholders. It could also expose it to the risk of increased interest rates and limit its ability to react to changes in the economy or its industry.</w:t>
      </w:r>
    </w:p>
    <w:p>
      <w:pPr>
        <w:spacing w:after="0" w:line="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NRG's substantial amount of debt could have negative consequences, including:</w:t>
      </w:r>
    </w:p>
    <w:p>
      <w:pPr>
        <w:spacing w:after="0" w:line="56" w:lineRule="exact"/>
        <w:rPr>
          <w:sz w:val="20"/>
          <w:szCs w:val="20"/>
          <w:color w:val="auto"/>
        </w:rPr>
      </w:pPr>
    </w:p>
    <w:p>
      <w:pPr>
        <w:ind w:left="5540" w:right="5380" w:hanging="5377"/>
        <w:spacing w:after="0" w:line="638" w:lineRule="auto"/>
        <w:tabs>
          <w:tab w:leader="none" w:pos="478"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NRG's vulnerability to general economic and industry conditions;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365125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6" w:name="page37"/>
    <w:bookmarkEnd w:id="36"/>
    <w:p>
      <w:pPr>
        <w:ind w:left="480" w:hanging="317"/>
        <w:spacing w:after="0" w:line="254" w:lineRule="auto"/>
        <w:tabs>
          <w:tab w:leader="none" w:pos="4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NRG's cash flow from operations be used to pay principal and interest on its indebtedness, which reduces NRG's ability to pay dividends or fund its operations, capital expenditures and future business opportunities;</w:t>
      </w:r>
    </w:p>
    <w:p>
      <w:pPr>
        <w:ind w:left="480" w:hanging="317"/>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NRG's ability to enter into long-term power sales or fuel purchases, which require credit support;</w:t>
      </w:r>
    </w:p>
    <w:p>
      <w:pPr>
        <w:spacing w:after="0" w:line="3"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impacting NRG's credit rating, which could increase borrowing costs;</w:t>
      </w:r>
    </w:p>
    <w:p>
      <w:pPr>
        <w:spacing w:after="0" w:line="3" w:lineRule="exact"/>
        <w:rPr>
          <w:rFonts w:ascii="Times New Roman" w:cs="Times New Roman" w:eastAsia="Times New Roman" w:hAnsi="Times New Roman"/>
          <w:sz w:val="18"/>
          <w:szCs w:val="18"/>
          <w:color w:val="auto"/>
        </w:rPr>
      </w:pPr>
    </w:p>
    <w:p>
      <w:pPr>
        <w:ind w:left="480" w:hanging="317"/>
        <w:spacing w:after="0" w:line="244" w:lineRule="auto"/>
        <w:tabs>
          <w:tab w:leader="none" w:pos="4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NRG's ability to obtain additional financing for working capital, including collateral postings, capital expenditures, debt service requirements, acquisitions and general corporate purposes;</w:t>
      </w:r>
    </w:p>
    <w:p>
      <w:pPr>
        <w:ind w:left="480" w:hanging="317"/>
        <w:spacing w:after="0" w:line="244" w:lineRule="auto"/>
        <w:tabs>
          <w:tab w:leader="none" w:pos="4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NRG's ability to adjust to changing market conditions and placing it at a competitive disadvantage compared to its competitors, who may have less debt; and</w:t>
      </w:r>
    </w:p>
    <w:p>
      <w:pPr>
        <w:ind w:left="480" w:hanging="317"/>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NRG to the risk of increased interest rates because certain of its borrowings are at variable rates of interest.</w:t>
      </w:r>
    </w:p>
    <w:p>
      <w:pPr>
        <w:spacing w:after="0" w:line="38"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The Company’s debt agreements contain financial and other restrictive covenants that may limit the Company's ability to return capital to stockholders, including by paying dividends, or otherwise engage in activities that may be in its long-term best interests. NRG's failure to comply with those covenants could result in an event of default which, if not cured or waived, could result in the acceleration of such indebtedness, which in turn could cause a cross default to NRG's other indebtedness. NRG's assets and available cash balances may not be sufficient to fully repay all outstanding indebtedness if accelerated upon an event of default. If NRG is unable to repay, refinance, or restructure its indebtedness as required, or amend the covenants contained in those agreements, the lenders or other creditors may be entitled to obtain a lien or institute foreclosure proceedings against its assets, which could have a material adverse effect on its business, results of operations and financial condition. In addition, the Company's Revolving Credit Facility and sustainability-linked bonds include a sustainability-linked metric, which could result in increased interest expense for the Company if the sustainability metrics set forth therein are not achieved. Furthermore, financial and other restrictive covenants contained in any subsidiary or project level debt may limit the ability of NRG to receive distributions from such subsidiary.</w:t>
      </w:r>
    </w:p>
    <w:p>
      <w:pPr>
        <w:spacing w:after="0" w:line="8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addition, NRG's ability to arrange financing, either at the corporate level, a non-recourse project-level subsidiary or otherwise, and the costs of such capital are dependent on numerous factors, including: general economic and capital market conditions, credit availability from banks and other financial institutions, investor confidence in NRG, its partners and the regional wholesale power markets, NRG's financial performance and the financial performance of its subsidiaries, NRG's level of indebtedness and compliance with covenants in debt agreements, maintenance of acceptable credit ratings, cash flow and provisions of tax and securities laws that may impact raising capital.</w:t>
      </w:r>
    </w:p>
    <w:p>
      <w:pPr>
        <w:spacing w:after="0" w:line="8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NRG's ability to meet its payment obligations under its debt agreements is dependent on its ability to generate significant cash flows or obtain additional capital in the future. This, to some extent, is subject to market, economic, financial, competitive, legislative, and regulatory factors as well as other factors that are beyond its control. NRG may not be successful in obtaining additional capital for these or other reasons. The failure to obtain additional capital on terms acceptable to NRG, or at all, from time to time may have a material adverse effect on its business and operations.</w:t>
      </w:r>
    </w:p>
    <w:p>
      <w:pPr>
        <w:spacing w:after="0" w:line="7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NRG's outstanding preferred stock is senior to its common stock, and a failure to pay dividends on its preferred stock will prohibit the payment of dividends on its common stock.</w:t>
      </w:r>
    </w:p>
    <w:p>
      <w:pPr>
        <w:spacing w:after="0" w:line="5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NRG has outstanding 650,000 shares of Series A Preferred Stock, with a $1,000 liquidation preference per share. The Series A Preferred Stock is senior to NRG's common stock in right of payment of dividends and other distributions and could adversely affect NRG's ability to declare or pay dividends or distributions on its common stock. In the event of NRG's voluntary or involuntary liquidation, winding-up or dissolution, the holders of Series A Preferred Stock must receive their $1,000 per share, plus accumulated but unpaid dividends, prior to any distributions to holder of common stock. NRG must be current on dividends payable to holders of Series A Preferred Stock before any dividends can be paid on its common stock.</w:t>
      </w:r>
    </w:p>
    <w:p>
      <w:pPr>
        <w:spacing w:after="0" w:line="8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Whenever dividends on any shares of Series A Preferred Stock have not been declared and paid for the equivalent of three or more dividend payments, whether or not for consecutive dividend periods, the number of directors on the Company's Board of Directors will be increased by two, and the holders of Series A Preferred Stock will have the right to elect two members of the Company's Board of Directors to fill such newly created openings.</w:t>
      </w:r>
    </w:p>
    <w:p>
      <w:pPr>
        <w:spacing w:after="0" w:line="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 that NRG has recorded in connection with its acquisitions are subject to impairment evaluations and, as a result, the Company could be required to write off some or all of this goodwill and other intangible assets, which may adversely affect the Company's financial condition and results of operations.</w:t>
      </w:r>
    </w:p>
    <w:p>
      <w:pPr>
        <w:spacing w:after="0" w:line="7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Goodwill is not amortized but is reviewed annually or more frequently for impairment. Other intangibles are also reviewed at least annually or more frequently, if certain conditions exist, and are amortized. Any reduction in or impairment of the value of goodwill or other intangible assets will result in a charge against earnings, which could materially adversely affect NRG's reported results of operations and financial position in future periods.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11"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 xml:space="preserve">This Annual Report on Form 10-K of NRG Energy, Inc., or NRG or the Company, includes forward-looking statements within the meaning of Section 27A of the Securities Act of 1933, as amended, or Securities Act, and Section 21E of the Securities Exchange Act of 1934, as amended, or Exchange Act. The words "believes," "projects," "anticipates," "plans," "expects," "intends," "estimates," "should," "forecasts," “targets,” and similar expressions are intended to identify forward-looking statements. These forward-looking statements involve known and unknown risks, uncertainties and other factors that may cause NRG's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and the following:</w:t>
      </w:r>
    </w:p>
    <w:p>
      <w:pPr>
        <w:spacing w:after="0" w:line="29" w:lineRule="exact"/>
        <w:rPr>
          <w:sz w:val="20"/>
          <w:szCs w:val="20"/>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NRG's ability to obtain and maintain retail market share;</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changes in the wholesale power and gas markets and fluctuations in the cost of fuel;</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power and gas supply costs and demand for power and gas, including the impacts of weather;</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tariffs and escalation of international trade disputes, and any inflationary impacts resulting therefrom;</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the Company to realize expected benefits from the integration of LSP Portfolio’s assets and businesses;</w:t>
      </w:r>
    </w:p>
    <w:p>
      <w:pPr>
        <w:spacing w:after="0" w:line="56" w:lineRule="exact"/>
        <w:rPr>
          <w:rFonts w:ascii="Times New Roman" w:cs="Times New Roman" w:eastAsia="Times New Roman" w:hAnsi="Times New Roman"/>
          <w:sz w:val="18"/>
          <w:szCs w:val="18"/>
          <w:color w:val="auto"/>
        </w:rPr>
      </w:pPr>
    </w:p>
    <w:p>
      <w:pPr>
        <w:jc w:val="both"/>
        <w:ind w:left="640" w:hanging="319"/>
        <w:spacing w:after="0" w:line="250" w:lineRule="auto"/>
        <w:tabs>
          <w:tab w:leader="none" w:pos="6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customary to the power production industry and power generation operations, such as fuel and electricity price volatility, unusual weather conditions, catastrophic weather-related or other damage to facilities, unscheduled or forced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NRG may not have adequate insurance to cover losses as a result of such hazards;</w:t>
      </w:r>
    </w:p>
    <w:p>
      <w:pPr>
        <w:spacing w:after="0" w:line="2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effectiveness of NRG's risk management policies and procedures and the ability of NRG's counterparties to satisfy their financial commitments;</w:t>
      </w:r>
    </w:p>
    <w:p>
      <w:pPr>
        <w:spacing w:after="0" w:line="79" w:lineRule="exact"/>
        <w:rPr>
          <w:rFonts w:ascii="Times New Roman" w:cs="Times New Roman" w:eastAsia="Times New Roman" w:hAnsi="Times New Roman"/>
          <w:sz w:val="16"/>
          <w:szCs w:val="16"/>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NRG's ability to enter into contracts to sell power or gas and procure fuel on acceptable terms and prices;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NRG's ability to successfully integrate, realize cost savings and manage any acquired businesses;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NRG's ability to engage in successful acquisitions and divestitures, as well as other mergers and acquisitions activity;</w:t>
      </w:r>
    </w:p>
    <w:p>
      <w:pPr>
        <w:spacing w:after="0" w:line="56"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NRG’s, and its counterparties’, ability to successfully complete the development and construction of new generation facilities and projects in a timely and cost effective manner;</w:t>
      </w:r>
    </w:p>
    <w:p>
      <w:pPr>
        <w:spacing w:after="0" w:line="1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terrorism and cybersecurity risks, data breaches or the occurrence of a catastrophic loss and the possibility that NRG may not have sufficient insurance to cover losses resulting from such hazards or the inability of NRG's insurers to provide coverage;</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and reputational risks related to the use of AI and the adherence to developing laws and regulations related to the use of AI;</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Counterparties' collateral demands and other factors affecting NRG's liquidity position and financial condition;</w:t>
      </w:r>
    </w:p>
    <w:p>
      <w:pPr>
        <w:spacing w:after="0" w:line="56"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NRG's ability to operate its businesses efficiently and generate earnings and cash flows from its asset-based businesses in relation to its debt and other obligations;</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and competitiveness of wholesale markets for energy commodities;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including judicial and regulatory decisions;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changes in market rules, rates, tariffs and environmental laws;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NRG's ability to develop and innovate new products, as retail and wholesale markets continue to change and evolve;</w:t>
      </w:r>
    </w:p>
    <w:p>
      <w:pPr>
        <w:spacing w:after="0" w:line="56"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mitigation strategies and other market structures employed by ISOs or RTOs that result in a failure to adequately and fairly compensate NRG's generation units;</w:t>
      </w:r>
    </w:p>
    <w:p>
      <w:pPr>
        <w:spacing w:after="0" w:line="1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NRG's ability to borrow funds and access capital markets, as well as NRG's substantial indebtedness and the possibility that NRG may incur additional indebtedness in the future;</w:t>
      </w:r>
    </w:p>
    <w:p>
      <w:pPr>
        <w:spacing w:after="0" w:line="1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restrictions placed on NRG and its subsidiaries that are contained in NRG's corporate credit agreements, and in debt and other agreements of certain of NRG subsidiaries and project affiliates generally;</w:t>
      </w:r>
    </w:p>
    <w:p>
      <w:pPr>
        <w:spacing w:after="0" w:line="1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NRG's ability to implement its strategy of finding ways to meet the challenges of climate change, clean air and protecting natural resources, while taking advantage of business opportunities;</w:t>
      </w:r>
    </w:p>
    <w:p>
      <w:pPr>
        <w:spacing w:after="0" w:line="1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NRG's ability to increase cash from operations through operational and market initiatives, corporate efficiencies, asset strategy, and a range of other programs throughout NRG to reduce costs or generate revenues;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8" w:name="page39"/>
    <w:bookmarkEnd w:id="38"/>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NRG's ability to successfully evaluate investments and achieve intended financial results in new business and growth initiatives; and</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NRG's ability to develop and maintain successful partnering relationships as needed.</w:t>
      </w:r>
    </w:p>
    <w:p>
      <w:pPr>
        <w:spacing w:after="0" w:line="109" w:lineRule="exact"/>
        <w:rPr>
          <w:sz w:val="20"/>
          <w:szCs w:val="20"/>
          <w:color w:val="auto"/>
        </w:rPr>
      </w:pPr>
    </w:p>
    <w:p>
      <w:pPr>
        <w:jc w:val="both"/>
        <w:ind w:firstLine="276"/>
        <w:spacing w:after="0" w:line="293" w:lineRule="auto"/>
        <w:rPr>
          <w:sz w:val="20"/>
          <w:szCs w:val="20"/>
          <w:color w:val="auto"/>
        </w:rPr>
      </w:pPr>
      <w:r>
        <w:rPr>
          <w:rFonts w:ascii="Times New Roman" w:cs="Times New Roman" w:eastAsia="Times New Roman" w:hAnsi="Times New Roman"/>
          <w:sz w:val="16"/>
          <w:szCs w:val="16"/>
          <w:color w:val="auto"/>
        </w:rPr>
        <w:t>In addition, unlisted factors may present significant additional obstacles to the realization of forward-looking statements. Forward-looking statements speak only as of the date they were made and NRG undertakes no obligation to publicly update or revise any forward-looking statements, whether as a result of new information, future events or otherwise except as otherwise required by applicable laws. The foregoing factors that could cause NRG's actual results to differ materially from those contemplated in any forward-looking statements included in this Annual Report on Form 10-K should not be construed as exhaustive.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 Unresolved Staff Comments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 Cybersecurity</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Company leverages a comprehensive, multi-tiered cybersecurity strategy to manage cybersecurity risk based on criteria established by the NIST Cybersecurity Framework. As part of its cybersecurity strategy, the Company utilizes a range of industry and regulatory standards including, but not limited to, NERC-CIP, Payment Card Industry Data Security Standard, and IoT Security Assurance Framework. Compliance with NERC-CIP standards is mandated for entities involved in power generation, transmission, and distribution by regulatory bodies responsible for protecting critical infrastructure within the United States. NRG engages certified external assessors to ensure compliance with these standards.</w:t>
      </w:r>
    </w:p>
    <w:p>
      <w:pPr>
        <w:spacing w:after="0" w:line="80" w:lineRule="exact"/>
        <w:rPr>
          <w:sz w:val="20"/>
          <w:szCs w:val="20"/>
          <w:color w:val="auto"/>
        </w:rPr>
      </w:pPr>
    </w:p>
    <w:p>
      <w:pPr>
        <w:jc w:val="both"/>
        <w:ind w:firstLine="395"/>
        <w:spacing w:after="0" w:line="282" w:lineRule="auto"/>
        <w:rPr>
          <w:sz w:val="20"/>
          <w:szCs w:val="20"/>
          <w:color w:val="auto"/>
        </w:rPr>
      </w:pPr>
      <w:r>
        <w:rPr>
          <w:rFonts w:ascii="Times New Roman" w:cs="Times New Roman" w:eastAsia="Times New Roman" w:hAnsi="Times New Roman"/>
          <w:sz w:val="16"/>
          <w:szCs w:val="16"/>
          <w:color w:val="auto"/>
        </w:rPr>
        <w:t>The Company’s strategy seeks to align underlying processes not only with industry standards but also takes into account best practices among peer organizations. The strategy helps ensure a standardized method across all activities at NRG that is designed to allow for consistent recognition, assessment and potential mitigation of significant cybersecurity risks. To further the strategy, the Company established the NRG Cybersecurity Integration Center ("CIC") which is composed of experienced team members from across cybersecurity disciplines with relevant educational and industry experience. The CIC provides the following functions to the Company: cyber governance, operations, detection and response, engineering, testing, cyber risk management (including third-party risks), compliance, training and awareness, and reporting. The CIC utilizes advanced continuous monitoring systems and investigative techniques for real-time threat detection. The systematic monitoring approach allows for risk classification and prioritization based on potential impacts, and facilitates targeted resource allocation according to risk severity. The Company conducts regular penetration testing to proactively identify vulnerabilities and enhance its defense measures. The Company engages third-party assessors to gain comprehensive insights into its cyber risk profile.</w:t>
      </w:r>
    </w:p>
    <w:p>
      <w:pPr>
        <w:spacing w:after="0" w:line="27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Company relies on third-party service providers in the normal course of business. The Company has established a comprehensive approach to identify and manage cybersecurity risks associated with providers including, but not limited to, rigorous due diligence and assessments of third-party service providers' cybersecurity protocols before engagement, requirements relating to information handling, incident notification and assessment against the Company's cybersecurity requirements. Furthermore, the Company has implemented additional control measures and procedures in business processes designed to enable continuous risk identification and assessment, and to support monitoring mechanisms to oversee and manage supplier cybersecurity practices.</w:t>
      </w:r>
    </w:p>
    <w:p>
      <w:pPr>
        <w:spacing w:after="0" w:line="80"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 xml:space="preserve">As of December 31, 2025, the Company is not aware of any risks from cybersecurity threats, including as a result of any previous cybersecurity incidents, that have materially affected or are reasonably likely to have a material effect on NRG’s business strategy, results of operations and financial condition. Despite efforts to maintain processes which mitigate cybersecurity risks, there is no guarantee that such risks may not have a material effect on NRG’s business strategy, results of operations, and financial condition in the future. For additional information on cybersecurity risks the Company may face, see Item 1A — Risk Factors – </w:t>
      </w:r>
      <w:r>
        <w:rPr>
          <w:rFonts w:ascii="Times New Roman" w:cs="Times New Roman" w:eastAsia="Times New Roman" w:hAnsi="Times New Roman"/>
          <w:sz w:val="18"/>
          <w:szCs w:val="18"/>
          <w:i w:val="1"/>
          <w:iCs w:val="1"/>
          <w:color w:val="auto"/>
        </w:rPr>
        <w:t>“The operation of the Company's businesses is subject to advanced persistent cyber-based security threats and integrity risk. Attacks on NRG's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infrastructure that breach cyber/data security measures could expose the Company to significant liabilities, reputational damage, regulatory action, and disrupt business operations, which could have a material adverse effect”.</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Management</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Chief Information Security Officer ("CISO") is the head of cybersecurity for the Company and leads the CIC. The CISO has decades of professional experience, education, and certification in security analysis, design, implementation, and management, with a particularly strong background in technical vulnerability assessment, threat intelligence, and cybersecurity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9" w:name="page40"/>
    <w:bookmarkEnd w:id="39"/>
    <w:p>
      <w:pPr>
        <w:spacing w:after="0" w:line="268" w:lineRule="auto"/>
        <w:rPr>
          <w:sz w:val="20"/>
          <w:szCs w:val="20"/>
          <w:color w:val="auto"/>
        </w:rPr>
      </w:pPr>
      <w:r>
        <w:rPr>
          <w:rFonts w:ascii="Times New Roman" w:cs="Times New Roman" w:eastAsia="Times New Roman" w:hAnsi="Times New Roman"/>
          <w:sz w:val="18"/>
          <w:szCs w:val="18"/>
          <w:color w:val="auto"/>
        </w:rPr>
        <w:t>program development. Throughout their career, the CISO has overseen cybersecurity efforts across a range of roles, including responsibility for critical infrastructure protection in the energy and utility sectors.</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At least twice per year, the CISO provides comprehensive updates to the Board of Directors on cybersecurity and any recent developments impacting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These updates include, among other items:</w:t>
      </w:r>
    </w:p>
    <w:p>
      <w:pPr>
        <w:spacing w:after="0" w:line="91" w:lineRule="exact"/>
        <w:rPr>
          <w:sz w:val="20"/>
          <w:szCs w:val="20"/>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reports and developments from any cybersecurity events;</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cybersecurity landscape and emerging cybersecurity threats, with a particular emphasis on Company and industry-specific threats; and</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ongoing initiatives to strengthen the Company's cybersecurity program.</w:t>
      </w:r>
    </w:p>
    <w:p>
      <w:pPr>
        <w:spacing w:after="0" w:line="9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addition, the CISO regularly informs other members of senior management, including the President and CEO, of all aspects related to cybersecurity risks and incidents. This is intended to ensure that the highest levels of management remain updated on the cybersecurity risk preparedness and potential risks facing the Company. Furthermore, significant cybersecurity matters and strategic risk management decisions are escalated to the Board of Directors ensuring that they have comprehensive oversight and can provide guidance on critical cybersecurity issues.</w:t>
      </w:r>
    </w:p>
    <w:p>
      <w:pPr>
        <w:spacing w:after="0" w:line="78"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preparation for a potential cybersecurity incident, the Company has implemented structured processes and procedures aligned with the NIST framework. This framework provides a foundation for a systematic and consistent approach to preparing for, identifying, containing, eradicating, and recovering from incidents. The effectiveness of these protocols is routinely assessed through tabletop exercises involving relevant teams and Company leadership. In accordance with the Company’s process and procedures, incidents which may have a material impact on the Company are promptly referred to senior leadership and the Board of Directors for review and appropriate determination.</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Board of Directors</w:t>
      </w:r>
    </w:p>
    <w:p>
      <w:pPr>
        <w:spacing w:after="0" w:line="111"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The Board of Directors is primarily responsible for the risk oversight of the Company, and has delegated primary oversight of risks related to cybersecurity to the Finance and Risk Management ("FARM") Committee of the Board. The FARM Committee regularly reports on its activities to the Board of Directors after each meeting. The FARM Committee, as well as the overall Board of Directors, is composed of members with diverse expertise, including risk management, incident response and technology. The Board of Directors is aware of the critical nature of managing risks associated with cybersecurity threats and has worked with the Company’s management to establish comprehensive oversight mechanisms to help ensure effective cybersecurity governance.</w:t>
      </w:r>
    </w:p>
    <w:p>
      <w:pPr>
        <w:spacing w:after="0" w:line="5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FARM Committee and the Board of Directors receive updates on any significant developments in the cybersecurity domain, seeking to ensure that the Board of Director’s oversight is proactive and responsive. The Board of Directors remains involved in ensuring that cybersecurity considerations are integrated into the Company’s broader strategic objectives. Pursuant to the charter of the FARM Committee, the FARM Committee's responsibilities include an annual review of the Company’s cybersecurity program and the effectiveness of its risk management strategies. This review is intended to help identify areas for improvement and ensure the alignment of cybersecurity efforts with the overall risk management framework.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2 — Properties</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Listed below are descriptions of NRG's interests in facilities, operations and/or projects owned as of December 31, 2025. The rated MW capacity figures provided represent nominal summer MW capacity of power generated. Net MW capacity is adjusted for the Company's owned interest as of December 31, 2025. The Company believes its existing facilities, operations and/or projects are suitable for the conduct of its business and sufficient to support its current operations. The following table summarizes NRG's power production and cogeneration facilities by region:</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Power Market</w:t>
            </w: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Plant Type</w:t>
            </w:r>
          </w:p>
        </w:tc>
        <w:tc>
          <w:tcPr>
            <w:tcW w:w="10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w w:val="99"/>
              </w:rPr>
              <w:t>Primary Fuel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Rated MW Capacity</w:t>
            </w:r>
            <w:r>
              <w:rPr>
                <w:rFonts w:ascii="Times New Roman" w:cs="Times New Roman" w:eastAsia="Times New Roman" w:hAnsi="Times New Roman"/>
                <w:sz w:val="18"/>
                <w:szCs w:val="18"/>
                <w:b w:val="1"/>
                <w:bCs w:val="1"/>
                <w:color w:val="auto"/>
                <w:vertAlign w:val="superscript"/>
              </w:rPr>
              <w:t>(a)</w:t>
            </w:r>
          </w:p>
        </w:tc>
        <w:tc>
          <w:tcPr>
            <w:tcW w:w="17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Net MW Capacity</w:t>
            </w:r>
            <w:r>
              <w:rPr>
                <w:rFonts w:ascii="Times New Roman" w:cs="Times New Roman" w:eastAsia="Times New Roman" w:hAnsi="Times New Roman"/>
                <w:sz w:val="18"/>
                <w:szCs w:val="18"/>
                <w:b w:val="1"/>
                <w:bCs w:val="1"/>
                <w:color w:val="auto"/>
                <w:vertAlign w:val="superscript"/>
              </w:rPr>
              <w:t>(b)</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 Owned</w:t>
            </w:r>
          </w:p>
        </w:tc>
        <w:tc>
          <w:tcPr>
            <w:tcW w:w="0" w:type="dxa"/>
            <w:vAlign w:val="bottom"/>
          </w:tcPr>
          <w:p>
            <w:pPr>
              <w:spacing w:after="0"/>
              <w:rPr>
                <w:sz w:val="1"/>
                <w:szCs w:val="1"/>
                <w:color w:val="auto"/>
              </w:rPr>
            </w:pPr>
          </w:p>
        </w:tc>
      </w:tr>
      <w:tr>
        <w:trPr>
          <w:trHeight w:val="191"/>
        </w:trPr>
        <w:tc>
          <w:tcPr>
            <w:tcW w:w="1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10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Cedar Bayou</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ERCOT</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Fossil</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TX</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5"/>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Cedar Bayou 4</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ERCOT</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Fossil</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TX</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90"/>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Chamon</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ERCOT</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Fossil</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TX</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5"/>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Greens Bayou</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ERCOT</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Fossil</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TX</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0"/>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Limestone</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ERCOT</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Fossil</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Coal</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TX</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1,688</w:t>
            </w:r>
          </w:p>
        </w:tc>
        <w:tc>
          <w:tcPr>
            <w:tcW w:w="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1,688</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5"/>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Port Comfort</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ERCOT</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Fossil</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TX</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0"/>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San Jacinto</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ERCOT</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Fossil</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TX</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5"/>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SJRR</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ERCOT</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Fossil</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TX</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35"/>
        </w:trPr>
        <w:tc>
          <w:tcPr>
            <w:tcW w:w="18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Texas Gulf Sulphur</w:t>
            </w: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ERCOT</w:t>
            </w: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Fossil</w:t>
            </w: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Natural Gas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TX</w:t>
            </w: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1"/>
                <w:szCs w:val="11"/>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88"/>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(Wharton)</w:t>
            </w:r>
          </w:p>
        </w:tc>
        <w:tc>
          <w:tcPr>
            <w:tcW w:w="138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 Wharton</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ERCOT</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Fossil</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TX</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w:t>
            </w: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0"/>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Victoria</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ERCOT</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Fossil</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TX</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5"/>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Victoria Port II</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ERCOT</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Fossil</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TX</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0"/>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 Parish</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ERCOT</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Fossil</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Coal</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TX</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2,514</w:t>
            </w:r>
          </w:p>
        </w:tc>
        <w:tc>
          <w:tcPr>
            <w:tcW w:w="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2,514</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8"/>
        </w:trPr>
        <w:tc>
          <w:tcPr>
            <w:tcW w:w="18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 Parish</w:t>
            </w:r>
          </w:p>
        </w:tc>
        <w:tc>
          <w:tcPr>
            <w:tcW w:w="13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ERCOT</w:t>
            </w:r>
          </w:p>
        </w:tc>
        <w:tc>
          <w:tcPr>
            <w:tcW w:w="11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Fossil</w:t>
            </w:r>
          </w:p>
        </w:tc>
        <w:tc>
          <w:tcPr>
            <w:tcW w:w="1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w:t>
            </w:r>
          </w:p>
        </w:tc>
        <w:tc>
          <w:tcPr>
            <w:tcW w:w="1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TX</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1"/>
        </w:trPr>
        <w:tc>
          <w:tcPr>
            <w:tcW w:w="1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Total Texas</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9,523</w:t>
            </w:r>
          </w:p>
        </w:tc>
        <w:tc>
          <w:tcPr>
            <w:tcW w:w="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9,271</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Chalk Point</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PJM</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Fossil</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MD</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5"/>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Fisk</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PJM</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Fossil</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Oil</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IL</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0"/>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Indian River</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PJM</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Fossil</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Oil</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5"/>
        </w:trPr>
        <w:tc>
          <w:tcPr>
            <w:tcW w:w="1840" w:type="dxa"/>
            <w:vAlign w:val="bottom"/>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4"/>
                <w:szCs w:val="14"/>
                <w:color w:val="auto"/>
              </w:rPr>
              <w:t>Powerton</w:t>
            </w:r>
            <w:r>
              <w:rPr>
                <w:rFonts w:ascii="Times New Roman" w:cs="Times New Roman" w:eastAsia="Times New Roman" w:hAnsi="Times New Roman"/>
                <w:sz w:val="18"/>
                <w:szCs w:val="18"/>
                <w:color w:val="auto"/>
                <w:vertAlign w:val="superscript"/>
              </w:rPr>
              <w:t>(c)</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PJM</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Fossil</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Coal</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IL</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w:t>
            </w: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0"/>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Vienna</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PJM</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Fossil</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Oil</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MD</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8"/>
        </w:trPr>
        <w:tc>
          <w:tcPr>
            <w:tcW w:w="18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Waukegan</w:t>
            </w:r>
          </w:p>
        </w:tc>
        <w:tc>
          <w:tcPr>
            <w:tcW w:w="13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PJM</w:t>
            </w:r>
          </w:p>
        </w:tc>
        <w:tc>
          <w:tcPr>
            <w:tcW w:w="11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Fossil</w:t>
            </w:r>
          </w:p>
        </w:tc>
        <w:tc>
          <w:tcPr>
            <w:tcW w:w="1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Oil</w:t>
            </w:r>
          </w:p>
        </w:tc>
        <w:tc>
          <w:tcPr>
            <w:tcW w:w="1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IL</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1"/>
        </w:trPr>
        <w:tc>
          <w:tcPr>
            <w:tcW w:w="1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Total East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2,073</w:t>
            </w:r>
          </w:p>
        </w:tc>
        <w:tc>
          <w:tcPr>
            <w:tcW w:w="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2,073</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West/Other</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Gladstone</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Fossil</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Coal</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w:t>
            </w:r>
          </w:p>
        </w:tc>
        <w:tc>
          <w:tcPr>
            <w:tcW w:w="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0" w:type="dxa"/>
            <w:vAlign w:val="bottom"/>
          </w:tcPr>
          <w:p>
            <w:pPr>
              <w:spacing w:after="0"/>
              <w:rPr>
                <w:sz w:val="1"/>
                <w:szCs w:val="1"/>
                <w:color w:val="auto"/>
              </w:rPr>
            </w:pPr>
          </w:p>
        </w:tc>
      </w:tr>
      <w:tr>
        <w:trPr>
          <w:trHeight w:val="205"/>
        </w:trPr>
        <w:tc>
          <w:tcPr>
            <w:tcW w:w="1840" w:type="dxa"/>
            <w:vAlign w:val="bottom"/>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4"/>
                <w:szCs w:val="14"/>
                <w:color w:val="auto"/>
              </w:rPr>
              <w:t>Ivanpah</w:t>
            </w:r>
            <w:r>
              <w:rPr>
                <w:rFonts w:ascii="Times New Roman" w:cs="Times New Roman" w:eastAsia="Times New Roman" w:hAnsi="Times New Roman"/>
                <w:sz w:val="18"/>
                <w:szCs w:val="18"/>
                <w:color w:val="auto"/>
                <w:vertAlign w:val="superscript"/>
              </w:rPr>
              <w:t>(d)</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CAISO</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Renewable</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0" w:type="dxa"/>
            <w:vAlign w:val="bottom"/>
          </w:tcPr>
          <w:p>
            <w:pPr>
              <w:spacing w:after="0"/>
              <w:rPr>
                <w:sz w:val="1"/>
                <w:szCs w:val="1"/>
                <w:color w:val="auto"/>
              </w:rPr>
            </w:pPr>
          </w:p>
        </w:tc>
      </w:tr>
      <w:tr>
        <w:trPr>
          <w:trHeight w:val="190"/>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Midway-Sunset</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CAISO</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Fossil</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98"/>
        </w:trPr>
        <w:tc>
          <w:tcPr>
            <w:tcW w:w="18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Stadiums and Other</w:t>
            </w:r>
          </w:p>
        </w:tc>
        <w:tc>
          <w:tcPr>
            <w:tcW w:w="12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Renewable</w:t>
            </w:r>
          </w:p>
        </w:tc>
        <w:tc>
          <w:tcPr>
            <w:tcW w:w="1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1"/>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8"/>
              </w:rPr>
              <w:t>Total West/Other</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2,228</w:t>
            </w:r>
          </w:p>
        </w:tc>
        <w:tc>
          <w:tcPr>
            <w:tcW w:w="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932</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7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Total Fleet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13,824</w:t>
            </w:r>
          </w:p>
        </w:tc>
        <w:tc>
          <w:tcPr>
            <w:tcW w:w="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12,276</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20" w:hanging="315"/>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MW capacity of the facility without taking into account NRG ownership percentage</w:t>
      </w:r>
    </w:p>
    <w:p>
      <w:pPr>
        <w:spacing w:after="0" w:line="12" w:lineRule="exact"/>
        <w:rPr>
          <w:rFonts w:ascii="Times New Roman" w:cs="Times New Roman" w:eastAsia="Times New Roman" w:hAnsi="Times New Roman"/>
          <w:sz w:val="14"/>
          <w:szCs w:val="14"/>
          <w:color w:val="auto"/>
        </w:rPr>
      </w:pPr>
    </w:p>
    <w:p>
      <w:pPr>
        <w:ind w:left="320" w:hanging="315"/>
        <w:spacing w:after="0" w:line="251" w:lineRule="auto"/>
        <w:tabs>
          <w:tab w:leader="none" w:pos="31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capacity, adjusted for ownership interest, can vary depending on factors including weather conditions, operational conditions, and other factors. Additionally, ERCOT and PJM require periodic demonstration of capability, and the capacity may vary individually and in the aggregate from time to time</w:t>
      </w:r>
    </w:p>
    <w:p>
      <w:pPr>
        <w:spacing w:after="0" w:line="1"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Powerton is projected to close by December 31, 2029 to comply with environmental requirements</w:t>
      </w:r>
    </w:p>
    <w:p>
      <w:pPr>
        <w:ind w:left="320" w:hanging="315"/>
        <w:spacing w:after="0" w:line="263" w:lineRule="auto"/>
        <w:tabs>
          <w:tab w:leader="none" w:pos="31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17, 2025, PG&amp;E filed an advice letter to the CPUC seeking approval of a termination agreement between the utility and Solar Partners II, LLC and Solar Partners VIII, LLC, which include NRG’s ownership interests. On December 4, 2025, the CPUC rejected the contract termination agreement</w:t>
      </w:r>
    </w:p>
    <w:p>
      <w:pPr>
        <w:spacing w:after="0" w:line="21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NRG owns several real properties and facilities related to its generation assets, interest in construction projects, other vacant real property unrelated to its generation assets, and properties not used for operational purposes. NRG believes it has satisfactory title to its plants and facilities in accordance with standards generally accepted in the electric power industry, subject to exceptions that, in the Company's opinion, would not have a material adverse effect on the use or value of its portfolio.</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1" w:name="page42"/>
    <w:bookmarkEnd w:id="41"/>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NRG leases its operational and corporate headquarters in Houston, Texas, its financial and commercial corporate offices in Princeton, New Jersey, its smart home corporate offices in Provo and Lehi, Utah, as well as its retail operations offices, smart home monitoring stations, call centers, warehouses and various other office space.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Legal Proceedings</w:t>
      </w:r>
    </w:p>
    <w:p>
      <w:pPr>
        <w:spacing w:after="0" w:line="109" w:lineRule="exact"/>
        <w:rPr>
          <w:sz w:val="20"/>
          <w:szCs w:val="20"/>
          <w:color w:val="auto"/>
        </w:rPr>
      </w:pPr>
    </w:p>
    <w:p>
      <w:pPr>
        <w:ind w:right="20" w:firstLine="395"/>
        <w:spacing w:after="0" w:line="271" w:lineRule="auto"/>
        <w:rPr>
          <w:sz w:val="20"/>
          <w:szCs w:val="20"/>
          <w:color w:val="auto"/>
        </w:rPr>
      </w:pPr>
      <w:r>
        <w:rPr>
          <w:rFonts w:ascii="Times New Roman" w:cs="Times New Roman" w:eastAsia="Times New Roman" w:hAnsi="Times New Roman"/>
          <w:sz w:val="18"/>
          <w:szCs w:val="18"/>
          <w:color w:val="auto"/>
        </w:rPr>
        <w:t xml:space="preserve">See Item 15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Note 22,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and Note 23,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xml:space="preserve"> to the Consolidated Financial Statements for discussion of the material legal proceedings to which NRG is a party.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111"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information concerning mine safety violations or other regulatory matters required by Section 1503(a) of the Dodd-Frank Wall Street Reform and Consumer Protection Act and Item 104 of Regulation S-K (17 CFR 229.104) is included in Exhibit 95.1 to this Form 10-K.</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40" w:lineRule="exact"/>
        <w:rPr>
          <w:sz w:val="20"/>
          <w:szCs w:val="20"/>
          <w:color w:val="auto"/>
        </w:rPr>
      </w:pPr>
    </w:p>
    <w:p>
      <w:pPr>
        <w:ind w:right="2040"/>
        <w:spacing w:after="0" w:line="367" w:lineRule="auto"/>
        <w:rPr>
          <w:sz w:val="20"/>
          <w:szCs w:val="20"/>
          <w:color w:val="auto"/>
        </w:rPr>
      </w:pPr>
      <w:r>
        <w:rPr>
          <w:rFonts w:ascii="Times New Roman" w:cs="Times New Roman" w:eastAsia="Times New Roman" w:hAnsi="Times New Roman"/>
          <w:sz w:val="18"/>
          <w:szCs w:val="18"/>
          <w:b w:val="1"/>
          <w:bCs w:val="1"/>
          <w:color w:val="auto"/>
        </w:rPr>
        <w:t>Item 5 — Market for Registrant's Common Equity, Related Stockholder Matters and Issuer Purchases of Equity Securities Market Information and Holders</w:t>
      </w:r>
    </w:p>
    <w:p>
      <w:pPr>
        <w:spacing w:after="0" w:line="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NRG's common stock trades on the New York Stock Exchange and the NYSE Texas under the symbol "NRG". NRG's authorized capital stock consists of 500,000,000 shares of common stock and 10,000,000 shares of preferred stock. A total of 25,000,000 shares of the Company's common stock are authorized for issuance under the NRG LTIP, and a total of 17,500,000 shares of common stock are authorized for issuance under the Vivint LTIP. For more information about the LTIPs, refer to Item 12 — S</w:t>
      </w:r>
      <w:r>
        <w:rPr>
          <w:rFonts w:ascii="Times New Roman" w:cs="Times New Roman" w:eastAsia="Times New Roman" w:hAnsi="Times New Roman"/>
          <w:sz w:val="18"/>
          <w:szCs w:val="18"/>
          <w:i w:val="1"/>
          <w:iCs w:val="1"/>
          <w:color w:val="auto"/>
        </w:rPr>
        <w:t>ecurity Ownership of Certain Beneficial Owners and Management and Related Stockholder Matters</w:t>
      </w:r>
      <w:r>
        <w:rPr>
          <w:rFonts w:ascii="Times New Roman" w:cs="Times New Roman" w:eastAsia="Times New Roman" w:hAnsi="Times New Roman"/>
          <w:sz w:val="18"/>
          <w:szCs w:val="18"/>
          <w:color w:val="auto"/>
        </w:rPr>
        <w:t xml:space="preserve"> and Item 15 — Note 20,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to the Consolidated Financial Statements</w:t>
      </w:r>
      <w:r>
        <w:rPr>
          <w:rFonts w:ascii="Times New Roman" w:cs="Times New Roman" w:eastAsia="Times New Roman" w:hAnsi="Times New Roman"/>
          <w:sz w:val="18"/>
          <w:szCs w:val="18"/>
          <w:i w:val="1"/>
          <w:iCs w:val="1"/>
          <w:color w:val="auto"/>
        </w:rPr>
        <w:t>.</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January 31, 2026, there were 13,562 common stockholders of record.</w:t>
      </w:r>
    </w:p>
    <w:p>
      <w:pPr>
        <w:spacing w:after="0" w:line="10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Company’s long-term capital allocation framework targets to return approximately 80% of excess cash to shareholders and invest 20% in growth initiatives, after debt reduction. The Company expects to return the capital to shareholders through share repurchases and dividends on its common stock.</w:t>
      </w:r>
    </w:p>
    <w:p>
      <w:pPr>
        <w:spacing w:after="0" w:line="6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2025, the Company increased the annual dividend on its common stock to $1.76 per share, representing an 8% increase from 2024. Consistent with its capital allocation framework, the Company further increased the annual dividend on its common stock by 8% to $1.90 per common share beginning in the first quarter of 2026. The long-term capital allocation policy targets an annual dividend growth rate of 7-9% per common share.</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NRG engages in share repurchase programs with the goal of returning excess cash to shareholders. The share repurchase plan permits the execution of the plan through open-market purchases, private transactions, accelerated share repurchases and other similar transactions. The timing, price and volume of repurchases is based on a number of factors, including available capital, market conditions, and compliance with associated laws and regulations.</w:t>
      </w:r>
    </w:p>
    <w:p>
      <w:pPr>
        <w:spacing w:after="0" w:line="7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 is actively repurchasing shares under its existing $3.7 billion share repurchase program, which began in 2023. On October 16, 2025, the Board of Directors authorized an additional share repurchase program of up to $3.0 billion, to be executed through 2028. For further information regarding share repurchases, see Item 15 — Note 15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 Structure</w:t>
      </w:r>
      <w:r>
        <w:rPr>
          <w:rFonts w:ascii="Times New Roman" w:cs="Times New Roman" w:eastAsia="Times New Roman" w:hAnsi="Times New Roman"/>
          <w:sz w:val="18"/>
          <w:szCs w:val="18"/>
          <w:color w:val="auto"/>
        </w:rPr>
        <w:t xml:space="preserve"> in this Annual Report on Form 10-K.</w:t>
      </w:r>
    </w:p>
    <w:p>
      <w:pPr>
        <w:spacing w:after="0" w:line="7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table below sets forth the information with respect to purchases made by or on behalf of NRG or any "affiliated purchaser" (as defined in Rule 10b-18(a)(3) under the Exchange Act) of NRG's common stock during the quarter ended December 31, 2025:</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31,</w:t>
            </w:r>
          </w:p>
        </w:tc>
        <w:tc>
          <w:tcPr>
            <w:tcW w:w="1400" w:type="dxa"/>
            <w:vAlign w:val="bottom"/>
            <w:vMerge w:val="restart"/>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15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Average Price Paid per</w:t>
            </w: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 Shares Purchased as</w:t>
            </w:r>
          </w:p>
        </w:tc>
        <w:tc>
          <w:tcPr>
            <w:tcW w:w="100" w:type="dxa"/>
            <w:vAlign w:val="bottom"/>
          </w:tcPr>
          <w:p>
            <w:pPr>
              <w:spacing w:after="0"/>
              <w:rPr>
                <w:sz w:val="13"/>
                <w:szCs w:val="13"/>
                <w:color w:val="auto"/>
              </w:rPr>
            </w:pPr>
          </w:p>
        </w:tc>
        <w:tc>
          <w:tcPr>
            <w:tcW w:w="2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Approximate Dollar Value of Shares that May</w:t>
            </w:r>
          </w:p>
        </w:tc>
        <w:tc>
          <w:tcPr>
            <w:tcW w:w="0" w:type="dxa"/>
            <w:vAlign w:val="bottom"/>
          </w:tcPr>
          <w:p>
            <w:pPr>
              <w:spacing w:after="0"/>
              <w:rPr>
                <w:sz w:val="1"/>
                <w:szCs w:val="1"/>
                <w:color w:val="auto"/>
              </w:rPr>
            </w:pPr>
          </w:p>
        </w:tc>
      </w:tr>
      <w:tr>
        <w:trPr>
          <w:trHeight w:val="143"/>
        </w:trPr>
        <w:tc>
          <w:tcPr>
            <w:tcW w:w="2680" w:type="dxa"/>
            <w:vAlign w:val="bottom"/>
            <w:gridSpan w:val="2"/>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25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Part of Publicly Announced Plans or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20" w:type="dxa"/>
            <w:vAlign w:val="bottom"/>
          </w:tcPr>
          <w:p>
            <w:pPr>
              <w:jc w:val="right"/>
              <w:ind w:right="219"/>
              <w:spacing w:after="0" w:line="143" w:lineRule="exact"/>
              <w:rPr>
                <w:sz w:val="20"/>
                <w:szCs w:val="20"/>
                <w:color w:val="auto"/>
              </w:rPr>
            </w:pPr>
            <w:r>
              <w:rPr>
                <w:rFonts w:ascii="Times New Roman" w:cs="Times New Roman" w:eastAsia="Times New Roman" w:hAnsi="Times New Roman"/>
                <w:sz w:val="14"/>
                <w:szCs w:val="14"/>
                <w:b w:val="1"/>
                <w:bCs w:val="1"/>
                <w:color w:val="auto"/>
              </w:rPr>
              <w:t>Yet Be Purchased Under the Plans or</w:t>
            </w:r>
          </w:p>
        </w:tc>
        <w:tc>
          <w:tcPr>
            <w:tcW w:w="0" w:type="dxa"/>
            <w:vAlign w:val="bottom"/>
          </w:tcPr>
          <w:p>
            <w:pPr>
              <w:spacing w:after="0"/>
              <w:rPr>
                <w:sz w:val="1"/>
                <w:szCs w:val="1"/>
                <w:color w:val="auto"/>
              </w:rPr>
            </w:pPr>
          </w:p>
        </w:tc>
      </w:tr>
      <w:tr>
        <w:trPr>
          <w:trHeight w:val="197"/>
        </w:trPr>
        <w:tc>
          <w:tcPr>
            <w:tcW w:w="258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400" w:type="dxa"/>
            <w:vAlign w:val="bottom"/>
          </w:tcPr>
          <w:p>
            <w:pPr>
              <w:jc w:val="right"/>
              <w:ind w:right="38"/>
              <w:spacing w:after="0" w:line="197" w:lineRule="exact"/>
              <w:rPr>
                <w:sz w:val="20"/>
                <w:szCs w:val="20"/>
                <w:color w:val="auto"/>
              </w:rPr>
            </w:pPr>
            <w:r>
              <w:rPr>
                <w:rFonts w:ascii="Times New Roman" w:cs="Times New Roman" w:eastAsia="Times New Roman" w:hAnsi="Times New Roman"/>
                <w:sz w:val="14"/>
                <w:szCs w:val="14"/>
                <w:b w:val="1"/>
                <w:bCs w:val="1"/>
                <w:color w:val="auto"/>
              </w:rPr>
              <w:t>Shares Purchased</w:t>
            </w:r>
            <w:r>
              <w:rPr>
                <w:rFonts w:ascii="Times New Roman" w:cs="Times New Roman" w:eastAsia="Times New Roman" w:hAnsi="Times New Roman"/>
                <w:sz w:val="18"/>
                <w:szCs w:val="18"/>
                <w:b w:val="1"/>
                <w:bCs w:val="1"/>
                <w:color w:val="auto"/>
                <w:vertAlign w:val="superscript"/>
              </w:rPr>
              <w:t>(a)</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center"/>
              <w:ind w:right="400"/>
              <w:spacing w:after="0" w:line="197" w:lineRule="exact"/>
              <w:rPr>
                <w:sz w:val="20"/>
                <w:szCs w:val="20"/>
                <w:color w:val="auto"/>
              </w:rPr>
            </w:pPr>
            <w:r>
              <w:rPr>
                <w:rFonts w:ascii="Times New Roman" w:cs="Times New Roman" w:eastAsia="Times New Roman" w:hAnsi="Times New Roman"/>
                <w:sz w:val="14"/>
                <w:szCs w:val="14"/>
                <w:b w:val="1"/>
                <w:bCs w:val="1"/>
                <w:color w:val="auto"/>
                <w:w w:val="88"/>
              </w:rPr>
              <w:t>Share</w:t>
            </w:r>
            <w:r>
              <w:rPr>
                <w:rFonts w:ascii="Times New Roman" w:cs="Times New Roman" w:eastAsia="Times New Roman" w:hAnsi="Times New Roman"/>
                <w:sz w:val="18"/>
                <w:szCs w:val="18"/>
                <w:b w:val="1"/>
                <w:bCs w:val="1"/>
                <w:color w:val="auto"/>
                <w:w w:val="88"/>
                <w:vertAlign w:val="superscript"/>
              </w:rPr>
              <w:t>(b)</w:t>
            </w: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Programs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2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Programs (in millions)</w:t>
            </w:r>
            <w:r>
              <w:rPr>
                <w:rFonts w:ascii="Times New Roman" w:cs="Times New Roman" w:eastAsia="Times New Roman" w:hAnsi="Times New Roman"/>
                <w:sz w:val="9"/>
                <w:szCs w:val="9"/>
                <w:b w:val="1"/>
                <w:bCs w:val="1"/>
                <w:color w:val="auto"/>
              </w:rPr>
              <w:t>(c)(d)</w:t>
            </w:r>
          </w:p>
        </w:tc>
        <w:tc>
          <w:tcPr>
            <w:tcW w:w="0" w:type="dxa"/>
            <w:vAlign w:val="bottom"/>
          </w:tcPr>
          <w:p>
            <w:pPr>
              <w:spacing w:after="0"/>
              <w:rPr>
                <w:sz w:val="1"/>
                <w:szCs w:val="1"/>
                <w:color w:val="auto"/>
              </w:rPr>
            </w:pPr>
          </w:p>
        </w:tc>
      </w:tr>
      <w:tr>
        <w:trPr>
          <w:trHeight w:val="217"/>
        </w:trPr>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Month #1</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68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(October 1, 2025 to October 31,</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772,500</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167.41</w:t>
            </w:r>
          </w:p>
        </w:tc>
        <w:tc>
          <w:tcPr>
            <w:tcW w:w="100" w:type="dxa"/>
            <w:vAlign w:val="bottom"/>
          </w:tcPr>
          <w:p>
            <w:pPr>
              <w:spacing w:after="0"/>
              <w:rPr>
                <w:sz w:val="20"/>
                <w:szCs w:val="20"/>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772,500</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0" w:type="dxa"/>
            <w:vAlign w:val="bottom"/>
          </w:tcPr>
          <w:p>
            <w:pPr>
              <w:spacing w:after="0"/>
              <w:rPr>
                <w:sz w:val="1"/>
                <w:szCs w:val="1"/>
                <w:color w:val="auto"/>
              </w:rPr>
            </w:pPr>
          </w:p>
        </w:tc>
      </w:tr>
      <w:tr>
        <w:trPr>
          <w:trHeight w:val="224"/>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Month #2</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68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(November 1, 2025 to November</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30, 2025)</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701,166</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166.92</w:t>
            </w:r>
          </w:p>
        </w:tc>
        <w:tc>
          <w:tcPr>
            <w:tcW w:w="100" w:type="dxa"/>
            <w:vAlign w:val="bottom"/>
          </w:tcPr>
          <w:p>
            <w:pPr>
              <w:spacing w:after="0"/>
              <w:rPr>
                <w:sz w:val="20"/>
                <w:szCs w:val="20"/>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701,166</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0" w:type="dxa"/>
            <w:vAlign w:val="bottom"/>
          </w:tcPr>
          <w:p>
            <w:pPr>
              <w:spacing w:after="0"/>
              <w:rPr>
                <w:sz w:val="1"/>
                <w:szCs w:val="1"/>
                <w:color w:val="auto"/>
              </w:rPr>
            </w:pPr>
          </w:p>
        </w:tc>
      </w:tr>
      <w:tr>
        <w:trPr>
          <w:trHeight w:val="224"/>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Month #3</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68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(December 1, 2025 to December</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31, 2025)</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623,463</w:t>
            </w:r>
          </w:p>
        </w:tc>
        <w:tc>
          <w:tcPr>
            <w:tcW w:w="400" w:type="dxa"/>
            <w:vAlign w:val="bottom"/>
            <w:tcBorders>
              <w:bottom w:val="single" w:sz="8" w:color="CCEEFF"/>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162.29</w:t>
            </w:r>
          </w:p>
        </w:tc>
        <w:tc>
          <w:tcPr>
            <w:tcW w:w="100" w:type="dxa"/>
            <w:vAlign w:val="bottom"/>
            <w:tcBorders>
              <w:bottom w:val="single" w:sz="8" w:color="CCEEFF"/>
            </w:tcBorders>
          </w:tcPr>
          <w:p>
            <w:pPr>
              <w:spacing w:after="0"/>
              <w:rPr>
                <w:sz w:val="20"/>
                <w:szCs w:val="20"/>
                <w:color w:val="auto"/>
              </w:rPr>
            </w:pPr>
          </w:p>
        </w:tc>
        <w:tc>
          <w:tcPr>
            <w:tcW w:w="2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623,463</w:t>
            </w:r>
          </w:p>
        </w:tc>
        <w:tc>
          <w:tcPr>
            <w:tcW w:w="3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0" w:type="dxa"/>
            <w:vAlign w:val="bottom"/>
          </w:tcPr>
          <w:p>
            <w:pPr>
              <w:spacing w:after="0"/>
              <w:rPr>
                <w:sz w:val="1"/>
                <w:szCs w:val="1"/>
                <w:color w:val="auto"/>
              </w:rPr>
            </w:pPr>
          </w:p>
        </w:tc>
      </w:tr>
      <w:tr>
        <w:trPr>
          <w:trHeight w:val="242"/>
        </w:trPr>
        <w:tc>
          <w:tcPr>
            <w:tcW w:w="2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at December 31, 2025</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2,097,129</w:t>
            </w:r>
          </w:p>
        </w:tc>
        <w:tc>
          <w:tcPr>
            <w:tcW w:w="4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165.72</w:t>
            </w:r>
          </w:p>
        </w:tc>
        <w:tc>
          <w:tcPr>
            <w:tcW w:w="10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2,097,129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400" w:hanging="395"/>
        <w:spacing w:after="0"/>
        <w:tabs>
          <w:tab w:leader="none" w:pos="4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 repurchases made under the $3.7 billion share repurchase authorization</w:t>
      </w:r>
    </w:p>
    <w:p>
      <w:pPr>
        <w:spacing w:after="0" w:line="12"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price paid per share excludes excise taxes owed and commissions per share paid in connection with the open market share repurchases</w:t>
      </w:r>
    </w:p>
    <w:p>
      <w:pPr>
        <w:spacing w:after="0" w:line="5"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commissions paid in connection with the open market share repurchases</w:t>
      </w:r>
    </w:p>
    <w:p>
      <w:pPr>
        <w:spacing w:after="0" w:line="10"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additional share repurchase program of up to $3.0 billion authorized by the Board of Directors on October 16,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3" w:name="page44"/>
    <w:bookmarkEnd w:id="43"/>
    <w:p>
      <w:pPr>
        <w:ind w:left="400"/>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11" w:lineRule="exact"/>
        <w:rPr>
          <w:sz w:val="20"/>
          <w:szCs w:val="20"/>
          <w:color w:val="auto"/>
        </w:rPr>
      </w:pPr>
    </w:p>
    <w:p>
      <w:pPr>
        <w:jc w:val="both"/>
        <w:ind w:right="100" w:firstLine="395"/>
        <w:spacing w:after="0" w:line="256" w:lineRule="auto"/>
        <w:rPr>
          <w:sz w:val="20"/>
          <w:szCs w:val="20"/>
          <w:color w:val="auto"/>
        </w:rPr>
      </w:pPr>
      <w:r>
        <w:rPr>
          <w:rFonts w:ascii="Times New Roman" w:cs="Times New Roman" w:eastAsia="Times New Roman" w:hAnsi="Times New Roman"/>
          <w:sz w:val="18"/>
          <w:szCs w:val="18"/>
          <w:color w:val="auto"/>
        </w:rPr>
        <w:t>The performance graph below compares the cumulative total stockholder return on NRG's common stock for the period December 31, 2020 through December 31, 2025, with the cumulative total return of the Standard &amp; Poor's 500 Composite Stock Price Index ("S&amp;P 500") and the Philadelphia Utility Sector Index ("UTY").</w:t>
      </w:r>
    </w:p>
    <w:p>
      <w:pPr>
        <w:spacing w:after="0" w:line="75" w:lineRule="exact"/>
        <w:rPr>
          <w:sz w:val="20"/>
          <w:szCs w:val="20"/>
          <w:color w:val="auto"/>
        </w:rPr>
      </w:pPr>
    </w:p>
    <w:p>
      <w:pPr>
        <w:jc w:val="both"/>
        <w:ind w:right="100" w:firstLine="395"/>
        <w:spacing w:after="0" w:line="268" w:lineRule="auto"/>
        <w:rPr>
          <w:sz w:val="20"/>
          <w:szCs w:val="20"/>
          <w:color w:val="auto"/>
        </w:rPr>
      </w:pPr>
      <w:r>
        <w:rPr>
          <w:rFonts w:ascii="Times New Roman" w:cs="Times New Roman" w:eastAsia="Times New Roman" w:hAnsi="Times New Roman"/>
          <w:sz w:val="18"/>
          <w:szCs w:val="18"/>
          <w:color w:val="auto"/>
        </w:rPr>
        <w:t>The performance graph shown below is being furnished and compares each period assuming that $100 was invested on December 31, 2020, in each of the common stock of NRG, the stocks included in the S&amp;P 500 and the stocks included in the UTY, and that all dividends were reinvested.</w:t>
      </w:r>
    </w:p>
    <w:p>
      <w:pPr>
        <w:spacing w:after="0" w:line="6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Comparison of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964565</wp:posOffset>
            </wp:positionH>
            <wp:positionV relativeFrom="paragraph">
              <wp:posOffset>165735</wp:posOffset>
            </wp:positionV>
            <wp:extent cx="5464810" cy="27990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64810" cy="2799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40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12/31/2020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12/31/2021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12/31/2022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12/31/2023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12/31/2024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12/31/202</w:t>
            </w:r>
          </w:p>
        </w:tc>
      </w:tr>
      <w:tr>
        <w:trPr>
          <w:trHeight w:val="21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NRG Energy, Inc.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24"/>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24"/>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UTY</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 Reserved</w:t>
      </w:r>
    </w:p>
    <w:p>
      <w:pPr>
        <w:spacing w:after="0" w:line="240" w:lineRule="exact"/>
        <w:rPr>
          <w:sz w:val="20"/>
          <w:szCs w:val="20"/>
          <w:color w:val="auto"/>
        </w:rPr>
      </w:pPr>
    </w:p>
    <w:p>
      <w:pPr>
        <w:ind w:left="400" w:right="3300" w:firstLine="237"/>
        <w:spacing w:after="0" w:line="367" w:lineRule="auto"/>
        <w:rPr>
          <w:sz w:val="20"/>
          <w:szCs w:val="20"/>
          <w:color w:val="auto"/>
        </w:rPr>
      </w:pPr>
      <w:r>
        <w:rPr>
          <w:rFonts w:ascii="Times New Roman" w:cs="Times New Roman" w:eastAsia="Times New Roman" w:hAnsi="Times New Roman"/>
          <w:sz w:val="18"/>
          <w:szCs w:val="18"/>
          <w:b w:val="1"/>
          <w:bCs w:val="1"/>
          <w:color w:val="auto"/>
        </w:rPr>
        <w:t xml:space="preserve">Item 7 — Management's Discussion and Analysis of Financial Condition and Results of Operations </w:t>
      </w:r>
      <w:r>
        <w:rPr>
          <w:rFonts w:ascii="Times New Roman" w:cs="Times New Roman" w:eastAsia="Times New Roman" w:hAnsi="Times New Roman"/>
          <w:sz w:val="18"/>
          <w:szCs w:val="18"/>
          <w:color w:val="auto"/>
        </w:rPr>
        <w:t>The discussion and analysis below has been organized as follows:</w:t>
      </w:r>
    </w:p>
    <w:p>
      <w:pPr>
        <w:spacing w:after="0" w:line="1" w:lineRule="exact"/>
        <w:rPr>
          <w:sz w:val="20"/>
          <w:szCs w:val="20"/>
          <w:color w:val="auto"/>
        </w:rPr>
      </w:pPr>
    </w:p>
    <w:p>
      <w:pPr>
        <w:ind w:left="640" w:right="100" w:hanging="319"/>
        <w:spacing w:after="0" w:line="308" w:lineRule="auto"/>
        <w:tabs>
          <w:tab w:leader="none" w:pos="636"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Summary, including the business environment in which the Company operates, a discussion of regulation, weather, competition and other factors that affect the business, and other significant events that are important to understanding the results of operations and financial condition;</w:t>
      </w:r>
    </w:p>
    <w:p>
      <w:pPr>
        <w:spacing w:after="0" w:line="1" w:lineRule="exact"/>
        <w:rPr>
          <w:rFonts w:ascii="Times New Roman" w:cs="Times New Roman" w:eastAsia="Times New Roman" w:hAnsi="Times New Roman"/>
          <w:sz w:val="16"/>
          <w:szCs w:val="16"/>
          <w:color w:val="auto"/>
        </w:rPr>
      </w:pPr>
    </w:p>
    <w:p>
      <w:pPr>
        <w:ind w:left="640" w:right="100" w:hanging="319"/>
        <w:spacing w:after="0" w:line="268" w:lineRule="auto"/>
        <w:tabs>
          <w:tab w:leader="none" w:pos="6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for the years ended December 31, 2025 and December 31, 2024, including an explanation of significant differences between the periods in the specific line items of NRG's Consolidated Statements of Operations;</w:t>
      </w:r>
    </w:p>
    <w:p>
      <w:pPr>
        <w:spacing w:after="0" w:line="11" w:lineRule="exact"/>
        <w:rPr>
          <w:rFonts w:ascii="Times New Roman" w:cs="Times New Roman" w:eastAsia="Times New Roman" w:hAnsi="Times New Roman"/>
          <w:sz w:val="18"/>
          <w:szCs w:val="18"/>
          <w:color w:val="auto"/>
        </w:rPr>
      </w:pPr>
    </w:p>
    <w:p>
      <w:pPr>
        <w:ind w:left="640" w:right="100" w:hanging="319"/>
        <w:spacing w:after="0" w:line="268" w:lineRule="auto"/>
        <w:tabs>
          <w:tab w:leader="none" w:pos="6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 including liquidity position, financial condition addressing credit ratings, material cash requirements and commitments, and other obligations; and</w:t>
      </w:r>
    </w:p>
    <w:p>
      <w:pPr>
        <w:spacing w:after="0" w:line="11" w:lineRule="exact"/>
        <w:rPr>
          <w:rFonts w:ascii="Times New Roman" w:cs="Times New Roman" w:eastAsia="Times New Roman" w:hAnsi="Times New Roman"/>
          <w:sz w:val="18"/>
          <w:szCs w:val="18"/>
          <w:color w:val="auto"/>
        </w:rPr>
      </w:pPr>
    </w:p>
    <w:p>
      <w:pPr>
        <w:ind w:left="640" w:right="100" w:hanging="319"/>
        <w:spacing w:after="0" w:line="268" w:lineRule="auto"/>
        <w:tabs>
          <w:tab w:leader="none" w:pos="6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estimates that are most important to both the portrayal of the Company's financial condition and results of operations, and require management's most difficult, subjective, or complex judgments.</w:t>
      </w:r>
    </w:p>
    <w:p>
      <w:pPr>
        <w:spacing w:after="0" w:line="64" w:lineRule="exact"/>
        <w:rPr>
          <w:sz w:val="20"/>
          <w:szCs w:val="20"/>
          <w:color w:val="auto"/>
        </w:rPr>
      </w:pPr>
    </w:p>
    <w:p>
      <w:pPr>
        <w:jc w:val="both"/>
        <w:ind w:right="100" w:firstLine="395"/>
        <w:spacing w:after="0" w:line="252" w:lineRule="auto"/>
        <w:rPr>
          <w:sz w:val="20"/>
          <w:szCs w:val="20"/>
          <w:color w:val="auto"/>
        </w:rPr>
      </w:pPr>
      <w:r>
        <w:rPr>
          <w:rFonts w:ascii="Times New Roman" w:cs="Times New Roman" w:eastAsia="Times New Roman" w:hAnsi="Times New Roman"/>
          <w:sz w:val="18"/>
          <w:szCs w:val="18"/>
          <w:color w:val="auto"/>
        </w:rPr>
        <w:t xml:space="preserve">As you read this discussion and analysis, refer to NRG's Consolidated Statements of Operations in this Annual Report on Form 10-K, which present the results of the Company's operations for the years ended December 31, 2025 and 2024, and also refer to Item 1 — Business to this Annual Report on Form 10-K for more detail discussion about the Company's business. A discussion and analysis of fiscal year 2023 may be found in Part II, Item 7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Management's Discussion and Analysis of</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869"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Financial Condition and Results of Operations of the Annual Report on Form 10-K for the fiscal year ended December 31, 2024.</w:t>
      </w:r>
    </w:p>
    <w:p>
      <w:pPr>
        <w:spacing w:after="0" w:line="10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The following discussion and analysis also contains forward-looking statements, including, without limitation, statements relating to NRG’s plans, strategies, objectives, expectations, intentions, and resources. Such forward-looking statements should be read in conjunction with the disclosures under Item 1A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this Annual Report on Form 10-K.</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NRG Energy, Inc., or NRG or the Company, serves electricity, natural gas, and smart-home technology solutions to approximately 8 million residential customers (comprised of 6 million retail energy and 2 million smart home), in addition to large commercial and industrial, data center, and wholesale customers. Across North America, NRG is redefining customers’ experience with energy under brand names such as NRG, Reliant, Direct Energy, Green Mountain Energy, and Vivint. As of December 31, 2025 the Company’s core power and natural gas business consists of approximately 12 GW of competitive power generation, primarily in Texas, and a natural gas portfolio that serves approximately 1,900 MMDth annually.</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Business Environment</w:t>
      </w:r>
    </w:p>
    <w:p>
      <w:pPr>
        <w:spacing w:after="0" w:line="113" w:lineRule="exact"/>
        <w:rPr>
          <w:sz w:val="20"/>
          <w:szCs w:val="20"/>
          <w:color w:val="auto"/>
        </w:rPr>
      </w:pPr>
    </w:p>
    <w:p>
      <w:pPr>
        <w:jc w:val="both"/>
        <w:ind w:firstLine="410"/>
        <w:spacing w:after="0" w:line="268" w:lineRule="auto"/>
        <w:rPr>
          <w:sz w:val="20"/>
          <w:szCs w:val="20"/>
          <w:color w:val="auto"/>
        </w:rPr>
      </w:pPr>
      <w:r>
        <w:rPr>
          <w:rFonts w:ascii="Times New Roman" w:cs="Times New Roman" w:eastAsia="Times New Roman" w:hAnsi="Times New Roman"/>
          <w:sz w:val="18"/>
          <w:szCs w:val="18"/>
          <w:color w:val="auto"/>
        </w:rPr>
        <w:t>The industry dynamics and external influences affecting the Company, its businesses, and the retail energy and power generation industry in 2025 and for the future medium term include:</w:t>
      </w:r>
    </w:p>
    <w:p>
      <w:pPr>
        <w:spacing w:after="0" w:line="62" w:lineRule="exact"/>
        <w:rPr>
          <w:sz w:val="20"/>
          <w:szCs w:val="20"/>
          <w:color w:val="auto"/>
        </w:rPr>
      </w:pPr>
    </w:p>
    <w:p>
      <w:pPr>
        <w:jc w:val="both"/>
        <w:ind w:firstLine="41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Market Dynamics </w:t>
      </w:r>
      <w:r>
        <w:rPr>
          <w:rFonts w:ascii="Times New Roman" w:cs="Times New Roman" w:eastAsia="Times New Roman" w:hAnsi="Times New Roman"/>
          <w:sz w:val="18"/>
          <w:szCs w:val="18"/>
          <w:color w:val="auto"/>
        </w:rPr>
        <w:t>— The price of natural gas plays an important role in setting the price of electricity in many of the regions where NRG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operates. Natural gas prices are driven by variables including demand from the industrial, residential, and electric sectors, productivity across natural gas supply basins, costs of natural gas production, changes in pipeline infrastructure, global liquified natural gas demand, exports of natural gas, and the financial and hedging profile of natural gas customers and producers. In 2025, the average natural gas price at Henry Hub was $3.43 per MMBtu compared to $2.27 per MMBtu in 2024, representing an increase of 51%.</w:t>
      </w:r>
    </w:p>
    <w:p>
      <w:pPr>
        <w:spacing w:after="0" w:line="82" w:lineRule="exact"/>
        <w:rPr>
          <w:sz w:val="20"/>
          <w:szCs w:val="20"/>
          <w:color w:val="auto"/>
        </w:rPr>
      </w:pPr>
    </w:p>
    <w:p>
      <w:pPr>
        <w:jc w:val="both"/>
        <w:ind w:firstLine="410"/>
        <w:spacing w:after="0" w:line="252" w:lineRule="auto"/>
        <w:rPr>
          <w:sz w:val="20"/>
          <w:szCs w:val="20"/>
          <w:color w:val="auto"/>
        </w:rPr>
      </w:pPr>
      <w:r>
        <w:rPr>
          <w:rFonts w:ascii="Times New Roman" w:cs="Times New Roman" w:eastAsia="Times New Roman" w:hAnsi="Times New Roman"/>
          <w:sz w:val="18"/>
          <w:szCs w:val="18"/>
          <w:color w:val="auto"/>
        </w:rPr>
        <w:t>NRG may experience impacts to gross margins due to significant, rapid changes in current natural gas prices, the impact those prices have on power prices, and the lag in its ability to make a corresponding adjustment to the retail rates it charges customers on term and month to month contracts. The Company hedges its load commitments in order to mitigate the impact of changes in commodity prices, and as a result, these gross margin impacts would be realized in future periods until it is able to make the corresponding adjustments to the retail customer rates.</w:t>
      </w:r>
    </w:p>
    <w:p>
      <w:pPr>
        <w:spacing w:after="0" w:line="78" w:lineRule="exact"/>
        <w:rPr>
          <w:sz w:val="20"/>
          <w:szCs w:val="20"/>
          <w:color w:val="auto"/>
        </w:rPr>
      </w:pPr>
    </w:p>
    <w:p>
      <w:pPr>
        <w:jc w:val="both"/>
        <w:ind w:firstLine="410"/>
        <w:spacing w:after="0" w:line="268" w:lineRule="auto"/>
        <w:rPr>
          <w:sz w:val="20"/>
          <w:szCs w:val="20"/>
          <w:color w:val="auto"/>
        </w:rPr>
      </w:pPr>
      <w:r>
        <w:rPr>
          <w:rFonts w:ascii="Times New Roman" w:cs="Times New Roman" w:eastAsia="Times New Roman" w:hAnsi="Times New Roman"/>
          <w:sz w:val="18"/>
          <w:szCs w:val="18"/>
          <w:color w:val="auto"/>
        </w:rPr>
        <w:t>The relative price of natural gas as compared to coal and prevailing power prices are the primary driver of coal demand. Coal commodity prices increased slightly in 2025.</w:t>
      </w:r>
    </w:p>
    <w:p>
      <w:pPr>
        <w:spacing w:after="0" w:line="62" w:lineRule="exact"/>
        <w:rPr>
          <w:sz w:val="20"/>
          <w:szCs w:val="20"/>
          <w:color w:val="auto"/>
        </w:rPr>
      </w:pPr>
    </w:p>
    <w:p>
      <w:pPr>
        <w:jc w:val="both"/>
        <w:ind w:firstLine="41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Electricity Prices </w:t>
      </w:r>
      <w:r>
        <w:rPr>
          <w:rFonts w:ascii="Times New Roman" w:cs="Times New Roman" w:eastAsia="Times New Roman" w:hAnsi="Times New Roman"/>
          <w:sz w:val="18"/>
          <w:szCs w:val="18"/>
          <w:color w:val="auto"/>
        </w:rPr>
        <w:t>— The price of electricity is a key determinant of the profitability of the Company. Many variables such as the price of different fuels,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weather, load growth and unit availability all coalesce to impact the final price for electricity and the Company's profitability. An increase in supply cost volatility in the competitive retail markets may result in smaller companies choosing to exit the market, which may result in further consolidation in the competitive retail space. The following table summarizes average on-peak power prices for each of the major markets in which NRG operates.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160" w:type="dxa"/>
            <w:vAlign w:val="bottom"/>
            <w:tcBorders>
              <w:bottom w:val="single" w:sz="8" w:color="auto"/>
            </w:tcBorders>
            <w:gridSpan w:val="6"/>
          </w:tcPr>
          <w:p>
            <w:pPr>
              <w:ind w:left="880"/>
              <w:spacing w:after="0"/>
              <w:rPr>
                <w:sz w:val="20"/>
                <w:szCs w:val="20"/>
                <w:color w:val="auto"/>
              </w:rPr>
            </w:pPr>
            <w:r>
              <w:rPr>
                <w:rFonts w:ascii="Times New Roman" w:cs="Times New Roman" w:eastAsia="Times New Roman" w:hAnsi="Times New Roman"/>
                <w:sz w:val="18"/>
                <w:szCs w:val="18"/>
                <w:b w:val="1"/>
                <w:bCs w:val="1"/>
                <w:color w:val="auto"/>
              </w:rPr>
              <w:t>Average On-Peak Power Price ($/MWh)</w:t>
            </w:r>
          </w:p>
        </w:tc>
      </w:tr>
      <w:tr>
        <w:trPr>
          <w:trHeight w:val="217"/>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8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80" w:type="dxa"/>
            <w:vAlign w:val="bottom"/>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2025 vs 2024</w:t>
            </w:r>
          </w:p>
        </w:tc>
      </w:tr>
      <w:tr>
        <w:trPr>
          <w:trHeight w:val="177"/>
        </w:trPr>
        <w:tc>
          <w:tcPr>
            <w:tcW w:w="20" w:type="dxa"/>
            <w:vAlign w:val="bottom"/>
          </w:tcPr>
          <w:p>
            <w:pPr>
              <w:spacing w:after="0"/>
              <w:rPr>
                <w:sz w:val="15"/>
                <w:szCs w:val="15"/>
                <w:color w:val="auto"/>
              </w:rPr>
            </w:pPr>
          </w:p>
        </w:tc>
        <w:tc>
          <w:tcPr>
            <w:tcW w:w="566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Region</w:t>
            </w: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ind w:left="280"/>
              <w:spacing w:after="0" w:line="177"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612"/>
              <w:spacing w:after="0" w:line="177"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1880" w:type="dxa"/>
            <w:vAlign w:val="bottom"/>
            <w:tcBorders>
              <w:top w:val="single" w:sz="8" w:color="auto"/>
            </w:tcBorders>
          </w:tcPr>
          <w:p>
            <w:pPr>
              <w:jc w:val="right"/>
              <w:ind w:right="493"/>
              <w:spacing w:after="0" w:line="178" w:lineRule="exact"/>
              <w:rPr>
                <w:sz w:val="20"/>
                <w:szCs w:val="20"/>
                <w:color w:val="auto"/>
              </w:rPr>
            </w:pPr>
            <w:r>
              <w:rPr>
                <w:rFonts w:ascii="Times New Roman" w:cs="Times New Roman" w:eastAsia="Times New Roman" w:hAnsi="Times New Roman"/>
                <w:sz w:val="16"/>
                <w:szCs w:val="16"/>
                <w:b w:val="1"/>
                <w:bCs w:val="1"/>
                <w:color w:val="auto"/>
              </w:rPr>
              <w:t>Change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Texas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5660" w:type="dxa"/>
            <w:vAlign w:val="bottom"/>
            <w:gridSpan w:val="2"/>
          </w:tcPr>
          <w:p>
            <w:pPr>
              <w:ind w:left="200"/>
              <w:spacing w:after="0" w:line="224" w:lineRule="exact"/>
              <w:rPr>
                <w:sz w:val="20"/>
                <w:szCs w:val="20"/>
                <w:color w:val="auto"/>
              </w:rPr>
            </w:pPr>
            <w:r>
              <w:rPr>
                <w:rFonts w:ascii="Times New Roman" w:cs="Times New Roman" w:eastAsia="Times New Roman" w:hAnsi="Times New Roman"/>
                <w:sz w:val="18"/>
                <w:szCs w:val="18"/>
                <w:color w:val="auto"/>
              </w:rPr>
              <w:t>ERCOT - Houston</w:t>
            </w:r>
            <w:r>
              <w:rPr>
                <w:rFonts w:ascii="Times New Roman" w:cs="Times New Roman" w:eastAsia="Times New Roman" w:hAnsi="Times New Roman"/>
                <w:sz w:val="22"/>
                <w:szCs w:val="22"/>
                <w:color w:val="auto"/>
                <w:vertAlign w:val="superscript"/>
              </w:rPr>
              <w:t>(a)</w:t>
            </w: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38.04</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4"/>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200"/>
              <w:spacing w:after="0" w:line="224" w:lineRule="exact"/>
              <w:rPr>
                <w:sz w:val="20"/>
                <w:szCs w:val="20"/>
                <w:color w:val="auto"/>
              </w:rPr>
            </w:pPr>
            <w:r>
              <w:rPr>
                <w:rFonts w:ascii="Times New Roman" w:cs="Times New Roman" w:eastAsia="Times New Roman" w:hAnsi="Times New Roman"/>
                <w:sz w:val="18"/>
                <w:szCs w:val="18"/>
                <w:color w:val="auto"/>
              </w:rPr>
              <w:t>ERCOT - North</w:t>
            </w:r>
            <w:r>
              <w:rPr>
                <w:rFonts w:ascii="Times New Roman" w:cs="Times New Roman" w:eastAsia="Times New Roman" w:hAnsi="Times New Roman"/>
                <w:sz w:val="22"/>
                <w:szCs w:val="22"/>
                <w:color w:val="auto"/>
                <w:vertAlign w:val="superscript"/>
              </w:rPr>
              <w:t>(a)</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36.21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4"/>
        </w:trPr>
        <w:tc>
          <w:tcPr>
            <w:tcW w:w="20" w:type="dxa"/>
            <w:vAlign w:val="bottom"/>
          </w:tcPr>
          <w:p>
            <w:pPr>
              <w:spacing w:after="0"/>
              <w:rPr>
                <w:sz w:val="19"/>
                <w:szCs w:val="19"/>
                <w:color w:val="auto"/>
              </w:rPr>
            </w:pPr>
          </w:p>
        </w:tc>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East</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4"/>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200"/>
              <w:spacing w:after="0" w:line="224" w:lineRule="exact"/>
              <w:rPr>
                <w:sz w:val="20"/>
                <w:szCs w:val="20"/>
                <w:color w:val="auto"/>
              </w:rPr>
            </w:pPr>
            <w:r>
              <w:rPr>
                <w:rFonts w:ascii="Times New Roman" w:cs="Times New Roman" w:eastAsia="Times New Roman" w:hAnsi="Times New Roman"/>
                <w:sz w:val="18"/>
                <w:szCs w:val="18"/>
                <w:color w:val="auto"/>
              </w:rPr>
              <w:t>NY J/NYC</w:t>
            </w:r>
            <w:r>
              <w:rPr>
                <w:rFonts w:ascii="Times New Roman" w:cs="Times New Roman" w:eastAsia="Times New Roman" w:hAnsi="Times New Roman"/>
                <w:sz w:val="22"/>
                <w:szCs w:val="22"/>
                <w:color w:val="auto"/>
                <w:vertAlign w:val="superscript"/>
              </w:rPr>
              <w:t>(b)</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76.55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24"/>
        </w:trPr>
        <w:tc>
          <w:tcPr>
            <w:tcW w:w="20" w:type="dxa"/>
            <w:vAlign w:val="bottom"/>
          </w:tcPr>
          <w:p>
            <w:pPr>
              <w:spacing w:after="0"/>
              <w:rPr>
                <w:sz w:val="19"/>
                <w:szCs w:val="19"/>
                <w:color w:val="auto"/>
              </w:rPr>
            </w:pPr>
          </w:p>
        </w:tc>
        <w:tc>
          <w:tcPr>
            <w:tcW w:w="5660" w:type="dxa"/>
            <w:vAlign w:val="bottom"/>
            <w:gridSpan w:val="2"/>
          </w:tcPr>
          <w:p>
            <w:pPr>
              <w:ind w:left="200"/>
              <w:spacing w:after="0" w:line="224" w:lineRule="exact"/>
              <w:rPr>
                <w:sz w:val="20"/>
                <w:szCs w:val="20"/>
                <w:color w:val="auto"/>
              </w:rPr>
            </w:pPr>
            <w:r>
              <w:rPr>
                <w:rFonts w:ascii="Times New Roman" w:cs="Times New Roman" w:eastAsia="Times New Roman" w:hAnsi="Times New Roman"/>
                <w:sz w:val="18"/>
                <w:szCs w:val="18"/>
                <w:color w:val="auto"/>
              </w:rPr>
              <w:t>NEPOOL</w:t>
            </w:r>
            <w:r>
              <w:rPr>
                <w:rFonts w:ascii="Times New Roman" w:cs="Times New Roman" w:eastAsia="Times New Roman" w:hAnsi="Times New Roman"/>
                <w:sz w:val="22"/>
                <w:szCs w:val="22"/>
                <w:color w:val="auto"/>
                <w:vertAlign w:val="superscript"/>
              </w:rPr>
              <w:t>(b)</w:t>
            </w:r>
          </w:p>
        </w:tc>
        <w:tc>
          <w:tcPr>
            <w:tcW w:w="400" w:type="dxa"/>
            <w:vAlign w:val="bottom"/>
          </w:tcPr>
          <w:p>
            <w:pPr>
              <w:spacing w:after="0"/>
              <w:rPr>
                <w:sz w:val="19"/>
                <w:szCs w:val="19"/>
                <w:color w:val="auto"/>
              </w:rPr>
            </w:pPr>
          </w:p>
        </w:tc>
        <w:tc>
          <w:tcPr>
            <w:tcW w:w="1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75.58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24"/>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200"/>
              <w:spacing w:after="0" w:line="224" w:lineRule="exact"/>
              <w:rPr>
                <w:sz w:val="20"/>
                <w:szCs w:val="20"/>
                <w:color w:val="auto"/>
              </w:rPr>
            </w:pPr>
            <w:r>
              <w:rPr>
                <w:rFonts w:ascii="Times New Roman" w:cs="Times New Roman" w:eastAsia="Times New Roman" w:hAnsi="Times New Roman"/>
                <w:sz w:val="18"/>
                <w:szCs w:val="18"/>
                <w:color w:val="auto"/>
              </w:rPr>
              <w:t>COMED (PJM)</w:t>
            </w:r>
            <w:r>
              <w:rPr>
                <w:rFonts w:ascii="Times New Roman" w:cs="Times New Roman" w:eastAsia="Times New Roman" w:hAnsi="Times New Roman"/>
                <w:sz w:val="22"/>
                <w:szCs w:val="22"/>
                <w:color w:val="auto"/>
                <w:vertAlign w:val="superscript"/>
              </w:rPr>
              <w:t>(b)</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46.24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24"/>
        </w:trPr>
        <w:tc>
          <w:tcPr>
            <w:tcW w:w="20" w:type="dxa"/>
            <w:vAlign w:val="bottom"/>
          </w:tcPr>
          <w:p>
            <w:pPr>
              <w:spacing w:after="0"/>
              <w:rPr>
                <w:sz w:val="19"/>
                <w:szCs w:val="19"/>
                <w:color w:val="auto"/>
              </w:rPr>
            </w:pPr>
          </w:p>
        </w:tc>
        <w:tc>
          <w:tcPr>
            <w:tcW w:w="5660" w:type="dxa"/>
            <w:vAlign w:val="bottom"/>
            <w:gridSpan w:val="2"/>
          </w:tcPr>
          <w:p>
            <w:pPr>
              <w:ind w:left="200"/>
              <w:spacing w:after="0" w:line="224" w:lineRule="exact"/>
              <w:rPr>
                <w:sz w:val="20"/>
                <w:szCs w:val="20"/>
                <w:color w:val="auto"/>
              </w:rPr>
            </w:pPr>
            <w:r>
              <w:rPr>
                <w:rFonts w:ascii="Times New Roman" w:cs="Times New Roman" w:eastAsia="Times New Roman" w:hAnsi="Times New Roman"/>
                <w:sz w:val="18"/>
                <w:szCs w:val="18"/>
                <w:color w:val="auto"/>
              </w:rPr>
              <w:t>PJM West Hub</w:t>
            </w:r>
            <w:r>
              <w:rPr>
                <w:rFonts w:ascii="Times New Roman" w:cs="Times New Roman" w:eastAsia="Times New Roman" w:hAnsi="Times New Roman"/>
                <w:sz w:val="22"/>
                <w:szCs w:val="22"/>
                <w:color w:val="auto"/>
                <w:vertAlign w:val="superscript"/>
              </w:rPr>
              <w:t>(b)</w:t>
            </w:r>
          </w:p>
        </w:tc>
        <w:tc>
          <w:tcPr>
            <w:tcW w:w="400" w:type="dxa"/>
            <w:vAlign w:val="bottom"/>
          </w:tcPr>
          <w:p>
            <w:pPr>
              <w:spacing w:after="0"/>
              <w:rPr>
                <w:sz w:val="19"/>
                <w:szCs w:val="19"/>
                <w:color w:val="auto"/>
              </w:rPr>
            </w:pPr>
          </w:p>
        </w:tc>
        <w:tc>
          <w:tcPr>
            <w:tcW w:w="1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60.09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24"/>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5660" w:type="dxa"/>
            <w:vAlign w:val="bottom"/>
            <w:gridSpan w:val="2"/>
          </w:tcPr>
          <w:p>
            <w:pPr>
              <w:ind w:left="200"/>
              <w:spacing w:after="0" w:line="224" w:lineRule="exact"/>
              <w:rPr>
                <w:sz w:val="20"/>
                <w:szCs w:val="20"/>
                <w:color w:val="auto"/>
              </w:rPr>
            </w:pPr>
            <w:r>
              <w:rPr>
                <w:rFonts w:ascii="Times New Roman" w:cs="Times New Roman" w:eastAsia="Times New Roman" w:hAnsi="Times New Roman"/>
                <w:sz w:val="18"/>
                <w:szCs w:val="18"/>
                <w:color w:val="auto"/>
              </w:rPr>
              <w:t>CAISO - SP15</w:t>
            </w:r>
            <w:r>
              <w:rPr>
                <w:rFonts w:ascii="Times New Roman" w:cs="Times New Roman" w:eastAsia="Times New Roman" w:hAnsi="Times New Roman"/>
                <w:sz w:val="22"/>
                <w:szCs w:val="22"/>
                <w:color w:val="auto"/>
                <w:vertAlign w:val="superscript"/>
              </w:rPr>
              <w:t>(b)</w:t>
            </w:r>
          </w:p>
        </w:tc>
        <w:tc>
          <w:tcPr>
            <w:tcW w:w="400" w:type="dxa"/>
            <w:vAlign w:val="bottom"/>
          </w:tcPr>
          <w:p>
            <w:pPr>
              <w:spacing w:after="0"/>
              <w:rPr>
                <w:sz w:val="19"/>
                <w:szCs w:val="19"/>
                <w:color w:val="auto"/>
              </w:rPr>
            </w:pPr>
          </w:p>
        </w:tc>
        <w:tc>
          <w:tcPr>
            <w:tcW w:w="1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28.56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4"/>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200"/>
              <w:spacing w:after="0" w:line="224" w:lineRule="exact"/>
              <w:rPr>
                <w:sz w:val="20"/>
                <w:szCs w:val="20"/>
                <w:color w:val="auto"/>
              </w:rPr>
            </w:pPr>
            <w:r>
              <w:rPr>
                <w:rFonts w:ascii="Times New Roman" w:cs="Times New Roman" w:eastAsia="Times New Roman" w:hAnsi="Times New Roman"/>
                <w:sz w:val="18"/>
                <w:szCs w:val="18"/>
                <w:color w:val="auto"/>
              </w:rPr>
              <w:t>MISO - Louisiana Hub</w:t>
            </w:r>
            <w:r>
              <w:rPr>
                <w:rFonts w:ascii="Times New Roman" w:cs="Times New Roman" w:eastAsia="Times New Roman" w:hAnsi="Times New Roman"/>
                <w:sz w:val="22"/>
                <w:szCs w:val="22"/>
                <w:color w:val="auto"/>
                <w:vertAlign w:val="superscript"/>
              </w:rPr>
              <w:t>(b)</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44.05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bl>
    <w:p>
      <w:pPr>
        <w:spacing w:after="0" w:line="70" w:lineRule="exact"/>
        <w:rPr>
          <w:sz w:val="20"/>
          <w:szCs w:val="20"/>
          <w:color w:val="auto"/>
        </w:rPr>
      </w:pPr>
    </w:p>
    <w:p>
      <w:pPr>
        <w:ind w:left="400" w:hanging="395"/>
        <w:spacing w:after="0"/>
        <w:tabs>
          <w:tab w:leader="none" w:pos="4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on-peak power prices based on real time settlement prices as published by the respective ISOs</w:t>
      </w:r>
    </w:p>
    <w:p>
      <w:pPr>
        <w:spacing w:after="0" w:line="12"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on-peak power prices based on day-ahead settlement prices as published by the respective ISOs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5" w:name="page46"/>
    <w:bookmarkEnd w:id="45"/>
    <w:p>
      <w:pPr>
        <w:jc w:val="both"/>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Load Growth — </w:t>
      </w:r>
      <w:r>
        <w:rPr>
          <w:rFonts w:ascii="Times New Roman" w:cs="Times New Roman" w:eastAsia="Times New Roman" w:hAnsi="Times New Roman"/>
          <w:sz w:val="18"/>
          <w:szCs w:val="18"/>
          <w:color w:val="auto"/>
        </w:rPr>
        <w:t>The electric industry is expected to experience a surge in demand driven primarily by new manufacturing, industrial and data center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(inclusive of GenAI). The U.S. Energy Information Administration's 2023 Annual Energy Outlook, combined with external forecasts of GenAI, shows the potential for 500 TWh of incremental load across the U.S. through 2030, as compared to 2023. ERCOT's current long term load forecast shows peak demand increasing from 86 GW in 2024 to 139 GW in 2030. This load growth will require significant planning and construction of new generation and transmission.</w:t>
      </w:r>
    </w:p>
    <w:p>
      <w:pPr>
        <w:spacing w:after="0" w:line="80"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Affordability </w:t>
      </w:r>
      <w:r>
        <w:rPr>
          <w:rFonts w:ascii="Times New Roman" w:cs="Times New Roman" w:eastAsia="Times New Roman" w:hAnsi="Times New Roman"/>
          <w:sz w:val="18"/>
          <w:szCs w:val="18"/>
          <w:color w:val="auto"/>
        </w:rPr>
        <w:t>— Rising customer bills, driven by rising regulated transmission and distribution charges along with load growth, have heightened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regulatory focus on energy affordability, eliciting evolving discussions regarding market design and frameworks. NRG is monitoring and seeking to address these developments through its customer-focused business strategy and public policy advocacy efforts.</w:t>
      </w:r>
    </w:p>
    <w:p>
      <w:pPr>
        <w:spacing w:after="0" w:line="72"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Tariffs </w:t>
      </w:r>
      <w:r>
        <w:rPr>
          <w:rFonts w:ascii="Times New Roman" w:cs="Times New Roman" w:eastAsia="Times New Roman" w:hAnsi="Times New Roman"/>
          <w:sz w:val="18"/>
          <w:szCs w:val="18"/>
          <w:color w:val="auto"/>
        </w:rPr>
        <w:t>— NRG’s business is affected by various macroeconomic factors, including tariffs. The U.S. has implemented, or is considering implementing,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tariffs on imports into the U.S. Any potential increases in capital and operational expenditures may impact the Company’s procurement and sourcing strategies.</w:t>
      </w:r>
    </w:p>
    <w:p>
      <w:pPr>
        <w:spacing w:after="0" w:line="7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Increased Awareness of, and Action to Combat, Climate Change </w:t>
      </w:r>
      <w:r>
        <w:rPr>
          <w:rFonts w:ascii="Times New Roman" w:cs="Times New Roman" w:eastAsia="Times New Roman" w:hAnsi="Times New Roman"/>
          <w:sz w:val="18"/>
          <w:szCs w:val="18"/>
          <w:color w:val="auto"/>
        </w:rPr>
        <w:t>— Diverse groups of stakeholders, including investors, asset managers,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institutions, non-government organizations, industry coalitions, individual companies, consumer groups and academic institutions, are increasingly engaged in efforts to limit global warming in the post-industrial era to 1.5 degrees Celsius. Although federal policy in the U.S. has recently shifted towards prioritizing domestic energy production and reducing climate-related regulatory requirements, policymakers and regulators at regional, national, sub-national and local levels of government, both in the U.S. and other parts of the world, remain focused on actions to combat climate change.</w:t>
      </w:r>
    </w:p>
    <w:p>
      <w:pPr>
        <w:spacing w:after="0" w:line="8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NRG actively monitors climate change related developments that could impact its business and regularly engages with a diverse set of stakeholders on these issues. Such engagement helps the Company identify and pursue potential opportunities both to decarbonize its business and better serve its customers. NRG is committed to providing transparent disclosures of its climate risks and opportunities to stakeholders.</w:t>
      </w:r>
    </w:p>
    <w:p>
      <w:pPr>
        <w:spacing w:after="0" w:line="7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Lower Carbon Infrastructure Development </w:t>
      </w:r>
      <w:r>
        <w:rPr>
          <w:rFonts w:ascii="Times New Roman" w:cs="Times New Roman" w:eastAsia="Times New Roman" w:hAnsi="Times New Roman"/>
          <w:sz w:val="18"/>
          <w:szCs w:val="18"/>
          <w:color w:val="auto"/>
        </w:rPr>
        <w:t>— Policy mechanisms at the state and federal level, including production and investment tax credits,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grants, loan guarantees, accelerated depreciation tax benefits, RPS, and carbon trading plans, have supported and continue to support the development of renewable generation, demand-side and smart grid, and other lower carbon infrastructure technologies. According to ERCOT, 46% of 2025 energy consumption in the ERCOT market was generated from carbon emission-free resources, with wind power contributing 24%. In addition, subsidies and incentives may contribute to increases in renewable power sources, customer awareness and preferences are shifting toward sustainable solutions. Any increase in demand for sustainable energy products from both residential and commercial customers creates opportunities for diversified product offerings in competitive retail markets.</w:t>
      </w:r>
    </w:p>
    <w:p>
      <w:pPr>
        <w:spacing w:after="0" w:line="82"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Digitization and Customization </w:t>
      </w:r>
      <w:r>
        <w:rPr>
          <w:rFonts w:ascii="Times New Roman" w:cs="Times New Roman" w:eastAsia="Times New Roman" w:hAnsi="Times New Roman"/>
          <w:sz w:val="18"/>
          <w:szCs w:val="18"/>
          <w:color w:val="auto"/>
        </w:rPr>
        <w:t>— The electric industry is experiencing major technological changes in the way power is distributed and consumed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end-use customers. The electric grid is shifting from a centralized analog system, where power is generated from limited sources and flows in one direction, to a decentralized multidirectional system, where power can be generated from a number of distributed resources and stored or dispatched on an as-needed basis. In addition, customers are seeking new ways to engage with their power providers. Technologies like smart thermostats, smart appliances and electric vehicles are giving individuals more choice and control over their electricity usage. Power providers are starting to engage with customers who have transitioned to smart homes with new offerings, including but not limited to behind-the-meter demand response, or virtual power plant products. Companies with large customer bases in competitive marketplaces are poised to create additional engagement with customers to help further integrate their smart home into their daily lives.</w:t>
      </w:r>
    </w:p>
    <w:p>
      <w:pPr>
        <w:spacing w:after="0" w:line="85"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Weather </w:t>
      </w:r>
      <w:r>
        <w:rPr>
          <w:rFonts w:ascii="Times New Roman" w:cs="Times New Roman" w:eastAsia="Times New Roman" w:hAnsi="Times New Roman"/>
          <w:sz w:val="16"/>
          <w:szCs w:val="16"/>
          <w:color w:val="auto"/>
        </w:rPr>
        <w:t>— Weather conditions in the regions of the U.S. in which NRG conducts business influence the Company's financial results. Weather conditions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can affect the supply and demand for electricity and fuels and may also impact the availability of the Company's generating assets. Changes in energy supply and demand may impact the price of these energy commodities in both the spot and forward markets, which may affect the Company's results in any given period. Typically, demand for and the price of electricity is higher in the summer and the winter seasons, when temperatures and resultant demand are more extreme. The demand for and price of natural gas is also generally higher in the winter. However, all regions of the U.S. typically do not experience extreme weather conditions at the same time, thus NRG's operations are typically not exposed to the effects of extreme weather in all parts of its business at once.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6" w:name="page47"/>
    <w:bookmarkEnd w:id="46"/>
    <w:p>
      <w:pPr>
        <w:ind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Other Factors </w:t>
      </w:r>
      <w:r>
        <w:rPr>
          <w:rFonts w:ascii="Times New Roman" w:cs="Times New Roman" w:eastAsia="Times New Roman" w:hAnsi="Times New Roman"/>
          <w:sz w:val="18"/>
          <w:szCs w:val="18"/>
          <w:color w:val="auto"/>
        </w:rPr>
        <w:t>— A number of other factors significantly influence the level and volatility of prices for energy commodities and related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for NRG's business. These factors include:</w:t>
      </w:r>
    </w:p>
    <w:p>
      <w:pPr>
        <w:spacing w:after="0" w:line="61" w:lineRule="exact"/>
        <w:rPr>
          <w:sz w:val="20"/>
          <w:szCs w:val="20"/>
          <w:color w:val="auto"/>
        </w:rPr>
      </w:pPr>
    </w:p>
    <w:p>
      <w:pPr>
        <w:ind w:left="640" w:hanging="31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daily and hourly changes in demand;</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extreme peak demands;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renewable generation;</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 supply resources;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and transmission availability and reliability within and between regions;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location of NRG's generating facilities relative to the location of its load-serving opportunities;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procedures used to maintain the integrity of the physical electricity system during extreme conditions; and</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nature and extent of federal and state regulations.</w:t>
      </w:r>
    </w:p>
    <w:p>
      <w:pPr>
        <w:spacing w:after="0" w:line="109"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These factors can affect energy commodity and derivative prices in different ways and to different degrees. These effects may vary throughout the country as a result of regional differences in:</w:t>
      </w:r>
    </w:p>
    <w:p>
      <w:pPr>
        <w:spacing w:after="0" w:line="64" w:lineRule="exact"/>
        <w:rPr>
          <w:sz w:val="20"/>
          <w:szCs w:val="20"/>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liquidity;</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capability and reliability of the physical electricity and gas systems;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transportation systems; and</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extent of electricity deregulation.</w:t>
      </w:r>
    </w:p>
    <w:p>
      <w:pPr>
        <w:spacing w:after="0" w:line="107"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Environmental Matters, Regulatory Matters and Legal Proceedings </w:t>
      </w:r>
      <w:r>
        <w:rPr>
          <w:rFonts w:ascii="Times New Roman" w:cs="Times New Roman" w:eastAsia="Times New Roman" w:hAnsi="Times New Roman"/>
          <w:sz w:val="18"/>
          <w:szCs w:val="18"/>
          <w:color w:val="auto"/>
        </w:rPr>
        <w:t>— Details of environmental matters are presented in Item 15 — Note 24,</w:t>
      </w:r>
      <w:r>
        <w:rPr>
          <w:rFonts w:ascii="Times New Roman" w:cs="Times New Roman" w:eastAsia="Times New Roman" w:hAnsi="Times New Roman"/>
          <w:sz w:val="18"/>
          <w:szCs w:val="18"/>
          <w:i w:val="1"/>
          <w:iCs w:val="1"/>
          <w:color w:val="auto"/>
        </w:rPr>
        <w:t xml:space="preserve"> Environmental Matters</w:t>
      </w:r>
      <w:r>
        <w:rPr>
          <w:rFonts w:ascii="Times New Roman" w:cs="Times New Roman" w:eastAsia="Times New Roman" w:hAnsi="Times New Roman"/>
          <w:sz w:val="18"/>
          <w:szCs w:val="18"/>
          <w:color w:val="auto"/>
        </w:rPr>
        <w:t>, to the Consolidated Financial Statements and Item 1</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Business,</w:t>
      </w:r>
      <w:r>
        <w:rPr>
          <w:rFonts w:ascii="Times New Roman" w:cs="Times New Roman" w:eastAsia="Times New Roman" w:hAnsi="Times New Roman"/>
          <w:sz w:val="18"/>
          <w:szCs w:val="18"/>
          <w:i w:val="1"/>
          <w:iCs w:val="1"/>
          <w:color w:val="auto"/>
        </w:rPr>
        <w:t xml:space="preserve"> Environmental Matters</w:t>
      </w:r>
      <w:r>
        <w:rPr>
          <w:rFonts w:ascii="Times New Roman" w:cs="Times New Roman" w:eastAsia="Times New Roman" w:hAnsi="Times New Roman"/>
          <w:sz w:val="18"/>
          <w:szCs w:val="18"/>
          <w:color w:val="auto"/>
        </w:rPr>
        <w:t>. Details of regulatory matters are presented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Item 15 — Note 23,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xml:space="preserve">, to the Consolidated Financial Statements and Item 1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Business,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xml:space="preserve">. Details of legal proceedings are presented in Item 15 — Note 22,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Consolidated Financial Statements. Some of this information relates to costs that may be material to the Company's financial results.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Events</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significant events occurred during 2025 and through the filing date, as further described within this Management's Discussion and Analysis and the Consolidated Financial Statements:</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LSP Portfolio</w:t>
      </w:r>
    </w:p>
    <w:p>
      <w:pPr>
        <w:spacing w:after="0" w:line="11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 xml:space="preserve">On January 30, 2026, NRG completed the acquisition of the LSP Portfolio from LS Power, pursuant to the Purchase Agreement dated as of May 12, 2025. The acquisition doubles NRG’s generation capacity with the addition of 18 natural gas-fired and dual fuel facilities totaling approximately 13 GW. In addition, NRG acquired CPower, a leading demand response platform, which operates in all the country’s deregulated energy markets and has more than 2,000 commercial and industrial customers. The consideration consisted of 24.25 million shares of NRG common stock and $6.4 billion in cash, plus preliminary working capital and certain other adjustments of $479 million. The Company funded the cash consideration using a portion of the net proceeds of $4.4 billion from the New Unsecured Notes and the New Secured Notes and proceeds of $2.5 billion from the Company’s Revolving Credit Facility. As part of the transaction, NRG also assumed approximately $3.2 billion of debt. For further discussion, see Item 15 — Note 4, </w:t>
      </w:r>
      <w:r>
        <w:rPr>
          <w:rFonts w:ascii="Times New Roman" w:cs="Times New Roman" w:eastAsia="Times New Roman" w:hAnsi="Times New Roman"/>
          <w:sz w:val="18"/>
          <w:szCs w:val="18"/>
          <w:i w:val="1"/>
          <w:iCs w:val="1"/>
          <w:color w:val="auto"/>
        </w:rPr>
        <w:t>Acquisitions and Dispositions.</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Texas Generation Portfolio</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On April 10, 2025, the Company acquired all of the ownership interests of six power generation facilities from Rockland Capital, LLC, adding 738 MW of natural gas-fired assets in Texas to its portfolio for $560 million in consideration, less $2 million in working capital adjustments. For further discussion, see Item 15 — Note 4, </w:t>
      </w:r>
      <w:r>
        <w:rPr>
          <w:rFonts w:ascii="Times New Roman" w:cs="Times New Roman" w:eastAsia="Times New Roman" w:hAnsi="Times New Roman"/>
          <w:sz w:val="18"/>
          <w:szCs w:val="18"/>
          <w:i w:val="1"/>
          <w:iCs w:val="1"/>
          <w:color w:val="auto"/>
        </w:rPr>
        <w:t>Acquisitions and Dispositions.</w:t>
      </w:r>
    </w:p>
    <w:p>
      <w:pPr>
        <w:spacing w:after="0" w:line="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Capital Allocation</w:t>
      </w:r>
    </w:p>
    <w:p>
      <w:pPr>
        <w:spacing w:after="0" w:line="1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is actively repurchasing shares under its existing $3.7 billion share repurchase program, which began in 2023. During the year ended December 31, 2025, the Company completed $1.3 billion of share repurchases at an average price of $129.23 per share. On October 16, 2025, the Board of Directors authorized an additional share repurchase program of up to $3.0 billion, to be executed through 2028. For further information regarding share repurchases, see Item 15 — Note 15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 Structure.</w:t>
      </w:r>
    </w:p>
    <w:p>
      <w:pPr>
        <w:spacing w:after="0" w:line="7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the first quarter of 2025, NRG increased the annual common stock dividend to $1.76 from $1.63 per share, representing an 8% increase from 2024. Beginning in the first quarter of 2026, NRG increased the annual common stock dividend by 8% to</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$1.90 per share. The Company expects to target an annual common stock dividend growth rate of 7-9% per share in subsequent years.</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Issuance of Unsecured Notes and Secured Notes</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 xml:space="preserve">On October 8, 2025, the Company issued $3.65 billion and $1.25 billion in aggregate principal amount of the New Unsecured Notes and New Secured Notes, respectively. The New Unsecured Notes are senior unsecured obligations of the Company and are guaranteed by its wholly-owned U.S. subsidiaries that guarantee the term loans under the Senior Credit Facility. The New Secured Notes are senior secured obligations of the Company and are guaranteed by its wholly-owned U.S. subsidiaries that guarantee the term loans under the Senior Credit Facility. For further discussion, see Item 15 — Note 12,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Finance Leases.</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Operations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Texas Development Projects</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On November 20, 2025, the Company entered into the Third TEF Loan to support the development of Greens Bayou 6, which is currently under construction. Commercial operation of the 443 MW facility is expected mid-2028.</w:t>
      </w:r>
    </w:p>
    <w:p>
      <w:pPr>
        <w:spacing w:after="0" w:line="6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On September 26, 2025, the Company entered into the Second TEF Loan to support the development of Cedar Bayou 5, which is currently under construction. Commercial operation of the 689 MW combined cycle facility is expected mid-2028.</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On July 31, 2025, the Company entered into the First TEF Loan to support the development of T.H. Wharton, which is currently under construction.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operation of the 415 MW facility is expected in June 2026.</w:t>
      </w:r>
    </w:p>
    <w:p>
      <w:pPr>
        <w:spacing w:after="0" w:line="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Site Development Updates</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February 13, 2025, NRG signed a strategic Project Development Agreement with GE Vernova (“GEV”) and Kiewit’s subsidiary, TIC, to develop and construct up to 5.4 GW of new gas-fired, combined cycle generation projects. The generation facilities will be owned and operated by NRG. Additionally, NRG has entered into slot reservation agreements with GEV for the procurement of 3.6 GW of 7HA gas turbines. The first projects under this comprehensive development agreement are expected to commence operations by the end of 2029.</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 for the years ended December 31, 2025 and 2024</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selected financial information for the Company: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05"/>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8"/>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4"/>
        </w:trPr>
        <w:tc>
          <w:tcPr>
            <w:tcW w:w="6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Retail revenue</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29,543</w:t>
            </w:r>
          </w:p>
        </w:tc>
        <w:tc>
          <w:tcPr>
            <w:tcW w:w="100" w:type="dxa"/>
            <w:vAlign w:val="bottom"/>
          </w:tcPr>
          <w:p>
            <w:pPr>
              <w:spacing w:after="0"/>
              <w:rPr>
                <w:sz w:val="19"/>
                <w:szCs w:val="19"/>
                <w:color w:val="auto"/>
              </w:rPr>
            </w:pP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27,149</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w:t>
            </w:r>
          </w:p>
        </w:tc>
      </w:tr>
      <w:tr>
        <w:trPr>
          <w:trHeight w:val="224"/>
        </w:trPr>
        <w:tc>
          <w:tcPr>
            <w:tcW w:w="658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Energy revenue</w:t>
            </w:r>
            <w:r>
              <w:rPr>
                <w:rFonts w:ascii="Times New Roman" w:cs="Times New Roman" w:eastAsia="Times New Roman" w:hAnsi="Times New Roman"/>
                <w:sz w:val="22"/>
                <w:szCs w:val="22"/>
                <w:color w:val="auto"/>
                <w:vertAlign w:val="superscript"/>
              </w:rPr>
              <w:t>(a)</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4"/>
        </w:trPr>
        <w:tc>
          <w:tcPr>
            <w:tcW w:w="6580" w:type="dxa"/>
            <w:vAlign w:val="bottom"/>
          </w:tcPr>
          <w:p>
            <w:pPr>
              <w:ind w:left="140"/>
              <w:spacing w:after="0" w:line="224" w:lineRule="exact"/>
              <w:rPr>
                <w:sz w:val="20"/>
                <w:szCs w:val="20"/>
                <w:color w:val="auto"/>
              </w:rPr>
            </w:pPr>
            <w:r>
              <w:rPr>
                <w:rFonts w:ascii="Times New Roman" w:cs="Times New Roman" w:eastAsia="Times New Roman" w:hAnsi="Times New Roman"/>
                <w:sz w:val="18"/>
                <w:szCs w:val="18"/>
                <w:color w:val="auto"/>
              </w:rPr>
              <w:t>Capacity revenue</w:t>
            </w:r>
            <w:r>
              <w:rPr>
                <w:rFonts w:ascii="Times New Roman" w:cs="Times New Roman" w:eastAsia="Times New Roman" w:hAnsi="Times New Roman"/>
                <w:sz w:val="22"/>
                <w:szCs w:val="22"/>
                <w:color w:val="auto"/>
                <w:vertAlign w:val="superscript"/>
              </w:rPr>
              <w:t>(a)</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4"/>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Mark-to-market for economic hedging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4"/>
        </w:trPr>
        <w:tc>
          <w:tcPr>
            <w:tcW w:w="6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amortization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4"/>
        </w:trPr>
        <w:tc>
          <w:tcPr>
            <w:tcW w:w="658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Other revenues</w:t>
            </w:r>
            <w:r>
              <w:rPr>
                <w:rFonts w:ascii="Times New Roman" w:cs="Times New Roman" w:eastAsia="Times New Roman" w:hAnsi="Times New Roman"/>
                <w:sz w:val="22"/>
                <w:szCs w:val="22"/>
                <w:color w:val="auto"/>
                <w:vertAlign w:val="superscript"/>
              </w:rPr>
              <w:t>(a)(b)</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7"/>
        </w:trPr>
        <w:tc>
          <w:tcPr>
            <w:tcW w:w="6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30,713</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w:t>
            </w:r>
          </w:p>
        </w:tc>
      </w:tr>
      <w:tr>
        <w:trPr>
          <w:trHeight w:val="21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4"/>
        </w:trPr>
        <w:tc>
          <w:tcPr>
            <w:tcW w:w="6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fuel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24"/>
        </w:trPr>
        <w:tc>
          <w:tcPr>
            <w:tcW w:w="658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Purchased energy and other cost of sales</w:t>
            </w:r>
            <w:r>
              <w:rPr>
                <w:rFonts w:ascii="Times New Roman" w:cs="Times New Roman" w:eastAsia="Times New Roman" w:hAnsi="Times New Roman"/>
                <w:sz w:val="22"/>
                <w:szCs w:val="22"/>
                <w:color w:val="auto"/>
                <w:vertAlign w:val="superscript"/>
              </w:rPr>
              <w:t>(c)</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r>
      <w:tr>
        <w:trPr>
          <w:trHeight w:val="224"/>
        </w:trPr>
        <w:tc>
          <w:tcPr>
            <w:tcW w:w="6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Mark-to-market for economic hedging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24"/>
        </w:trPr>
        <w:tc>
          <w:tcPr>
            <w:tcW w:w="658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Contract and emissions credit amortization</w:t>
            </w:r>
            <w:r>
              <w:rPr>
                <w:rFonts w:ascii="Times New Roman" w:cs="Times New Roman" w:eastAsia="Times New Roman" w:hAnsi="Times New Roman"/>
                <w:sz w:val="22"/>
                <w:szCs w:val="22"/>
                <w:color w:val="auto"/>
                <w:vertAlign w:val="superscript"/>
              </w:rPr>
              <w:t>(c)</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4"/>
        </w:trPr>
        <w:tc>
          <w:tcPr>
            <w:tcW w:w="6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4"/>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cost of operations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7"/>
        </w:trPr>
        <w:tc>
          <w:tcPr>
            <w:tcW w:w="6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Cost of operations (excluding depreciation and amortization shown below)</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24,761</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(2,661)</w:t>
            </w:r>
          </w:p>
        </w:tc>
      </w:tr>
      <w:tr>
        <w:trPr>
          <w:trHeight w:val="217"/>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4"/>
        </w:trPr>
        <w:tc>
          <w:tcPr>
            <w:tcW w:w="6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losses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171"/>
        </w:trPr>
        <w:tc>
          <w:tcPr>
            <w:tcW w:w="658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8"/>
                <w:szCs w:val="18"/>
                <w:color w:val="auto"/>
              </w:rPr>
              <w:t>Selling, general and administrative costs (excluding amortization of customer acquisition</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9"/>
        </w:trPr>
        <w:tc>
          <w:tcPr>
            <w:tcW w:w="6580" w:type="dxa"/>
            <w:vAlign w:val="bottom"/>
            <w:shd w:val="clear" w:color="auto" w:fill="CCEEFF"/>
          </w:tcPr>
          <w:p>
            <w:pPr>
              <w:ind w:left="140"/>
              <w:spacing w:after="0" w:line="179" w:lineRule="exact"/>
              <w:rPr>
                <w:sz w:val="20"/>
                <w:szCs w:val="20"/>
                <w:color w:val="auto"/>
              </w:rPr>
            </w:pPr>
            <w:r>
              <w:rPr>
                <w:rFonts w:ascii="Times New Roman" w:cs="Times New Roman" w:eastAsia="Times New Roman" w:hAnsi="Times New Roman"/>
                <w:sz w:val="18"/>
                <w:szCs w:val="18"/>
                <w:color w:val="auto"/>
                <w:w w:val="98"/>
              </w:rPr>
              <w:t>costs of $295, and $204, respectively, which are included in depreciation and amortization</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29"/>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shown separately above)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24"/>
        </w:trPr>
        <w:tc>
          <w:tcPr>
            <w:tcW w:w="6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Acquisition-related transaction and integration costs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7"/>
        </w:trPr>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r>
      <w:tr>
        <w:trPr>
          <w:trHeight w:val="224"/>
        </w:trPr>
        <w:tc>
          <w:tcPr>
            <w:tcW w:w="6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(Loss)/Gain on sale of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1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17"/>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4"/>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4"/>
        </w:trPr>
        <w:tc>
          <w:tcPr>
            <w:tcW w:w="6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losses on investments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4"/>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4"/>
        </w:trPr>
        <w:tc>
          <w:tcPr>
            <w:tcW w:w="6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24"/>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7"/>
        </w:trPr>
        <w:tc>
          <w:tcPr>
            <w:tcW w:w="6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other expenses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1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24"/>
        </w:trPr>
        <w:tc>
          <w:tcPr>
            <w:tcW w:w="6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42"/>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43" w:lineRule="exact"/>
        <w:rPr>
          <w:sz w:val="20"/>
          <w:szCs w:val="20"/>
          <w:color w:val="auto"/>
        </w:rPr>
      </w:pPr>
    </w:p>
    <w:p>
      <w:pPr>
        <w:ind w:left="400" w:hanging="395"/>
        <w:spacing w:after="0"/>
        <w:tabs>
          <w:tab w:leader="none" w:pos="4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realized gains and losses from financially settled transactions</w:t>
      </w:r>
    </w:p>
    <w:p>
      <w:pPr>
        <w:spacing w:after="0" w:line="12"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trading gains and losses and ancillary revenues</w:t>
      </w:r>
    </w:p>
    <w:p>
      <w:pPr>
        <w:spacing w:after="0" w:line="5" w:lineRule="exact"/>
        <w:rPr>
          <w:rFonts w:ascii="Times New Roman" w:cs="Times New Roman" w:eastAsia="Times New Roman" w:hAnsi="Times New Roman"/>
          <w:sz w:val="14"/>
          <w:szCs w:val="14"/>
          <w:color w:val="auto"/>
        </w:rPr>
      </w:pPr>
    </w:p>
    <w:p>
      <w:pPr>
        <w:ind w:left="400" w:hanging="395"/>
        <w:spacing w:after="0" w:line="210" w:lineRule="auto"/>
        <w:tabs>
          <w:tab w:leader="none" w:pos="4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amortization of SO</w:t>
      </w:r>
      <w:r>
        <w:rPr>
          <w:rFonts w:ascii="Times New Roman" w:cs="Times New Roman" w:eastAsia="Times New Roman" w:hAnsi="Times New Roman"/>
          <w:sz w:val="18"/>
          <w:szCs w:val="18"/>
          <w:color w:val="auto"/>
          <w:vertAlign w:val="subscript"/>
        </w:rPr>
        <w:t>2</w:t>
      </w:r>
      <w:r>
        <w:rPr>
          <w:rFonts w:ascii="Times New Roman" w:cs="Times New Roman" w:eastAsia="Times New Roman" w:hAnsi="Times New Roman"/>
          <w:sz w:val="14"/>
          <w:szCs w:val="14"/>
          <w:color w:val="auto"/>
        </w:rPr>
        <w:t xml:space="preserve"> and NO</w:t>
      </w:r>
      <w:r>
        <w:rPr>
          <w:rFonts w:ascii="Times New Roman" w:cs="Times New Roman" w:eastAsia="Times New Roman" w:hAnsi="Times New Roman"/>
          <w:sz w:val="18"/>
          <w:szCs w:val="18"/>
          <w:color w:val="auto"/>
          <w:vertAlign w:val="subscript"/>
        </w:rPr>
        <w:t>x</w:t>
      </w:r>
      <w:r>
        <w:rPr>
          <w:rFonts w:ascii="Times New Roman" w:cs="Times New Roman" w:eastAsia="Times New Roman" w:hAnsi="Times New Roman"/>
          <w:sz w:val="14"/>
          <w:szCs w:val="14"/>
          <w:color w:val="auto"/>
        </w:rPr>
        <w:t xml:space="preserve"> credits and excludes amortization of RGGI credits</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13"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Company calculates gross margin in order to evaluate operating performance as revenues less cost of fuel, purchased energy and other costs of sales, mark-to-market for economic hedging activities, contract and emission credit amortization and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9" w:name="page50"/>
    <w:bookmarkEnd w:id="49"/>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Economic Gross Margin</w:t>
      </w:r>
    </w:p>
    <w:p>
      <w:pPr>
        <w:spacing w:after="0" w:line="113"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Company's presentation of gross margin, which is the most directly comparable GAAP measure. Economic gross margin is not intended to represent gross margin. The Company believes that economic gross margin is useful to investors as it is a key operational measure reviewed by the Company's management. Economic gross margin is defined as the sum of retail revenue, energy revenue, capacity revenue and other revenue, less cost of fuels, purchased energy and other cost of sales. Economic gross margin does not include mark-to-market gains or losses on economic hedging activities, contract amortization, emission credit amortization, depreciation and amortization, operations and maintenance, or other costs of operations.</w:t>
      </w:r>
    </w:p>
    <w:p>
      <w:pPr>
        <w:spacing w:after="0" w:line="8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tables present the composition and reconciliation of gross margin and economic gross margin for the years ended December 31, 2025 and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w w:val="97"/>
              </w:rPr>
              <w:t>Year Ended December 31, 2025</w:t>
            </w:r>
          </w:p>
        </w:tc>
        <w:tc>
          <w:tcPr>
            <w:tcW w:w="6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 except otherwise noted)</w:t>
            </w:r>
          </w:p>
        </w:tc>
        <w:tc>
          <w:tcPr>
            <w:tcW w:w="24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260" w:type="dxa"/>
            <w:vAlign w:val="bottom"/>
          </w:tcPr>
          <w:p>
            <w:pPr>
              <w:spacing w:after="0"/>
              <w:rPr>
                <w:sz w:val="11"/>
                <w:szCs w:val="11"/>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60" w:type="dxa"/>
            <w:vAlign w:val="bottom"/>
          </w:tcPr>
          <w:p>
            <w:pPr>
              <w:spacing w:after="0"/>
              <w:rPr>
                <w:sz w:val="11"/>
                <w:szCs w:val="11"/>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West/Other</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w w:val="99"/>
              </w:rPr>
              <w:t>Vivint Smart</w:t>
            </w:r>
          </w:p>
        </w:tc>
        <w:tc>
          <w:tcPr>
            <w:tcW w:w="1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Corporate/Eliminations</w:t>
            </w:r>
          </w:p>
        </w:tc>
        <w:tc>
          <w:tcPr>
            <w:tcW w:w="240" w:type="dxa"/>
            <w:vAlign w:val="bottom"/>
          </w:tcPr>
          <w:p>
            <w:pPr>
              <w:spacing w:after="0"/>
              <w:rPr>
                <w:sz w:val="11"/>
                <w:szCs w:val="11"/>
                <w:color w:val="auto"/>
              </w:rPr>
            </w:pPr>
          </w:p>
        </w:tc>
        <w:tc>
          <w:tcPr>
            <w:tcW w:w="86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Home</w:t>
            </w:r>
          </w:p>
        </w:tc>
        <w:tc>
          <w:tcPr>
            <w:tcW w:w="15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Retail revenue</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29,543</w:t>
            </w:r>
          </w:p>
        </w:tc>
        <w:tc>
          <w:tcPr>
            <w:tcW w:w="0" w:type="dxa"/>
            <w:vAlign w:val="bottom"/>
          </w:tcPr>
          <w:p>
            <w:pPr>
              <w:spacing w:after="0"/>
              <w:rPr>
                <w:sz w:val="1"/>
                <w:szCs w:val="1"/>
                <w:color w:val="auto"/>
              </w:rPr>
            </w:pPr>
          </w:p>
        </w:tc>
      </w:tr>
      <w:tr>
        <w:trPr>
          <w:trHeight w:val="224"/>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Energy revenue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24"/>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Capacity revenue</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4"/>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Mark-to-market for economic hedging activities</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4"/>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amortization</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4"/>
        </w:trPr>
        <w:tc>
          <w:tcPr>
            <w:tcW w:w="3780" w:type="dxa"/>
            <w:vAlign w:val="bottom"/>
          </w:tcPr>
          <w:p>
            <w:pPr>
              <w:ind w:left="140"/>
              <w:spacing w:after="0" w:line="224"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2"/>
                <w:szCs w:val="22"/>
                <w:color w:val="auto"/>
                <w:vertAlign w:val="superscript"/>
              </w:rPr>
              <w:t>(a)</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7"/>
        </w:trPr>
        <w:tc>
          <w:tcPr>
            <w:tcW w:w="37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30,713</w:t>
            </w:r>
          </w:p>
        </w:tc>
        <w:tc>
          <w:tcPr>
            <w:tcW w:w="0" w:type="dxa"/>
            <w:vAlign w:val="bottom"/>
          </w:tcPr>
          <w:p>
            <w:pPr>
              <w:spacing w:after="0"/>
              <w:rPr>
                <w:sz w:val="1"/>
                <w:szCs w:val="1"/>
                <w:color w:val="auto"/>
              </w:rPr>
            </w:pPr>
          </w:p>
        </w:tc>
      </w:tr>
      <w:tr>
        <w:trPr>
          <w:trHeight w:val="224"/>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fuel</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24"/>
        </w:trPr>
        <w:tc>
          <w:tcPr>
            <w:tcW w:w="378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Purchased energy and other costs of sales</w:t>
            </w:r>
            <w:r>
              <w:rPr>
                <w:rFonts w:ascii="Times New Roman" w:cs="Times New Roman" w:eastAsia="Times New Roman" w:hAnsi="Times New Roman"/>
                <w:sz w:val="22"/>
                <w:szCs w:val="22"/>
                <w:color w:val="auto"/>
                <w:vertAlign w:val="superscript"/>
              </w:rPr>
              <w:t>(b)(c)(d)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(21,194)</w:t>
            </w:r>
          </w:p>
        </w:tc>
        <w:tc>
          <w:tcPr>
            <w:tcW w:w="0" w:type="dxa"/>
            <w:vAlign w:val="bottom"/>
          </w:tcPr>
          <w:p>
            <w:pPr>
              <w:spacing w:after="0"/>
              <w:rPr>
                <w:sz w:val="1"/>
                <w:szCs w:val="1"/>
                <w:color w:val="auto"/>
              </w:rPr>
            </w:pPr>
          </w:p>
        </w:tc>
      </w:tr>
      <w:tr>
        <w:trPr>
          <w:trHeight w:val="224"/>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Mark-to-market for economic hedging activities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24"/>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and emissions credit amortization</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4"/>
        </w:trPr>
        <w:tc>
          <w:tcPr>
            <w:tcW w:w="3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0" w:type="dxa"/>
            <w:vAlign w:val="bottom"/>
          </w:tcPr>
          <w:p>
            <w:pPr>
              <w:spacing w:after="0"/>
              <w:rPr>
                <w:sz w:val="1"/>
                <w:szCs w:val="1"/>
                <w:color w:val="auto"/>
              </w:rPr>
            </w:pPr>
          </w:p>
        </w:tc>
      </w:tr>
      <w:tr>
        <w:trPr>
          <w:trHeight w:val="217"/>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0" w:type="dxa"/>
            <w:vAlign w:val="bottom"/>
          </w:tcPr>
          <w:p>
            <w:pPr>
              <w:spacing w:after="0"/>
              <w:rPr>
                <w:sz w:val="1"/>
                <w:szCs w:val="1"/>
                <w:color w:val="auto"/>
              </w:rPr>
            </w:pPr>
          </w:p>
        </w:tc>
      </w:tr>
      <w:tr>
        <w:trPr>
          <w:trHeight w:val="171"/>
        </w:trPr>
        <w:tc>
          <w:tcPr>
            <w:tcW w:w="3780" w:type="dxa"/>
            <w:vAlign w:val="bottom"/>
          </w:tcPr>
          <w:p>
            <w:pPr>
              <w:ind w:left="140"/>
              <w:spacing w:after="0" w:line="171" w:lineRule="exact"/>
              <w:rPr>
                <w:sz w:val="20"/>
                <w:szCs w:val="20"/>
                <w:color w:val="auto"/>
              </w:rPr>
            </w:pPr>
            <w:r>
              <w:rPr>
                <w:rFonts w:ascii="Times New Roman" w:cs="Times New Roman" w:eastAsia="Times New Roman" w:hAnsi="Times New Roman"/>
                <w:sz w:val="18"/>
                <w:szCs w:val="18"/>
                <w:color w:val="auto"/>
              </w:rPr>
              <w:t>Less: Mark-to-market for economic hedging</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activities, net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171"/>
        </w:trPr>
        <w:tc>
          <w:tcPr>
            <w:tcW w:w="378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8"/>
                <w:szCs w:val="18"/>
                <w:color w:val="auto"/>
              </w:rPr>
              <w:t>Less: Contract and emissions credit amortization,</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4"/>
        </w:trPr>
        <w:tc>
          <w:tcPr>
            <w:tcW w:w="3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0" w:type="dxa"/>
            <w:vAlign w:val="bottom"/>
          </w:tcPr>
          <w:p>
            <w:pPr>
              <w:spacing w:after="0"/>
              <w:rPr>
                <w:sz w:val="1"/>
                <w:szCs w:val="1"/>
                <w:color w:val="auto"/>
              </w:rPr>
            </w:pPr>
          </w:p>
        </w:tc>
      </w:tr>
      <w:tr>
        <w:trPr>
          <w:trHeight w:val="217"/>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Economic gross margin</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8,318</w:t>
            </w:r>
          </w:p>
        </w:tc>
        <w:tc>
          <w:tcPr>
            <w:tcW w:w="0" w:type="dxa"/>
            <w:vAlign w:val="bottom"/>
          </w:tcPr>
          <w:p>
            <w:pPr>
              <w:spacing w:after="0"/>
              <w:rPr>
                <w:sz w:val="1"/>
                <w:szCs w:val="1"/>
                <w:color w:val="auto"/>
              </w:rPr>
            </w:pPr>
          </w:p>
        </w:tc>
      </w:tr>
    </w:tbl>
    <w:p>
      <w:pPr>
        <w:ind w:left="640" w:hanging="301"/>
        <w:spacing w:after="0"/>
        <w:tabs>
          <w:tab w:leader="none" w:pos="64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trading gains and losses and ancillary revenues</w:t>
      </w:r>
    </w:p>
    <w:p>
      <w:pPr>
        <w:spacing w:after="0" w:line="34" w:lineRule="exact"/>
        <w:rPr>
          <w:rFonts w:ascii="Times New Roman" w:cs="Times New Roman" w:eastAsia="Times New Roman" w:hAnsi="Times New Roman"/>
          <w:sz w:val="13"/>
          <w:szCs w:val="13"/>
          <w:color w:val="auto"/>
        </w:rPr>
      </w:pPr>
    </w:p>
    <w:p>
      <w:pPr>
        <w:ind w:left="640" w:hanging="301"/>
        <w:spacing w:after="0"/>
        <w:tabs>
          <w:tab w:leader="none" w:pos="64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capacity and emissions credits</w:t>
      </w:r>
    </w:p>
    <w:p>
      <w:pPr>
        <w:spacing w:after="0" w:line="34" w:lineRule="exact"/>
        <w:rPr>
          <w:rFonts w:ascii="Times New Roman" w:cs="Times New Roman" w:eastAsia="Times New Roman" w:hAnsi="Times New Roman"/>
          <w:sz w:val="13"/>
          <w:szCs w:val="13"/>
          <w:color w:val="auto"/>
        </w:rPr>
      </w:pPr>
    </w:p>
    <w:p>
      <w:pPr>
        <w:ind w:left="640" w:hanging="301"/>
        <w:spacing w:after="0"/>
        <w:tabs>
          <w:tab w:leader="none" w:pos="64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$3.5 billion, $247 million and $1.1 billion of TDSP expense in Texas, East, and West/Other, respectively</w:t>
      </w:r>
    </w:p>
    <w:p>
      <w:pPr>
        <w:spacing w:after="0" w:line="34" w:lineRule="exact"/>
        <w:rPr>
          <w:rFonts w:ascii="Times New Roman" w:cs="Times New Roman" w:eastAsia="Times New Roman" w:hAnsi="Times New Roman"/>
          <w:sz w:val="13"/>
          <w:szCs w:val="13"/>
          <w:color w:val="auto"/>
        </w:rPr>
      </w:pPr>
    </w:p>
    <w:p>
      <w:pPr>
        <w:ind w:left="640" w:hanging="301"/>
        <w:spacing w:after="0"/>
        <w:tabs>
          <w:tab w:leader="none" w:pos="64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depreciation and amortization shown separately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1"/>
        </w:trPr>
        <w:tc>
          <w:tcPr>
            <w:tcW w:w="37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w w:val="97"/>
              </w:rPr>
              <w:t>Year Ended December 31, 2025</w:t>
            </w:r>
          </w:p>
        </w:tc>
        <w:tc>
          <w:tcPr>
            <w:tcW w:w="1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3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Business Metrics</w:t>
            </w:r>
          </w:p>
        </w:tc>
        <w:tc>
          <w:tcPr>
            <w:tcW w:w="12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12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West/Other</w:t>
            </w:r>
          </w:p>
        </w:tc>
        <w:tc>
          <w:tcPr>
            <w:tcW w:w="11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w w:val="97"/>
              </w:rPr>
              <w:t>Vivint Smart</w:t>
            </w: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Corporate/Eliminations</w:t>
            </w:r>
          </w:p>
        </w:tc>
        <w:tc>
          <w:tcPr>
            <w:tcW w:w="112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76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Home</w:t>
            </w:r>
          </w:p>
        </w:tc>
        <w:tc>
          <w:tcPr>
            <w:tcW w:w="156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Home electricity sales volume (GWh)</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38,817</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15,408</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56,767</w:t>
            </w:r>
          </w:p>
        </w:tc>
        <w:tc>
          <w:tcPr>
            <w:tcW w:w="0" w:type="dxa"/>
            <w:vAlign w:val="bottom"/>
          </w:tcPr>
          <w:p>
            <w:pPr>
              <w:spacing w:after="0"/>
              <w:rPr>
                <w:sz w:val="1"/>
                <w:szCs w:val="1"/>
                <w:color w:val="auto"/>
              </w:rPr>
            </w:pPr>
          </w:p>
        </w:tc>
      </w:tr>
      <w:tr>
        <w:trPr>
          <w:trHeight w:val="224"/>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electricity sales volume (GWh)</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39,278</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12,613</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97,233</w:t>
            </w:r>
          </w:p>
        </w:tc>
        <w:tc>
          <w:tcPr>
            <w:tcW w:w="0" w:type="dxa"/>
            <w:vAlign w:val="bottom"/>
          </w:tcPr>
          <w:p>
            <w:pPr>
              <w:spacing w:after="0"/>
              <w:rPr>
                <w:sz w:val="1"/>
                <w:szCs w:val="1"/>
                <w:color w:val="auto"/>
              </w:rPr>
            </w:pPr>
          </w:p>
        </w:tc>
      </w:tr>
      <w:tr>
        <w:trPr>
          <w:trHeight w:val="224"/>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Home natural gas retail sales volumes (MDth)</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73,926</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124,954</w:t>
            </w:r>
          </w:p>
        </w:tc>
        <w:tc>
          <w:tcPr>
            <w:tcW w:w="0" w:type="dxa"/>
            <w:vAlign w:val="bottom"/>
          </w:tcPr>
          <w:p>
            <w:pPr>
              <w:spacing w:after="0"/>
              <w:rPr>
                <w:sz w:val="1"/>
                <w:szCs w:val="1"/>
                <w:color w:val="auto"/>
              </w:rPr>
            </w:pPr>
          </w:p>
        </w:tc>
      </w:tr>
      <w:tr>
        <w:trPr>
          <w:trHeight w:val="224"/>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natural gas retail sales volumes (MDth)</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1,549,286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182,581</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1,731,867</w:t>
            </w:r>
          </w:p>
        </w:tc>
        <w:tc>
          <w:tcPr>
            <w:tcW w:w="0" w:type="dxa"/>
            <w:vAlign w:val="bottom"/>
          </w:tcPr>
          <w:p>
            <w:pPr>
              <w:spacing w:after="0"/>
              <w:rPr>
                <w:sz w:val="1"/>
                <w:szCs w:val="1"/>
                <w:color w:val="auto"/>
              </w:rPr>
            </w:pPr>
          </w:p>
        </w:tc>
      </w:tr>
      <w:tr>
        <w:trPr>
          <w:trHeight w:val="171"/>
        </w:trPr>
        <w:tc>
          <w:tcPr>
            <w:tcW w:w="376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8"/>
                <w:szCs w:val="18"/>
                <w:color w:val="auto"/>
              </w:rPr>
              <w:t>Average retail Home customer count (in</w:t>
            </w: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760" w:type="dxa"/>
            <w:vAlign w:val="bottom"/>
            <w:shd w:val="clear" w:color="auto" w:fill="CCEEFF"/>
          </w:tcPr>
          <w:p>
            <w:pPr>
              <w:ind w:left="140"/>
              <w:spacing w:after="0" w:line="237" w:lineRule="exact"/>
              <w:rPr>
                <w:sz w:val="20"/>
                <w:szCs w:val="20"/>
                <w:color w:val="auto"/>
              </w:rPr>
            </w:pPr>
            <w:r>
              <w:rPr>
                <w:rFonts w:ascii="Times New Roman" w:cs="Times New Roman" w:eastAsia="Times New Roman" w:hAnsi="Times New Roman"/>
                <w:sz w:val="18"/>
                <w:szCs w:val="18"/>
                <w:color w:val="auto"/>
              </w:rPr>
              <w:t>thousands)</w:t>
            </w:r>
            <w:r>
              <w:rPr>
                <w:rFonts w:ascii="Times New Roman" w:cs="Times New Roman" w:eastAsia="Times New Roman" w:hAnsi="Times New Roman"/>
                <w:sz w:val="22"/>
                <w:szCs w:val="22"/>
                <w:color w:val="auto"/>
                <w:vertAlign w:val="superscript"/>
              </w:rPr>
              <w:t>(a)</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0" w:type="dxa"/>
            <w:vAlign w:val="bottom"/>
          </w:tcPr>
          <w:p>
            <w:pPr>
              <w:spacing w:after="0"/>
              <w:rPr>
                <w:sz w:val="1"/>
                <w:szCs w:val="1"/>
                <w:color w:val="auto"/>
              </w:rPr>
            </w:pPr>
          </w:p>
        </w:tc>
      </w:tr>
      <w:tr>
        <w:trPr>
          <w:trHeight w:val="171"/>
        </w:trPr>
        <w:tc>
          <w:tcPr>
            <w:tcW w:w="3760" w:type="dxa"/>
            <w:vAlign w:val="bottom"/>
          </w:tcPr>
          <w:p>
            <w:pPr>
              <w:ind w:left="140"/>
              <w:spacing w:after="0" w:line="171" w:lineRule="exact"/>
              <w:rPr>
                <w:sz w:val="20"/>
                <w:szCs w:val="20"/>
                <w:color w:val="auto"/>
              </w:rPr>
            </w:pPr>
            <w:r>
              <w:rPr>
                <w:rFonts w:ascii="Times New Roman" w:cs="Times New Roman" w:eastAsia="Times New Roman" w:hAnsi="Times New Roman"/>
                <w:sz w:val="18"/>
                <w:szCs w:val="18"/>
                <w:color w:val="auto"/>
                <w:w w:val="98"/>
              </w:rPr>
              <w:t>Ending retail Home customer count (in thousands)</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vMerge w:val="restart"/>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5,632</w:t>
            </w:r>
          </w:p>
        </w:tc>
        <w:tc>
          <w:tcPr>
            <w:tcW w:w="0" w:type="dxa"/>
            <w:vAlign w:val="bottom"/>
          </w:tcPr>
          <w:p>
            <w:pPr>
              <w:spacing w:after="0"/>
              <w:rPr>
                <w:sz w:val="1"/>
                <w:szCs w:val="1"/>
                <w:color w:val="auto"/>
              </w:rPr>
            </w:pPr>
          </w:p>
        </w:tc>
      </w:tr>
      <w:tr>
        <w:trPr>
          <w:trHeight w:val="171"/>
        </w:trPr>
        <w:tc>
          <w:tcPr>
            <w:tcW w:w="37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w:t>
            </w: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6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8"/>
                <w:szCs w:val="18"/>
                <w:color w:val="auto"/>
              </w:rPr>
              <w:t>Average Vivint Smart Home customer count (in</w:t>
            </w: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760" w:type="dxa"/>
            <w:vAlign w:val="bottom"/>
            <w:shd w:val="clear" w:color="auto" w:fill="CCEEFF"/>
          </w:tcPr>
          <w:p>
            <w:pPr>
              <w:ind w:left="140"/>
              <w:spacing w:after="0" w:line="237" w:lineRule="exact"/>
              <w:rPr>
                <w:sz w:val="20"/>
                <w:szCs w:val="20"/>
                <w:color w:val="auto"/>
              </w:rPr>
            </w:pPr>
            <w:r>
              <w:rPr>
                <w:rFonts w:ascii="Times New Roman" w:cs="Times New Roman" w:eastAsia="Times New Roman" w:hAnsi="Times New Roman"/>
                <w:sz w:val="18"/>
                <w:szCs w:val="18"/>
                <w:color w:val="auto"/>
              </w:rPr>
              <w:t>thousands)</w:t>
            </w:r>
            <w:r>
              <w:rPr>
                <w:rFonts w:ascii="Times New Roman" w:cs="Times New Roman" w:eastAsia="Times New Roman" w:hAnsi="Times New Roman"/>
                <w:sz w:val="22"/>
                <w:szCs w:val="22"/>
                <w:color w:val="auto"/>
                <w:vertAlign w:val="superscript"/>
              </w:rPr>
              <w:t>(b)</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0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0" w:type="dxa"/>
            <w:vAlign w:val="bottom"/>
          </w:tcPr>
          <w:p>
            <w:pPr>
              <w:spacing w:after="0"/>
              <w:rPr>
                <w:sz w:val="1"/>
                <w:szCs w:val="1"/>
                <w:color w:val="auto"/>
              </w:rPr>
            </w:pPr>
          </w:p>
        </w:tc>
      </w:tr>
      <w:tr>
        <w:trPr>
          <w:trHeight w:val="171"/>
        </w:trPr>
        <w:tc>
          <w:tcPr>
            <w:tcW w:w="3760" w:type="dxa"/>
            <w:vAlign w:val="bottom"/>
          </w:tcPr>
          <w:p>
            <w:pPr>
              <w:ind w:left="140"/>
              <w:spacing w:after="0" w:line="171" w:lineRule="exact"/>
              <w:rPr>
                <w:sz w:val="20"/>
                <w:szCs w:val="20"/>
                <w:color w:val="auto"/>
              </w:rPr>
            </w:pPr>
            <w:r>
              <w:rPr>
                <w:rFonts w:ascii="Times New Roman" w:cs="Times New Roman" w:eastAsia="Times New Roman" w:hAnsi="Times New Roman"/>
                <w:sz w:val="18"/>
                <w:szCs w:val="18"/>
                <w:color w:val="auto"/>
              </w:rPr>
              <w:t>Ending Vivint Smart Home customer count (in</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760" w:type="dxa"/>
            <w:vAlign w:val="bottom"/>
          </w:tcPr>
          <w:p>
            <w:pPr>
              <w:ind w:left="140"/>
              <w:spacing w:after="0" w:line="237" w:lineRule="exact"/>
              <w:rPr>
                <w:sz w:val="20"/>
                <w:szCs w:val="20"/>
                <w:color w:val="auto"/>
              </w:rPr>
            </w:pPr>
            <w:r>
              <w:rPr>
                <w:rFonts w:ascii="Times New Roman" w:cs="Times New Roman" w:eastAsia="Times New Roman" w:hAnsi="Times New Roman"/>
                <w:sz w:val="18"/>
                <w:szCs w:val="18"/>
                <w:color w:val="auto"/>
              </w:rPr>
              <w:t>thousands)</w:t>
            </w:r>
            <w:r>
              <w:rPr>
                <w:rFonts w:ascii="Times New Roman" w:cs="Times New Roman" w:eastAsia="Times New Roman" w:hAnsi="Times New Roman"/>
                <w:sz w:val="22"/>
                <w:szCs w:val="22"/>
                <w:color w:val="auto"/>
                <w:vertAlign w:val="superscript"/>
              </w:rPr>
              <w:t>(b)(c)</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00" w:type="dxa"/>
            <w:vAlign w:val="bottom"/>
          </w:tcPr>
          <w:p>
            <w:pPr>
              <w:spacing w:after="0"/>
              <w:rPr>
                <w:sz w:val="20"/>
                <w:szCs w:val="20"/>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0" w:type="dxa"/>
            <w:vAlign w:val="bottom"/>
          </w:tcPr>
          <w:p>
            <w:pPr>
              <w:spacing w:after="0"/>
              <w:rPr>
                <w:sz w:val="1"/>
                <w:szCs w:val="1"/>
                <w:color w:val="auto"/>
              </w:rPr>
            </w:pPr>
          </w:p>
        </w:tc>
      </w:tr>
      <w:tr>
        <w:trPr>
          <w:trHeight w:val="224"/>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GWh sold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36,816</w:t>
            </w:r>
          </w:p>
        </w:tc>
        <w:tc>
          <w:tcPr>
            <w:tcW w:w="0" w:type="dxa"/>
            <w:vAlign w:val="bottom"/>
          </w:tcPr>
          <w:p>
            <w:pPr>
              <w:spacing w:after="0"/>
              <w:rPr>
                <w:sz w:val="1"/>
                <w:szCs w:val="1"/>
                <w:color w:val="auto"/>
              </w:rPr>
            </w:pPr>
          </w:p>
        </w:tc>
      </w:tr>
      <w:tr>
        <w:trPr>
          <w:trHeight w:val="230"/>
        </w:trPr>
        <w:tc>
          <w:tcPr>
            <w:tcW w:w="37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GWh generated </w:t>
            </w:r>
            <w:r>
              <w:rPr>
                <w:rFonts w:ascii="Times New Roman" w:cs="Times New Roman" w:eastAsia="Times New Roman" w:hAnsi="Times New Roman"/>
                <w:sz w:val="22"/>
                <w:szCs w:val="22"/>
                <w:color w:val="auto"/>
                <w:vertAlign w:val="superscript"/>
              </w:rPr>
              <w:t>(d)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28,728</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34,568</w:t>
            </w:r>
          </w:p>
        </w:tc>
        <w:tc>
          <w:tcPr>
            <w:tcW w:w="0" w:type="dxa"/>
            <w:vAlign w:val="bottom"/>
          </w:tcPr>
          <w:p>
            <w:pPr>
              <w:spacing w:after="0"/>
              <w:rPr>
                <w:sz w:val="1"/>
                <w:szCs w:val="1"/>
                <w:color w:val="auto"/>
              </w:rPr>
            </w:pPr>
          </w:p>
        </w:tc>
      </w:tr>
    </w:tbl>
    <w:p>
      <w:pPr>
        <w:ind w:left="660" w:hanging="321"/>
        <w:spacing w:after="0"/>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Home customer count includes recurring residential customers and community choice</w:t>
      </w:r>
    </w:p>
    <w:p>
      <w:pPr>
        <w:spacing w:after="0" w:line="20" w:lineRule="exact"/>
        <w:rPr>
          <w:rFonts w:ascii="Times New Roman" w:cs="Times New Roman" w:eastAsia="Times New Roman" w:hAnsi="Times New Roman"/>
          <w:sz w:val="14"/>
          <w:szCs w:val="14"/>
          <w:color w:val="auto"/>
        </w:rPr>
      </w:pPr>
    </w:p>
    <w:p>
      <w:pPr>
        <w:ind w:left="640" w:hanging="301"/>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Vivint Smart Home includes customers that also purchase other NRG products such as electricity</w:t>
      </w:r>
    </w:p>
    <w:p>
      <w:pPr>
        <w:spacing w:after="0" w:line="36" w:lineRule="exact"/>
        <w:rPr>
          <w:rFonts w:ascii="Times New Roman" w:cs="Times New Roman" w:eastAsia="Times New Roman" w:hAnsi="Times New Roman"/>
          <w:sz w:val="14"/>
          <w:szCs w:val="14"/>
          <w:color w:val="auto"/>
        </w:rPr>
      </w:pPr>
    </w:p>
    <w:p>
      <w:pPr>
        <w:ind w:left="520" w:hanging="182"/>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Vivint Smart Home includes 67 thousand Home Protection (non-Vivint) customers</w:t>
      </w:r>
    </w:p>
    <w:p>
      <w:pPr>
        <w:spacing w:after="0" w:line="36" w:lineRule="exact"/>
        <w:rPr>
          <w:rFonts w:ascii="Times New Roman" w:cs="Times New Roman" w:eastAsia="Times New Roman" w:hAnsi="Times New Roman"/>
          <w:sz w:val="14"/>
          <w:szCs w:val="14"/>
          <w:color w:val="auto"/>
        </w:rPr>
      </w:pPr>
    </w:p>
    <w:p>
      <w:pPr>
        <w:ind w:left="540" w:hanging="202"/>
        <w:spacing w:after="0"/>
        <w:tabs>
          <w:tab w:leader="none" w:pos="5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owned and leased generation, excludes tolled generation and equity investments. Cottonwood lease ended in May 2025</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1"/>
        </w:trPr>
        <w:tc>
          <w:tcPr>
            <w:tcW w:w="3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w w:val="98"/>
              </w:rPr>
              <w:t>Year Ended December 31, 2024</w:t>
            </w:r>
          </w:p>
        </w:tc>
        <w:tc>
          <w:tcPr>
            <w:tcW w:w="6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 except otherwise noted)</w:t>
            </w:r>
          </w:p>
        </w:tc>
        <w:tc>
          <w:tcPr>
            <w:tcW w:w="24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260" w:type="dxa"/>
            <w:vAlign w:val="bottom"/>
          </w:tcPr>
          <w:p>
            <w:pPr>
              <w:spacing w:after="0"/>
              <w:rPr>
                <w:sz w:val="11"/>
                <w:szCs w:val="11"/>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6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West/Other</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w w:val="97"/>
              </w:rPr>
              <w:t>Vivint Smart</w:t>
            </w:r>
          </w:p>
        </w:tc>
        <w:tc>
          <w:tcPr>
            <w:tcW w:w="1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Corporate/Eliminations</w:t>
            </w:r>
          </w:p>
        </w:tc>
        <w:tc>
          <w:tcPr>
            <w:tcW w:w="260" w:type="dxa"/>
            <w:vAlign w:val="bottom"/>
          </w:tcPr>
          <w:p>
            <w:pPr>
              <w:spacing w:after="0"/>
              <w:rPr>
                <w:sz w:val="11"/>
                <w:szCs w:val="11"/>
                <w:color w:val="auto"/>
              </w:rPr>
            </w:pPr>
          </w:p>
        </w:tc>
        <w:tc>
          <w:tcPr>
            <w:tcW w:w="86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Home</w:t>
            </w:r>
          </w:p>
        </w:tc>
        <w:tc>
          <w:tcPr>
            <w:tcW w:w="156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Retail revenue</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27,149</w:t>
            </w:r>
          </w:p>
        </w:tc>
        <w:tc>
          <w:tcPr>
            <w:tcW w:w="0" w:type="dxa"/>
            <w:vAlign w:val="bottom"/>
          </w:tcPr>
          <w:p>
            <w:pPr>
              <w:spacing w:after="0"/>
              <w:rPr>
                <w:sz w:val="1"/>
                <w:szCs w:val="1"/>
                <w:color w:val="auto"/>
              </w:rPr>
            </w:pPr>
          </w:p>
        </w:tc>
      </w:tr>
      <w:tr>
        <w:trPr>
          <w:trHeight w:val="224"/>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Energy revenue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4"/>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Capacity revenue</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24"/>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Mark-to-market for economic hedging activities</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4"/>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amortization</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4"/>
        </w:trPr>
        <w:tc>
          <w:tcPr>
            <w:tcW w:w="3720" w:type="dxa"/>
            <w:vAlign w:val="bottom"/>
          </w:tcPr>
          <w:p>
            <w:pPr>
              <w:ind w:left="140"/>
              <w:spacing w:after="0" w:line="224"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2"/>
                <w:szCs w:val="22"/>
                <w:color w:val="auto"/>
                <w:vertAlign w:val="superscript"/>
              </w:rPr>
              <w:t>(a)</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7"/>
        </w:trPr>
        <w:tc>
          <w:tcPr>
            <w:tcW w:w="37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10,651</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28,130</w:t>
            </w:r>
          </w:p>
        </w:tc>
        <w:tc>
          <w:tcPr>
            <w:tcW w:w="0" w:type="dxa"/>
            <w:vAlign w:val="bottom"/>
          </w:tcPr>
          <w:p>
            <w:pPr>
              <w:spacing w:after="0"/>
              <w:rPr>
                <w:sz w:val="1"/>
                <w:szCs w:val="1"/>
                <w:color w:val="auto"/>
              </w:rPr>
            </w:pPr>
          </w:p>
        </w:tc>
      </w:tr>
      <w:tr>
        <w:trPr>
          <w:trHeight w:val="224"/>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fuel</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24"/>
        </w:trPr>
        <w:tc>
          <w:tcPr>
            <w:tcW w:w="372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Purchased energy and other costs of sales</w:t>
            </w:r>
            <w:r>
              <w:rPr>
                <w:rFonts w:ascii="Times New Roman" w:cs="Times New Roman" w:eastAsia="Times New Roman" w:hAnsi="Times New Roman"/>
                <w:sz w:val="22"/>
                <w:szCs w:val="22"/>
                <w:color w:val="auto"/>
                <w:vertAlign w:val="superscript"/>
              </w:rPr>
              <w:t>(b)(c)(d)</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(19,371)</w:t>
            </w:r>
          </w:p>
        </w:tc>
        <w:tc>
          <w:tcPr>
            <w:tcW w:w="0" w:type="dxa"/>
            <w:vAlign w:val="bottom"/>
          </w:tcPr>
          <w:p>
            <w:pPr>
              <w:spacing w:after="0"/>
              <w:rPr>
                <w:sz w:val="1"/>
                <w:szCs w:val="1"/>
                <w:color w:val="auto"/>
              </w:rPr>
            </w:pPr>
          </w:p>
        </w:tc>
      </w:tr>
      <w:tr>
        <w:trPr>
          <w:trHeight w:val="224"/>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Mark-to-market for economic hedging activities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4"/>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and emissions credit amortization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4"/>
        </w:trPr>
        <w:tc>
          <w:tcPr>
            <w:tcW w:w="3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17"/>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0" w:type="dxa"/>
            <w:vAlign w:val="bottom"/>
          </w:tcPr>
          <w:p>
            <w:pPr>
              <w:spacing w:after="0"/>
              <w:rPr>
                <w:sz w:val="1"/>
                <w:szCs w:val="1"/>
                <w:color w:val="auto"/>
              </w:rPr>
            </w:pPr>
          </w:p>
        </w:tc>
      </w:tr>
      <w:tr>
        <w:trPr>
          <w:trHeight w:val="171"/>
        </w:trPr>
        <w:tc>
          <w:tcPr>
            <w:tcW w:w="3720" w:type="dxa"/>
            <w:vAlign w:val="bottom"/>
          </w:tcPr>
          <w:p>
            <w:pPr>
              <w:ind w:left="140"/>
              <w:spacing w:after="0" w:line="171" w:lineRule="exact"/>
              <w:rPr>
                <w:sz w:val="20"/>
                <w:szCs w:val="20"/>
                <w:color w:val="auto"/>
              </w:rPr>
            </w:pPr>
            <w:r>
              <w:rPr>
                <w:rFonts w:ascii="Times New Roman" w:cs="Times New Roman" w:eastAsia="Times New Roman" w:hAnsi="Times New Roman"/>
                <w:sz w:val="18"/>
                <w:szCs w:val="18"/>
                <w:color w:val="auto"/>
              </w:rPr>
              <w:t>Less: Mark-to-market for economic hedging</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activities, net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171"/>
        </w:trPr>
        <w:tc>
          <w:tcPr>
            <w:tcW w:w="372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8"/>
                <w:szCs w:val="18"/>
                <w:color w:val="auto"/>
                <w:w w:val="99"/>
              </w:rPr>
              <w:t>Less: Contract and emissions credit amortization,</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4"/>
        </w:trPr>
        <w:tc>
          <w:tcPr>
            <w:tcW w:w="3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17"/>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Economic gross margin</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7,901</w:t>
            </w:r>
          </w:p>
        </w:tc>
        <w:tc>
          <w:tcPr>
            <w:tcW w:w="0" w:type="dxa"/>
            <w:vAlign w:val="bottom"/>
          </w:tcPr>
          <w:p>
            <w:pPr>
              <w:spacing w:after="0"/>
              <w:rPr>
                <w:sz w:val="1"/>
                <w:szCs w:val="1"/>
                <w:color w:val="auto"/>
              </w:rPr>
            </w:pPr>
          </w:p>
        </w:tc>
      </w:tr>
    </w:tbl>
    <w:p>
      <w:pPr>
        <w:ind w:left="660" w:hanging="321"/>
        <w:spacing w:after="0"/>
        <w:tabs>
          <w:tab w:leader="none" w:pos="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Includes trading gains and losses and ancillary revenues</w:t>
      </w:r>
    </w:p>
    <w:p>
      <w:pPr>
        <w:spacing w:after="0" w:line="36" w:lineRule="exact"/>
        <w:rPr>
          <w:rFonts w:ascii="Times New Roman" w:cs="Times New Roman" w:eastAsia="Times New Roman" w:hAnsi="Times New Roman"/>
          <w:sz w:val="14"/>
          <w:szCs w:val="14"/>
          <w:color w:val="auto"/>
        </w:rPr>
      </w:pPr>
    </w:p>
    <w:p>
      <w:pPr>
        <w:ind w:left="640" w:hanging="301"/>
        <w:spacing w:after="0"/>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Includes capacity and emissions credits</w:t>
      </w:r>
    </w:p>
    <w:p>
      <w:pPr>
        <w:spacing w:after="0" w:line="36" w:lineRule="exact"/>
        <w:rPr>
          <w:rFonts w:ascii="Times New Roman" w:cs="Times New Roman" w:eastAsia="Times New Roman" w:hAnsi="Times New Roman"/>
          <w:sz w:val="14"/>
          <w:szCs w:val="14"/>
          <w:color w:val="auto"/>
        </w:rPr>
      </w:pPr>
    </w:p>
    <w:p>
      <w:pPr>
        <w:ind w:left="640" w:hanging="301"/>
        <w:spacing w:after="0"/>
        <w:tabs>
          <w:tab w:leader="none" w:pos="64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$3.3 billion, $278 million and $1.2 billion of TDSP expense in Texas, East, and West/Other, respectively</w:t>
      </w:r>
    </w:p>
    <w:p>
      <w:pPr>
        <w:spacing w:after="0" w:line="34" w:lineRule="exact"/>
        <w:rPr>
          <w:rFonts w:ascii="Times New Roman" w:cs="Times New Roman" w:eastAsia="Times New Roman" w:hAnsi="Times New Roman"/>
          <w:sz w:val="13"/>
          <w:szCs w:val="13"/>
          <w:color w:val="auto"/>
        </w:rPr>
      </w:pPr>
    </w:p>
    <w:p>
      <w:pPr>
        <w:ind w:left="640" w:hanging="301"/>
        <w:spacing w:after="0"/>
        <w:tabs>
          <w:tab w:leader="none" w:pos="64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depreciation and amortization shown separately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Business Metrics</w:t>
            </w:r>
          </w:p>
        </w:tc>
        <w:tc>
          <w:tcPr>
            <w:tcW w:w="12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12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West/Other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Vivint Smart</w:t>
            </w: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Corporate/Eliminations</w:t>
            </w:r>
          </w:p>
        </w:tc>
        <w:tc>
          <w:tcPr>
            <w:tcW w:w="112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72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Home</w:t>
            </w:r>
          </w:p>
        </w:tc>
        <w:tc>
          <w:tcPr>
            <w:tcW w:w="156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Home electricity sales volume (GWh)</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39,353</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15,229</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56,937</w:t>
            </w:r>
          </w:p>
        </w:tc>
        <w:tc>
          <w:tcPr>
            <w:tcW w:w="0" w:type="dxa"/>
            <w:vAlign w:val="bottom"/>
          </w:tcPr>
          <w:p>
            <w:pPr>
              <w:spacing w:after="0"/>
              <w:rPr>
                <w:sz w:val="1"/>
                <w:szCs w:val="1"/>
                <w:color w:val="auto"/>
              </w:rPr>
            </w:pPr>
          </w:p>
        </w:tc>
      </w:tr>
      <w:tr>
        <w:trPr>
          <w:trHeight w:val="224"/>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electricity sales volume (GWh)</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40,274</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46,724</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10,513</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97,511</w:t>
            </w:r>
          </w:p>
        </w:tc>
        <w:tc>
          <w:tcPr>
            <w:tcW w:w="0" w:type="dxa"/>
            <w:vAlign w:val="bottom"/>
          </w:tcPr>
          <w:p>
            <w:pPr>
              <w:spacing w:after="0"/>
              <w:rPr>
                <w:sz w:val="1"/>
                <w:szCs w:val="1"/>
                <w:color w:val="auto"/>
              </w:rPr>
            </w:pPr>
          </w:p>
        </w:tc>
      </w:tr>
      <w:tr>
        <w:trPr>
          <w:trHeight w:val="224"/>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Home natural gas retail sales volumes (MDth)</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75,898</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125,825</w:t>
            </w:r>
          </w:p>
        </w:tc>
        <w:tc>
          <w:tcPr>
            <w:tcW w:w="0" w:type="dxa"/>
            <w:vAlign w:val="bottom"/>
          </w:tcPr>
          <w:p>
            <w:pPr>
              <w:spacing w:after="0"/>
              <w:rPr>
                <w:sz w:val="1"/>
                <w:szCs w:val="1"/>
                <w:color w:val="auto"/>
              </w:rPr>
            </w:pPr>
          </w:p>
        </w:tc>
      </w:tr>
      <w:tr>
        <w:trPr>
          <w:trHeight w:val="224"/>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natural gas retail sales volumes (MDth)</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1,525,094</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181,972</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1,707,066</w:t>
            </w:r>
          </w:p>
        </w:tc>
        <w:tc>
          <w:tcPr>
            <w:tcW w:w="0" w:type="dxa"/>
            <w:vAlign w:val="bottom"/>
          </w:tcPr>
          <w:p>
            <w:pPr>
              <w:spacing w:after="0"/>
              <w:rPr>
                <w:sz w:val="1"/>
                <w:szCs w:val="1"/>
                <w:color w:val="auto"/>
              </w:rPr>
            </w:pPr>
          </w:p>
        </w:tc>
      </w:tr>
      <w:tr>
        <w:trPr>
          <w:trHeight w:val="171"/>
        </w:trPr>
        <w:tc>
          <w:tcPr>
            <w:tcW w:w="372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8"/>
                <w:szCs w:val="18"/>
                <w:color w:val="auto"/>
              </w:rPr>
              <w:t>Average retail Home customer count (in</w:t>
            </w: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720" w:type="dxa"/>
            <w:vAlign w:val="bottom"/>
            <w:shd w:val="clear" w:color="auto" w:fill="CCEEFF"/>
          </w:tcPr>
          <w:p>
            <w:pPr>
              <w:ind w:left="140"/>
              <w:spacing w:after="0" w:line="237" w:lineRule="exact"/>
              <w:rPr>
                <w:sz w:val="20"/>
                <w:szCs w:val="20"/>
                <w:color w:val="auto"/>
              </w:rPr>
            </w:pPr>
            <w:r>
              <w:rPr>
                <w:rFonts w:ascii="Times New Roman" w:cs="Times New Roman" w:eastAsia="Times New Roman" w:hAnsi="Times New Roman"/>
                <w:sz w:val="18"/>
                <w:szCs w:val="18"/>
                <w:color w:val="auto"/>
              </w:rPr>
              <w:t>thousands)</w:t>
            </w:r>
            <w:r>
              <w:rPr>
                <w:rFonts w:ascii="Times New Roman" w:cs="Times New Roman" w:eastAsia="Times New Roman" w:hAnsi="Times New Roman"/>
                <w:sz w:val="22"/>
                <w:szCs w:val="22"/>
                <w:color w:val="auto"/>
                <w:vertAlign w:val="superscript"/>
              </w:rPr>
              <w:t>(a)</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0" w:type="dxa"/>
            <w:vAlign w:val="bottom"/>
          </w:tcPr>
          <w:p>
            <w:pPr>
              <w:spacing w:after="0"/>
              <w:rPr>
                <w:sz w:val="1"/>
                <w:szCs w:val="1"/>
                <w:color w:val="auto"/>
              </w:rPr>
            </w:pPr>
          </w:p>
        </w:tc>
      </w:tr>
      <w:tr>
        <w:trPr>
          <w:trHeight w:val="171"/>
        </w:trPr>
        <w:tc>
          <w:tcPr>
            <w:tcW w:w="3720" w:type="dxa"/>
            <w:vAlign w:val="bottom"/>
          </w:tcPr>
          <w:p>
            <w:pPr>
              <w:ind w:left="140"/>
              <w:spacing w:after="0" w:line="171" w:lineRule="exact"/>
              <w:rPr>
                <w:sz w:val="20"/>
                <w:szCs w:val="20"/>
                <w:color w:val="auto"/>
              </w:rPr>
            </w:pPr>
            <w:r>
              <w:rPr>
                <w:rFonts w:ascii="Times New Roman" w:cs="Times New Roman" w:eastAsia="Times New Roman" w:hAnsi="Times New Roman"/>
                <w:sz w:val="18"/>
                <w:szCs w:val="18"/>
                <w:color w:val="auto"/>
                <w:w w:val="97"/>
              </w:rPr>
              <w:t>Ending retail Home customer count (in thousands)</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tcPr>
          <w:p>
            <w:pPr>
              <w:spacing w:after="0"/>
              <w:rPr>
                <w:sz w:val="14"/>
                <w:szCs w:val="14"/>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vMerge w:val="restart"/>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0" w:type="dxa"/>
            <w:vAlign w:val="bottom"/>
          </w:tcPr>
          <w:p>
            <w:pPr>
              <w:spacing w:after="0"/>
              <w:rPr>
                <w:sz w:val="1"/>
                <w:szCs w:val="1"/>
                <w:color w:val="auto"/>
              </w:rPr>
            </w:pPr>
          </w:p>
        </w:tc>
      </w:tr>
      <w:tr>
        <w:trPr>
          <w:trHeight w:val="171"/>
        </w:trPr>
        <w:tc>
          <w:tcPr>
            <w:tcW w:w="37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w:t>
            </w: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8"/>
                <w:szCs w:val="18"/>
                <w:color w:val="auto"/>
              </w:rPr>
              <w:t>Average Vivint Smart Home customer count (in</w:t>
            </w: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720" w:type="dxa"/>
            <w:vAlign w:val="bottom"/>
            <w:shd w:val="clear" w:color="auto" w:fill="CCEEFF"/>
          </w:tcPr>
          <w:p>
            <w:pPr>
              <w:ind w:left="140"/>
              <w:spacing w:after="0" w:line="237" w:lineRule="exact"/>
              <w:rPr>
                <w:sz w:val="20"/>
                <w:szCs w:val="20"/>
                <w:color w:val="auto"/>
              </w:rPr>
            </w:pPr>
            <w:r>
              <w:rPr>
                <w:rFonts w:ascii="Times New Roman" w:cs="Times New Roman" w:eastAsia="Times New Roman" w:hAnsi="Times New Roman"/>
                <w:sz w:val="18"/>
                <w:szCs w:val="18"/>
                <w:color w:val="auto"/>
              </w:rPr>
              <w:t>thousands)</w:t>
            </w:r>
            <w:r>
              <w:rPr>
                <w:rFonts w:ascii="Times New Roman" w:cs="Times New Roman" w:eastAsia="Times New Roman" w:hAnsi="Times New Roman"/>
                <w:sz w:val="22"/>
                <w:szCs w:val="22"/>
                <w:color w:val="auto"/>
                <w:vertAlign w:val="superscript"/>
              </w:rPr>
              <w:t>(b)</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0" w:type="dxa"/>
            <w:vAlign w:val="bottom"/>
          </w:tcPr>
          <w:p>
            <w:pPr>
              <w:spacing w:after="0"/>
              <w:rPr>
                <w:sz w:val="1"/>
                <w:szCs w:val="1"/>
                <w:color w:val="auto"/>
              </w:rPr>
            </w:pPr>
          </w:p>
        </w:tc>
      </w:tr>
      <w:tr>
        <w:trPr>
          <w:trHeight w:val="171"/>
        </w:trPr>
        <w:tc>
          <w:tcPr>
            <w:tcW w:w="3720" w:type="dxa"/>
            <w:vAlign w:val="bottom"/>
          </w:tcPr>
          <w:p>
            <w:pPr>
              <w:ind w:left="140"/>
              <w:spacing w:after="0" w:line="171" w:lineRule="exact"/>
              <w:rPr>
                <w:sz w:val="20"/>
                <w:szCs w:val="20"/>
                <w:color w:val="auto"/>
              </w:rPr>
            </w:pPr>
            <w:r>
              <w:rPr>
                <w:rFonts w:ascii="Times New Roman" w:cs="Times New Roman" w:eastAsia="Times New Roman" w:hAnsi="Times New Roman"/>
                <w:sz w:val="18"/>
                <w:szCs w:val="18"/>
                <w:color w:val="auto"/>
              </w:rPr>
              <w:t>Ending Vivint Smart Home customer count (in</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140"/>
              <w:spacing w:after="0" w:line="237" w:lineRule="exact"/>
              <w:rPr>
                <w:sz w:val="20"/>
                <w:szCs w:val="20"/>
                <w:color w:val="auto"/>
              </w:rPr>
            </w:pPr>
            <w:r>
              <w:rPr>
                <w:rFonts w:ascii="Times New Roman" w:cs="Times New Roman" w:eastAsia="Times New Roman" w:hAnsi="Times New Roman"/>
                <w:sz w:val="18"/>
                <w:szCs w:val="18"/>
                <w:color w:val="auto"/>
              </w:rPr>
              <w:t>thousands)</w:t>
            </w:r>
            <w:r>
              <w:rPr>
                <w:rFonts w:ascii="Times New Roman" w:cs="Times New Roman" w:eastAsia="Times New Roman" w:hAnsi="Times New Roman"/>
                <w:sz w:val="22"/>
                <w:szCs w:val="22"/>
                <w:color w:val="auto"/>
                <w:vertAlign w:val="superscript"/>
              </w:rPr>
              <w:t>(b)(c)</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00" w:type="dxa"/>
            <w:vAlign w:val="bottom"/>
          </w:tcPr>
          <w:p>
            <w:pPr>
              <w:spacing w:after="0"/>
              <w:rPr>
                <w:sz w:val="20"/>
                <w:szCs w:val="20"/>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0" w:type="dxa"/>
            <w:vAlign w:val="bottom"/>
          </w:tcPr>
          <w:p>
            <w:pPr>
              <w:spacing w:after="0"/>
              <w:rPr>
                <w:sz w:val="1"/>
                <w:szCs w:val="1"/>
                <w:color w:val="auto"/>
              </w:rPr>
            </w:pPr>
          </w:p>
        </w:tc>
      </w:tr>
      <w:tr>
        <w:trPr>
          <w:trHeight w:val="224"/>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GWh sold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33,769</w:t>
            </w:r>
          </w:p>
        </w:tc>
        <w:tc>
          <w:tcPr>
            <w:tcW w:w="0" w:type="dxa"/>
            <w:vAlign w:val="bottom"/>
          </w:tcPr>
          <w:p>
            <w:pPr>
              <w:spacing w:after="0"/>
              <w:rPr>
                <w:sz w:val="1"/>
                <w:szCs w:val="1"/>
                <w:color w:val="auto"/>
              </w:rPr>
            </w:pPr>
          </w:p>
        </w:tc>
      </w:tr>
      <w:tr>
        <w:trPr>
          <w:trHeight w:val="230"/>
        </w:trPr>
        <w:tc>
          <w:tcPr>
            <w:tcW w:w="37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GWh generated</w:t>
            </w:r>
            <w:r>
              <w:rPr>
                <w:rFonts w:ascii="Times New Roman" w:cs="Times New Roman" w:eastAsia="Times New Roman" w:hAnsi="Times New Roman"/>
                <w:sz w:val="22"/>
                <w:szCs w:val="22"/>
                <w:color w:val="auto"/>
                <w:vertAlign w:val="superscript"/>
              </w:rPr>
              <w:t>(d)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23,350</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31,699</w:t>
            </w:r>
          </w:p>
        </w:tc>
        <w:tc>
          <w:tcPr>
            <w:tcW w:w="0" w:type="dxa"/>
            <w:vAlign w:val="bottom"/>
          </w:tcPr>
          <w:p>
            <w:pPr>
              <w:spacing w:after="0"/>
              <w:rPr>
                <w:sz w:val="1"/>
                <w:szCs w:val="1"/>
                <w:color w:val="auto"/>
              </w:rPr>
            </w:pPr>
          </w:p>
        </w:tc>
      </w:tr>
    </w:tbl>
    <w:p>
      <w:pPr>
        <w:ind w:left="660" w:hanging="321"/>
        <w:spacing w:after="0"/>
        <w:tabs>
          <w:tab w:leader="none" w:pos="6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Home customer count includes recurring residential customers and community choice</w:t>
      </w:r>
    </w:p>
    <w:p>
      <w:pPr>
        <w:spacing w:after="0" w:line="20" w:lineRule="exact"/>
        <w:rPr>
          <w:rFonts w:ascii="Times New Roman" w:cs="Times New Roman" w:eastAsia="Times New Roman" w:hAnsi="Times New Roman"/>
          <w:sz w:val="14"/>
          <w:szCs w:val="14"/>
          <w:color w:val="auto"/>
        </w:rPr>
      </w:pPr>
    </w:p>
    <w:p>
      <w:pPr>
        <w:ind w:left="640" w:hanging="301"/>
        <w:spacing w:after="0"/>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Vivint Smart Home includes customers that also purchase other NRG products such as electricity</w:t>
      </w:r>
    </w:p>
    <w:p>
      <w:pPr>
        <w:spacing w:after="0" w:line="36" w:lineRule="exact"/>
        <w:rPr>
          <w:rFonts w:ascii="Times New Roman" w:cs="Times New Roman" w:eastAsia="Times New Roman" w:hAnsi="Times New Roman"/>
          <w:sz w:val="14"/>
          <w:szCs w:val="14"/>
          <w:color w:val="auto"/>
        </w:rPr>
      </w:pPr>
    </w:p>
    <w:p>
      <w:pPr>
        <w:ind w:left="520" w:hanging="182"/>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Vivint Smart Home includes 72 thousand Home Protection (non-Vivint) customers</w:t>
      </w:r>
    </w:p>
    <w:p>
      <w:pPr>
        <w:spacing w:after="0" w:line="36" w:lineRule="exact"/>
        <w:rPr>
          <w:rFonts w:ascii="Times New Roman" w:cs="Times New Roman" w:eastAsia="Times New Roman" w:hAnsi="Times New Roman"/>
          <w:sz w:val="14"/>
          <w:szCs w:val="14"/>
          <w:color w:val="auto"/>
        </w:rPr>
      </w:pPr>
    </w:p>
    <w:p>
      <w:pPr>
        <w:ind w:left="540" w:hanging="202"/>
        <w:spacing w:after="0"/>
        <w:tabs>
          <w:tab w:leader="none" w:pos="5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owned and leased generation, excludes tolled generation and equity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52" w:name="page53"/>
    <w:bookmarkEnd w:id="52"/>
    <w:p>
      <w:pPr>
        <w:ind w:left="640"/>
        <w:spacing w:after="0"/>
        <w:rPr>
          <w:sz w:val="20"/>
          <w:szCs w:val="20"/>
          <w:color w:val="auto"/>
        </w:rPr>
      </w:pPr>
      <w:r>
        <w:rPr>
          <w:rFonts w:ascii="Times New Roman" w:cs="Times New Roman" w:eastAsia="Times New Roman" w:hAnsi="Times New Roman"/>
          <w:sz w:val="18"/>
          <w:szCs w:val="18"/>
          <w:color w:val="auto"/>
        </w:rPr>
        <w:t>The following table represents the weather metrics for 2025 and 2024:</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00" w:type="dxa"/>
            <w:vAlign w:val="bottom"/>
          </w:tcPr>
          <w:p>
            <w:pPr>
              <w:spacing w:after="0"/>
              <w:rPr>
                <w:sz w:val="13"/>
                <w:szCs w:val="13"/>
                <w:color w:val="auto"/>
              </w:rPr>
            </w:pPr>
          </w:p>
        </w:tc>
        <w:tc>
          <w:tcPr>
            <w:tcW w:w="16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000" w:type="dxa"/>
            <w:vAlign w:val="bottom"/>
            <w:gridSpan w:val="5"/>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120" w:type="dxa"/>
            <w:vAlign w:val="bottom"/>
            <w:vMerge w:val="restart"/>
          </w:tcPr>
          <w:p>
            <w:pPr>
              <w:spacing w:after="0"/>
              <w:rPr>
                <w:sz w:val="13"/>
                <w:szCs w:val="13"/>
                <w:color w:val="auto"/>
              </w:rPr>
            </w:pPr>
          </w:p>
        </w:tc>
        <w:tc>
          <w:tcPr>
            <w:tcW w:w="540" w:type="dxa"/>
            <w:vAlign w:val="bottom"/>
          </w:tcPr>
          <w:p>
            <w:pPr>
              <w:spacing w:after="0"/>
              <w:rPr>
                <w:sz w:val="13"/>
                <w:szCs w:val="13"/>
                <w:color w:val="auto"/>
              </w:rPr>
            </w:pPr>
          </w:p>
        </w:tc>
        <w:tc>
          <w:tcPr>
            <w:tcW w:w="15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540" w:type="dxa"/>
            <w:vAlign w:val="bottom"/>
          </w:tcPr>
          <w:p>
            <w:pPr>
              <w:spacing w:after="0"/>
              <w:rPr>
                <w:sz w:val="13"/>
                <w:szCs w:val="13"/>
                <w:color w:val="auto"/>
              </w:rPr>
            </w:pPr>
          </w:p>
        </w:tc>
        <w:tc>
          <w:tcPr>
            <w:tcW w:w="1540" w:type="dxa"/>
            <w:vAlign w:val="bottom"/>
            <w:gridSpan w:val="4"/>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0" w:type="dxa"/>
            <w:vAlign w:val="bottom"/>
          </w:tcPr>
          <w:p>
            <w:pPr>
              <w:spacing w:after="0"/>
              <w:rPr>
                <w:sz w:val="1"/>
                <w:szCs w:val="1"/>
                <w:color w:val="auto"/>
              </w:rPr>
            </w:pPr>
          </w:p>
        </w:tc>
      </w:tr>
      <w:tr>
        <w:trPr>
          <w:trHeight w:val="190"/>
        </w:trPr>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Weather</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6"/>
                <w:szCs w:val="16"/>
                <w:color w:val="auto"/>
              </w:rPr>
            </w:pPr>
          </w:p>
        </w:tc>
        <w:tc>
          <w:tcPr>
            <w:tcW w:w="2000" w:type="dxa"/>
            <w:vAlign w:val="bottom"/>
            <w:tcBorders>
              <w:bottom w:val="single" w:sz="8" w:color="auto"/>
            </w:tcBorders>
            <w:gridSpan w:val="5"/>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68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83"/>
        </w:trPr>
        <w:tc>
          <w:tcPr>
            <w:tcW w:w="660" w:type="dxa"/>
            <w:vAlign w:val="bottom"/>
            <w:vMerge w:val="continue"/>
          </w:tcPr>
          <w:p>
            <w:pPr>
              <w:spacing w:after="0"/>
              <w:rPr>
                <w:sz w:val="15"/>
                <w:szCs w:val="15"/>
                <w:color w:val="auto"/>
              </w:rPr>
            </w:pP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East</w:t>
            </w:r>
          </w:p>
        </w:tc>
        <w:tc>
          <w:tcPr>
            <w:tcW w:w="9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4"/>
                <w:szCs w:val="14"/>
                <w:b w:val="1"/>
                <w:bCs w:val="1"/>
                <w:color w:val="auto"/>
              </w:rPr>
              <w:t>West/Other</w:t>
            </w:r>
            <w:r>
              <w:rPr>
                <w:rFonts w:ascii="Times New Roman" w:cs="Times New Roman" w:eastAsia="Times New Roman" w:hAnsi="Times New Roman"/>
                <w:sz w:val="18"/>
                <w:szCs w:val="18"/>
                <w:b w:val="1"/>
                <w:bCs w:val="1"/>
                <w:color w:val="auto"/>
                <w:vertAlign w:val="superscript"/>
              </w:rPr>
              <w:t>(a)</w:t>
            </w: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Texas</w:t>
            </w:r>
          </w:p>
        </w:tc>
        <w:tc>
          <w:tcPr>
            <w:tcW w:w="80" w:type="dxa"/>
            <w:vAlign w:val="bottom"/>
          </w:tcPr>
          <w:p>
            <w:pPr>
              <w:spacing w:after="0"/>
              <w:rPr>
                <w:sz w:val="15"/>
                <w:szCs w:val="15"/>
                <w:color w:val="auto"/>
              </w:rPr>
            </w:pP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East</w:t>
            </w:r>
          </w:p>
        </w:tc>
        <w:tc>
          <w:tcPr>
            <w:tcW w:w="9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4"/>
                <w:szCs w:val="14"/>
                <w:b w:val="1"/>
                <w:bCs w:val="1"/>
                <w:color w:val="auto"/>
              </w:rPr>
              <w:t>West/Other</w:t>
            </w:r>
            <w:r>
              <w:rPr>
                <w:rFonts w:ascii="Times New Roman" w:cs="Times New Roman" w:eastAsia="Times New Roman" w:hAnsi="Times New Roman"/>
                <w:sz w:val="18"/>
                <w:szCs w:val="18"/>
                <w:b w:val="1"/>
                <w:bCs w:val="1"/>
                <w:color w:val="auto"/>
                <w:vertAlign w:val="superscript"/>
              </w:rPr>
              <w:t>(a)</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East</w:t>
            </w:r>
          </w:p>
        </w:tc>
        <w:tc>
          <w:tcPr>
            <w:tcW w:w="9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4"/>
                <w:szCs w:val="14"/>
                <w:b w:val="1"/>
                <w:bCs w:val="1"/>
                <w:color w:val="auto"/>
              </w:rPr>
              <w:t>West/Other</w:t>
            </w:r>
            <w:r>
              <w:rPr>
                <w:rFonts w:ascii="Times New Roman" w:cs="Times New Roman" w:eastAsia="Times New Roman" w:hAnsi="Times New Roman"/>
                <w:sz w:val="18"/>
                <w:szCs w:val="18"/>
                <w:b w:val="1"/>
                <w:bCs w:val="1"/>
                <w:color w:val="auto"/>
                <w:vertAlign w:val="superscript"/>
              </w:rPr>
              <w:t>(a)</w:t>
            </w:r>
          </w:p>
        </w:tc>
        <w:tc>
          <w:tcPr>
            <w:tcW w:w="54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Texas</w:t>
            </w:r>
          </w:p>
        </w:tc>
        <w:tc>
          <w:tcPr>
            <w:tcW w:w="80" w:type="dxa"/>
            <w:vAlign w:val="bottom"/>
          </w:tcPr>
          <w:p>
            <w:pPr>
              <w:spacing w:after="0"/>
              <w:rPr>
                <w:sz w:val="15"/>
                <w:szCs w:val="15"/>
                <w:color w:val="auto"/>
              </w:rPr>
            </w:pP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East</w:t>
            </w:r>
          </w:p>
        </w:tc>
        <w:tc>
          <w:tcPr>
            <w:tcW w:w="9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4"/>
                <w:szCs w:val="14"/>
                <w:b w:val="1"/>
                <w:bCs w:val="1"/>
                <w:color w:val="auto"/>
              </w:rPr>
              <w:t>West/Other</w:t>
            </w:r>
            <w:r>
              <w:rPr>
                <w:rFonts w:ascii="Times New Roman" w:cs="Times New Roman" w:eastAsia="Times New Roman" w:hAnsi="Times New Roman"/>
                <w:sz w:val="18"/>
                <w:szCs w:val="18"/>
                <w:b w:val="1"/>
                <w:bCs w:val="1"/>
                <w:color w:val="auto"/>
                <w:vertAlign w:val="superscript"/>
              </w:rPr>
              <w:t>(a)</w:t>
            </w:r>
          </w:p>
        </w:tc>
        <w:tc>
          <w:tcPr>
            <w:tcW w:w="54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Texas</w:t>
            </w:r>
          </w:p>
        </w:tc>
        <w:tc>
          <w:tcPr>
            <w:tcW w:w="100" w:type="dxa"/>
            <w:vAlign w:val="bottom"/>
          </w:tcPr>
          <w:p>
            <w:pPr>
              <w:spacing w:after="0"/>
              <w:rPr>
                <w:sz w:val="15"/>
                <w:szCs w:val="15"/>
                <w:color w:val="auto"/>
              </w:rPr>
            </w:pP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East</w:t>
            </w:r>
          </w:p>
        </w:tc>
        <w:tc>
          <w:tcPr>
            <w:tcW w:w="840" w:type="dxa"/>
            <w:vAlign w:val="bottom"/>
          </w:tcPr>
          <w:p>
            <w:pPr>
              <w:jc w:val="right"/>
              <w:spacing w:after="0" w:line="182" w:lineRule="exact"/>
              <w:rPr>
                <w:sz w:val="20"/>
                <w:szCs w:val="20"/>
                <w:color w:val="auto"/>
              </w:rPr>
            </w:pPr>
            <w:r>
              <w:rPr>
                <w:rFonts w:ascii="Times New Roman" w:cs="Times New Roman" w:eastAsia="Times New Roman" w:hAnsi="Times New Roman"/>
                <w:sz w:val="14"/>
                <w:szCs w:val="14"/>
                <w:b w:val="1"/>
                <w:bCs w:val="1"/>
                <w:color w:val="auto"/>
                <w:w w:val="95"/>
              </w:rPr>
              <w:t>West/Other</w:t>
            </w:r>
            <w:r>
              <w:rPr>
                <w:rFonts w:ascii="Times New Roman" w:cs="Times New Roman" w:eastAsia="Times New Roman" w:hAnsi="Times New Roman"/>
                <w:sz w:val="18"/>
                <w:szCs w:val="18"/>
                <w:b w:val="1"/>
                <w:bCs w:val="1"/>
                <w:color w:val="auto"/>
                <w:w w:val="95"/>
                <w:vertAlign w:val="superscript"/>
              </w:rPr>
              <w:t>(a)</w:t>
            </w:r>
          </w:p>
        </w:tc>
        <w:tc>
          <w:tcPr>
            <w:tcW w:w="0" w:type="dxa"/>
            <w:vAlign w:val="bottom"/>
          </w:tcPr>
          <w:p>
            <w:pPr>
              <w:spacing w:after="0"/>
              <w:rPr>
                <w:sz w:val="1"/>
                <w:szCs w:val="1"/>
                <w:color w:val="auto"/>
              </w:rPr>
            </w:pPr>
          </w:p>
        </w:tc>
      </w:tr>
      <w:tr>
        <w:trPr>
          <w:trHeight w:val="132"/>
        </w:trPr>
        <w:tc>
          <w:tcPr>
            <w:tcW w:w="660" w:type="dxa"/>
            <w:vAlign w:val="bottom"/>
            <w:tcBorders>
              <w:bottom w:val="single" w:sz="8" w:color="CCEEFF"/>
            </w:tcBorders>
          </w:tcPr>
          <w:p>
            <w:pPr>
              <w:ind w:left="20"/>
              <w:spacing w:after="0" w:line="132" w:lineRule="exact"/>
              <w:rPr>
                <w:sz w:val="20"/>
                <w:szCs w:val="20"/>
                <w:color w:val="auto"/>
              </w:rPr>
            </w:pPr>
            <w:r>
              <w:rPr>
                <w:rFonts w:ascii="Times New Roman" w:cs="Times New Roman" w:eastAsia="Times New Roman" w:hAnsi="Times New Roman"/>
                <w:sz w:val="14"/>
                <w:szCs w:val="14"/>
                <w:b w:val="1"/>
                <w:bCs w:val="1"/>
                <w:color w:val="auto"/>
              </w:rPr>
              <w:t>Metrics</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6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CDDs</w:t>
            </w:r>
            <w:r>
              <w:rPr>
                <w:rFonts w:ascii="Times New Roman" w:cs="Times New Roman" w:eastAsia="Times New Roman" w:hAnsi="Times New Roman"/>
                <w:sz w:val="20"/>
                <w:szCs w:val="20"/>
                <w:color w:val="auto"/>
                <w:vertAlign w:val="superscript"/>
              </w:rPr>
              <w:t>(b)</w:t>
            </w:r>
          </w:p>
        </w:tc>
        <w:tc>
          <w:tcPr>
            <w:tcW w:w="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3,369</w:t>
            </w:r>
          </w:p>
        </w:tc>
        <w:tc>
          <w:tcPr>
            <w:tcW w:w="10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1,256</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80" w:type="dxa"/>
            <w:vAlign w:val="bottom"/>
          </w:tcPr>
          <w:p>
            <w:pPr>
              <w:spacing w:after="0"/>
              <w:rPr>
                <w:sz w:val="18"/>
                <w:szCs w:val="18"/>
                <w:color w:val="auto"/>
              </w:rPr>
            </w:pP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456</w:t>
            </w: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100" w:type="dxa"/>
            <w:vAlign w:val="bottom"/>
          </w:tcPr>
          <w:p>
            <w:pPr>
              <w:spacing w:after="0"/>
              <w:rPr>
                <w:sz w:val="18"/>
                <w:szCs w:val="18"/>
                <w:color w:val="auto"/>
              </w:rPr>
            </w:pPr>
          </w:p>
        </w:tc>
        <w:tc>
          <w:tcPr>
            <w:tcW w:w="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773</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w:t>
            </w:r>
          </w:p>
        </w:tc>
        <w:tc>
          <w:tcPr>
            <w:tcW w:w="120" w:type="dxa"/>
            <w:vAlign w:val="bottom"/>
          </w:tcPr>
          <w:p>
            <w:pPr>
              <w:spacing w:after="0"/>
              <w:rPr>
                <w:sz w:val="18"/>
                <w:szCs w:val="18"/>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1,102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1"/>
        </w:trPr>
        <w:tc>
          <w:tcPr>
            <w:tcW w:w="6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HDDs</w:t>
            </w:r>
            <w:r>
              <w:rPr>
                <w:rFonts w:ascii="Times New Roman" w:cs="Times New Roman" w:eastAsia="Times New Roman" w:hAnsi="Times New Roman"/>
                <w:sz w:val="20"/>
                <w:szCs w:val="20"/>
                <w:color w:val="auto"/>
                <w:vertAlign w:val="superscript"/>
              </w:rPr>
              <w:t>(b)</w:t>
            </w: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1,513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4,840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450</w:t>
            </w:r>
          </w:p>
        </w:tc>
        <w:tc>
          <w:tcPr>
            <w:tcW w:w="5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6"/>
                <w:szCs w:val="16"/>
                <w:color w:val="auto"/>
              </w:rPr>
              <w:t>1,836</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w:t>
            </w:r>
          </w:p>
        </w:tc>
        <w:tc>
          <w:tcPr>
            <w:tcW w:w="0" w:type="dxa"/>
            <w:vAlign w:val="bottom"/>
          </w:tcPr>
          <w:p>
            <w:pPr>
              <w:spacing w:after="0"/>
              <w:rPr>
                <w:sz w:val="1"/>
                <w:szCs w:val="1"/>
                <w:color w:val="auto"/>
              </w:rPr>
            </w:pPr>
          </w:p>
        </w:tc>
      </w:tr>
      <w:tr>
        <w:trPr>
          <w:trHeight w:val="210"/>
        </w:trPr>
        <w:tc>
          <w:tcPr>
            <w:tcW w:w="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CDDs</w:t>
            </w: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3,464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1,360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461</w:t>
            </w:r>
          </w:p>
        </w:tc>
        <w:tc>
          <w:tcPr>
            <w:tcW w:w="5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814</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1,173</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09"/>
        </w:trPr>
        <w:tc>
          <w:tcPr>
            <w:tcW w:w="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HDDs</w:t>
            </w:r>
          </w:p>
        </w:tc>
        <w:tc>
          <w:tcPr>
            <w:tcW w:w="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1,309</w:t>
            </w:r>
          </w:p>
        </w:tc>
        <w:tc>
          <w:tcPr>
            <w:tcW w:w="10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4,236</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80" w:type="dxa"/>
            <w:vAlign w:val="bottom"/>
          </w:tcPr>
          <w:p>
            <w:pPr>
              <w:spacing w:after="0"/>
              <w:rPr>
                <w:sz w:val="18"/>
                <w:szCs w:val="18"/>
                <w:color w:val="auto"/>
              </w:rPr>
            </w:pP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393</w:t>
            </w: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1,560</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0" w:type="dxa"/>
            <w:vAlign w:val="bottom"/>
          </w:tcPr>
          <w:p>
            <w:pPr>
              <w:spacing w:after="0"/>
              <w:rPr>
                <w:sz w:val="1"/>
                <w:szCs w:val="1"/>
                <w:color w:val="auto"/>
              </w:rPr>
            </w:pPr>
          </w:p>
        </w:tc>
      </w:tr>
      <w:tr>
        <w:trPr>
          <w:trHeight w:val="160"/>
        </w:trPr>
        <w:tc>
          <w:tcPr>
            <w:tcW w:w="66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auto"/>
              </w:rPr>
              <w:t>10-year</w:t>
            </w: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CDDs</w:t>
            </w:r>
          </w:p>
        </w:tc>
        <w:tc>
          <w:tcPr>
            <w:tcW w:w="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3,169</w:t>
            </w:r>
          </w:p>
        </w:tc>
        <w:tc>
          <w:tcPr>
            <w:tcW w:w="10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1,342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80" w:type="dxa"/>
            <w:vAlign w:val="bottom"/>
          </w:tcPr>
          <w:p>
            <w:pPr>
              <w:spacing w:after="0"/>
              <w:rPr>
                <w:sz w:val="18"/>
                <w:szCs w:val="18"/>
                <w:color w:val="auto"/>
              </w:rPr>
            </w:pP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318</w:t>
            </w: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100" w:type="dxa"/>
            <w:vAlign w:val="bottom"/>
          </w:tcPr>
          <w:p>
            <w:pPr>
              <w:spacing w:after="0"/>
              <w:rPr>
                <w:sz w:val="18"/>
                <w:szCs w:val="18"/>
                <w:color w:val="auto"/>
              </w:rPr>
            </w:pPr>
          </w:p>
        </w:tc>
        <w:tc>
          <w:tcPr>
            <w:tcW w:w="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847</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120" w:type="dxa"/>
            <w:vAlign w:val="bottom"/>
          </w:tcPr>
          <w:p>
            <w:pPr>
              <w:spacing w:after="0"/>
              <w:rPr>
                <w:sz w:val="18"/>
                <w:szCs w:val="18"/>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1,014</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2"/>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HDDs</w:t>
            </w: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1,603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4,575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610</w:t>
            </w:r>
          </w:p>
        </w:tc>
        <w:tc>
          <w:tcPr>
            <w:tcW w:w="5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6"/>
                <w:szCs w:val="16"/>
                <w:color w:val="auto"/>
              </w:rPr>
              <w:t>1,605</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56</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40" w:hanging="319"/>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West/Other weather metrics are comprised of the average of the CDD and HDD regional results for the West - California and West - South Central regions</w:t>
      </w:r>
    </w:p>
    <w:p>
      <w:pPr>
        <w:spacing w:after="0" w:line="10" w:lineRule="exact"/>
        <w:rPr>
          <w:rFonts w:ascii="Times New Roman" w:cs="Times New Roman" w:eastAsia="Times New Roman" w:hAnsi="Times New Roman"/>
          <w:sz w:val="14"/>
          <w:szCs w:val="14"/>
          <w:color w:val="auto"/>
        </w:rPr>
      </w:pPr>
    </w:p>
    <w:p>
      <w:pPr>
        <w:jc w:val="both"/>
        <w:ind w:left="640" w:hanging="319"/>
        <w:spacing w:after="0" w:line="260" w:lineRule="auto"/>
        <w:tabs>
          <w:tab w:leader="none" w:pos="63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National Oceanic and Atmospheric Administration-Climate Prediction Center - A CDD represents the number of degrees that the mean temperature for a particular day is above 65 degrees Fahrenheit in each region. A HDD represents the number of degrees that the mean temperature for a particular day is below 65 degrees Fahrenheit in each region. The CDDs/HDDs for a period of time are calculated by adding the CDDs/HDDs for each day during the period</w:t>
      </w:r>
    </w:p>
    <w:p>
      <w:pPr>
        <w:spacing w:after="0" w:line="2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Gross margin and economic gross margin</w:t>
      </w:r>
    </w:p>
    <w:p>
      <w:pPr>
        <w:spacing w:after="0" w:line="113"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Gross margin decreased $119 million and economic gross margin increased $417 million, both of which include intercompany sales, during the year ended December 31, 2025, compared to the same period in 2024. The detail by segment is as follows: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Texas</w:t>
      </w:r>
    </w:p>
    <w:p>
      <w:pPr>
        <w:spacing w:after="0" w:line="49"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Higher gross margin due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110730" cy="5346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0730" cy="534670"/>
                    </a:xfrm>
                    <a:prstGeom prst="rect">
                      <a:avLst/>
                    </a:prstGeom>
                    <a:noFill/>
                  </pic:spPr>
                </pic:pic>
              </a:graphicData>
            </a:graphic>
          </wp:anchor>
        </w:drawing>
      </w:r>
    </w:p>
    <w:p>
      <w:pPr>
        <w:ind w:left="640" w:hanging="301"/>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net revenue of $388 million, primarily driven by changes in customer term, product and mix</w:t>
      </w:r>
    </w:p>
    <w:p>
      <w:pPr>
        <w:ind w:left="640" w:hanging="301"/>
        <w:spacing w:after="0" w:line="228"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 or $97 million decrease in cost to serve the retail load, driven by lower realized power prices associated with the Company’s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diversified supply strategy</w:t>
            </w: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99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w w:val="98"/>
              </w:rPr>
              <w:t>Lower gross margin due to a decrease in load of 1.9 TWhs, or $63 million, driven by changes in customer mix and attrition, partially offset</w:t>
            </w: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 an increase in load of 0.4 TWhs, or $25 million attributed to weather</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Increase in economic gross margin</w:t>
            </w:r>
          </w:p>
        </w:tc>
        <w:tc>
          <w:tcPr>
            <w:tcW w:w="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Increase in mark-to-market for economic hedging primarily due to net unrealized gains/losses on open positions related to economic hedges</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contract and emissions credit amortization</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depreciation and amortization</w:t>
            </w:r>
          </w:p>
        </w:tc>
        <w:tc>
          <w:tcPr>
            <w:tcW w:w="5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Increase in gross margin</w:t>
            </w:r>
          </w:p>
        </w:tc>
        <w:tc>
          <w:tcPr>
            <w:tcW w:w="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4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53</w:t>
            </w: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4"/>
        </w:trPr>
        <w:tc>
          <w:tcPr>
            <w:tcW w:w="99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99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3" w:name="page54"/>
    <w:bookmarkEnd w:id="53"/>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East</w:t>
      </w:r>
    </w:p>
    <w:p>
      <w:pPr>
        <w:spacing w:after="0" w:line="49"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Lower gross margin due to the deactivation of Indian River Unit 4 in February 2025</w:t>
            </w:r>
          </w:p>
        </w:tc>
        <w:tc>
          <w:tcPr>
            <w:tcW w:w="200" w:type="dxa"/>
            <w:vAlign w:val="bottom"/>
            <w:tcBorders>
              <w:top w:val="single" w:sz="8" w:color="auto"/>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994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Higher natural gas gross margin including the impact of transportation and storage contract optimization, resulting in higher net revenue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9940" w:type="dxa"/>
            <w:vAlign w:val="bottom"/>
          </w:tcPr>
          <w:p>
            <w:pPr>
              <w:ind w:left="180"/>
              <w:spacing w:after="0" w:line="179" w:lineRule="exact"/>
              <w:rPr>
                <w:sz w:val="20"/>
                <w:szCs w:val="20"/>
                <w:color w:val="auto"/>
              </w:rPr>
            </w:pPr>
            <w:r>
              <w:rPr>
                <w:rFonts w:ascii="Times New Roman" w:cs="Times New Roman" w:eastAsia="Times New Roman" w:hAnsi="Times New Roman"/>
                <w:sz w:val="18"/>
                <w:szCs w:val="18"/>
                <w:color w:val="auto"/>
                <w:w w:val="99"/>
              </w:rPr>
              <w:t>rates of $1.00 per Dth, or $1.62 billion, from changes in customer term, product and mix, partially offset by higher supply cost of $0.90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 Dth, or $1.47 billion, driven by an increase in gas costs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99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w w:val="99"/>
              </w:rPr>
              <w:t>Lower electric gross margin due to higher supply costs of $12.95 per MWh, or $782 million driven primarily by increases in power prices,</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partially offset by higher net revenue rates as a result of changes in customer term, product and mix of $10.60 per MWh, or $620 million</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994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w w:val="98"/>
              </w:rPr>
              <w:t>Higher gross margin due to an increase in generation volumes as a result of spark spread expansion in NYISO, partially offset by a decrease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 average realized prices at Midwest Generation</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Higher gross margin due to a 159% increase in PJM capacity prices and a 20% increase in NYISO capacity prices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Higher gross margin from demand response activities due to higher PJM auction clearing prices and curtailment events in 2025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Increase in economic gross margin</w:t>
            </w:r>
          </w:p>
        </w:tc>
        <w:tc>
          <w:tcPr>
            <w:tcW w:w="20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Decrease in mark-to-market for economic hedging primarily due to net unrealized gains/losses on open positions related to economic hedges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contract amortization</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depreciation and amortization</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Decrease in gross margin</w:t>
            </w:r>
          </w:p>
        </w:tc>
        <w:tc>
          <w:tcPr>
            <w:tcW w:w="20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West/Other</w:t>
            </w: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99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99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19"/>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Lower gross margin due to the disposition of Services businesses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171"/>
        </w:trPr>
        <w:tc>
          <w:tcPr>
            <w:tcW w:w="994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w w:val="97"/>
              </w:rPr>
              <w:t>Higher electric gross margin due to lower supply costs of $11.50 per MWh, or $174 million and customer mix of $35 million, partially offset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 lower revenue rates of $9.15 per MWh, or $135 million</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99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w w:val="97"/>
              </w:rPr>
              <w:t>Higher natural gas gross margin due to higher revenue rates of $0.15 per Dth, or $34 million, partially offset by higher supply costs of $0.10</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 Dth, or $24 million</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Lower gross margin at Cottonwood driven by the termination of the facility lease in May 2025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4"/>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Lower gross margin at Cottonwood is driven by spark spread contraction, partially offset by favorable capacity pricing</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4"/>
        </w:trPr>
        <w:tc>
          <w:tcPr>
            <w:tcW w:w="9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7"/>
        </w:trPr>
        <w:tc>
          <w:tcPr>
            <w:tcW w:w="9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Decrease in economic gross margin</w:t>
            </w: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7"/>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Increase in mark-to-market for economic hedges primarily due to net unrealized gains/losses on open positions related to economic hedges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contract amortization</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 in depreciation and amortization</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9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Increase in gross margin</w:t>
            </w: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4" w:name="page55"/>
    <w:bookmarkEnd w:id="54"/>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Vivint Smart Home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8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19"/>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Higher gross margin driven by growth in customers of $112 million and higher monthly revenue rates of $0.72 per customer, or $20 million</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4"/>
        </w:trPr>
        <w:tc>
          <w:tcPr>
            <w:tcW w:w="9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Lower gross margin due to a decrease in non-recurring sales revenue</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4"/>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Higher gross margin primarily due to an increase in home protection plan sales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4"/>
        </w:trPr>
        <w:tc>
          <w:tcPr>
            <w:tcW w:w="9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Lower gross margin due to an increase in personnel and related support costs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4"/>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7"/>
        </w:trPr>
        <w:tc>
          <w:tcPr>
            <w:tcW w:w="9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Increase in economic gross margin</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7"/>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depreciation and amortization</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7"/>
        </w:trPr>
        <w:tc>
          <w:tcPr>
            <w:tcW w:w="98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Increase in gross margin</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9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Mark-to-market for Economic Hedging Activities</w:t>
      </w:r>
    </w:p>
    <w:p>
      <w:pPr>
        <w:spacing w:after="0" w:line="11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Mark-to-market for economic hedging activities includes asset-backed hedges that have not been designated as cash flow hedges. Total net mark-to-market results decreased by $552 million during the year ended December 31, 2025, compared to the same period in 2024.</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The  breakdown  of  gains  and  losses  included  in  revenues</w:t>
            </w: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and  operating</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expenses</w:t>
            </w:r>
          </w:p>
        </w:tc>
        <w:tc>
          <w:tcPr>
            <w:tcW w:w="4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by</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segment</w:t>
            </w:r>
          </w:p>
        </w:tc>
        <w:tc>
          <w:tcPr>
            <w:tcW w:w="2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is</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as  follows:</w:t>
            </w:r>
          </w:p>
        </w:tc>
        <w:tc>
          <w:tcPr>
            <w:tcW w:w="0" w:type="dxa"/>
            <w:vAlign w:val="bottom"/>
          </w:tcPr>
          <w:p>
            <w:pPr>
              <w:spacing w:after="0"/>
              <w:rPr>
                <w:sz w:val="1"/>
                <w:szCs w:val="1"/>
                <w:color w:val="auto"/>
              </w:rPr>
            </w:pPr>
          </w:p>
        </w:tc>
      </w:tr>
      <w:tr>
        <w:trPr>
          <w:trHeight w:val="201"/>
        </w:trPr>
        <w:tc>
          <w:tcPr>
            <w:tcW w:w="5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1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0" w:type="dxa"/>
            <w:vAlign w:val="bottom"/>
            <w:gridSpan w:val="3"/>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160" w:type="dxa"/>
            <w:vAlign w:val="bottom"/>
            <w:vMerge w:val="continue"/>
          </w:tcPr>
          <w:p>
            <w:pPr>
              <w:spacing w:after="0"/>
              <w:rPr>
                <w:sz w:val="16"/>
                <w:szCs w:val="16"/>
                <w:color w:val="auto"/>
              </w:rPr>
            </w:pPr>
          </w:p>
        </w:tc>
        <w:tc>
          <w:tcPr>
            <w:tcW w:w="1200" w:type="dxa"/>
            <w:vAlign w:val="bottom"/>
            <w:tcBorders>
              <w:top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East</w:t>
            </w:r>
          </w:p>
        </w:tc>
        <w:tc>
          <w:tcPr>
            <w:tcW w:w="4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West/Other</w:t>
            </w:r>
          </w:p>
        </w:tc>
        <w:tc>
          <w:tcPr>
            <w:tcW w:w="1200" w:type="dxa"/>
            <w:vAlign w:val="bottom"/>
            <w:tcBorders>
              <w:top w:val="single" w:sz="8" w:color="auto"/>
            </w:tcBorders>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Mark-to-market results in revenues</w:t>
            </w:r>
          </w:p>
        </w:tc>
        <w:tc>
          <w:tcPr>
            <w:tcW w:w="5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Reversal of previously recognized unrealized (gains)/losses on settled</w:t>
            </w: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positions related to economic hedges</w:t>
            </w:r>
          </w:p>
        </w:tc>
        <w:tc>
          <w:tcPr>
            <w:tcW w:w="50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Reversal of acquired gain positions related to economic hedges</w:t>
            </w:r>
          </w:p>
        </w:tc>
        <w:tc>
          <w:tcPr>
            <w:tcW w:w="5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gains on open positions related to economic hedges</w:t>
            </w:r>
          </w:p>
        </w:tc>
        <w:tc>
          <w:tcPr>
            <w:tcW w:w="500" w:type="dxa"/>
            <w:vAlign w:val="bottom"/>
          </w:tcPr>
          <w:p>
            <w:pPr>
              <w:spacing w:after="0"/>
              <w:rPr>
                <w:sz w:val="19"/>
                <w:szCs w:val="19"/>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mark-to-market gains in revenues</w:t>
            </w:r>
          </w:p>
        </w:tc>
        <w:tc>
          <w:tcPr>
            <w:tcW w:w="50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Mark-to-market results in operating costs and expenses</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516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Reversal of previously recognized unrealized (gains)/losses on settled</w:t>
            </w:r>
          </w:p>
        </w:tc>
        <w:tc>
          <w:tcPr>
            <w:tcW w:w="5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160" w:type="dxa"/>
            <w:vAlign w:val="bottom"/>
            <w:shd w:val="clear" w:color="auto" w:fill="CCEEFF"/>
          </w:tcPr>
          <w:p>
            <w:pPr>
              <w:ind w:left="180"/>
              <w:spacing w:after="0" w:line="237" w:lineRule="exact"/>
              <w:rPr>
                <w:sz w:val="20"/>
                <w:szCs w:val="20"/>
                <w:color w:val="auto"/>
              </w:rPr>
            </w:pPr>
            <w:r>
              <w:rPr>
                <w:rFonts w:ascii="Times New Roman" w:cs="Times New Roman" w:eastAsia="Times New Roman" w:hAnsi="Times New Roman"/>
                <w:sz w:val="18"/>
                <w:szCs w:val="18"/>
                <w:color w:val="auto"/>
              </w:rPr>
              <w:t>positions related to economic hedges</w:t>
            </w:r>
            <w:r>
              <w:rPr>
                <w:rFonts w:ascii="Times New Roman" w:cs="Times New Roman" w:eastAsia="Times New Roman" w:hAnsi="Times New Roman"/>
                <w:sz w:val="22"/>
                <w:szCs w:val="22"/>
                <w:color w:val="auto"/>
                <w:vertAlign w:val="superscript"/>
              </w:rPr>
              <w:t>(a)</w:t>
            </w:r>
          </w:p>
        </w:tc>
        <w:tc>
          <w:tcPr>
            <w:tcW w:w="50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Reversal of acquired loss/(gain) positions related to economic hedges</w:t>
            </w:r>
          </w:p>
        </w:tc>
        <w:tc>
          <w:tcPr>
            <w:tcW w:w="500" w:type="dxa"/>
            <w:vAlign w:val="bottom"/>
          </w:tcPr>
          <w:p>
            <w:pPr>
              <w:spacing w:after="0"/>
              <w:rPr>
                <w:sz w:val="19"/>
                <w:szCs w:val="19"/>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516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Net unrealized gains/(losses) on open positions related to economic</w:t>
            </w:r>
          </w:p>
        </w:tc>
        <w:tc>
          <w:tcPr>
            <w:tcW w:w="5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hedges</w:t>
            </w:r>
          </w:p>
        </w:tc>
        <w:tc>
          <w:tcPr>
            <w:tcW w:w="5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Total mark-to-market (losses)/gains in operating costs and expenses</w:t>
            </w:r>
          </w:p>
        </w:tc>
        <w:tc>
          <w:tcPr>
            <w:tcW w:w="5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8"/>
                <w:szCs w:val="18"/>
                <w:color w:val="auto"/>
              </w:rPr>
            </w:pPr>
          </w:p>
        </w:tc>
        <w:tc>
          <w:tcPr>
            <w:tcW w:w="6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400" w:hanging="395"/>
        <w:spacing w:after="0" w:line="287" w:lineRule="auto"/>
        <w:tabs>
          <w:tab w:leader="none" w:pos="398"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Includes $(286) million, within the Texas segment, related to derivative contracts that were elected as NPNS on October 1, 2024 and are no longer valued at fair value on a recurring basis. For further discussion, see Item 15 — Note 6, </w:t>
      </w:r>
      <w:r>
        <w:rPr>
          <w:rFonts w:ascii="Times New Roman" w:cs="Times New Roman" w:eastAsia="Times New Roman" w:hAnsi="Times New Roman"/>
          <w:sz w:val="14"/>
          <w:szCs w:val="14"/>
          <w:i w:val="1"/>
          <w:iCs w:val="1"/>
          <w:color w:val="auto"/>
        </w:rPr>
        <w:t>Accounting for Derivative Instruments and Hedging Activities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60" w:type="dxa"/>
            <w:vAlign w:val="bottom"/>
            <w:gridSpan w:val="8"/>
          </w:tcPr>
          <w:p>
            <w:pPr>
              <w:ind w:left="62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1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28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West/Other</w:t>
            </w:r>
          </w:p>
        </w:tc>
        <w:tc>
          <w:tcPr>
            <w:tcW w:w="16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60" w:type="dxa"/>
            <w:vAlign w:val="bottom"/>
          </w:tcPr>
          <w:p>
            <w:pPr>
              <w:spacing w:after="0"/>
              <w:rPr>
                <w:sz w:val="16"/>
                <w:szCs w:val="16"/>
                <w:color w:val="auto"/>
              </w:rPr>
            </w:pPr>
          </w:p>
        </w:tc>
        <w:tc>
          <w:tcPr>
            <w:tcW w:w="8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Mark-to-market results in revenues</w:t>
            </w:r>
          </w:p>
        </w:tc>
        <w:tc>
          <w:tcPr>
            <w:tcW w:w="2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Reversal of previously recognized unrealized gains on settled positions</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to economic hedges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Reversal of acquired gain positions related to economic hedges</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gains on open positions related to economic hedges</w:t>
            </w: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2"/>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mark-to-market (losses)/gains in revenues</w:t>
            </w: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Mark-to-market results in operating costs and expenses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6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Reversal of previously recognized unrealized (gains)/losses on settled</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160" w:type="dxa"/>
            <w:vAlign w:val="bottom"/>
            <w:shd w:val="clear" w:color="auto" w:fill="CCEEFF"/>
          </w:tcPr>
          <w:p>
            <w:pPr>
              <w:ind w:left="180"/>
              <w:spacing w:after="0" w:line="237" w:lineRule="exact"/>
              <w:rPr>
                <w:sz w:val="20"/>
                <w:szCs w:val="20"/>
                <w:color w:val="auto"/>
              </w:rPr>
            </w:pPr>
            <w:r>
              <w:rPr>
                <w:rFonts w:ascii="Times New Roman" w:cs="Times New Roman" w:eastAsia="Times New Roman" w:hAnsi="Times New Roman"/>
                <w:sz w:val="18"/>
                <w:szCs w:val="18"/>
                <w:color w:val="auto"/>
              </w:rPr>
              <w:t>positions related to economic hedges</w:t>
            </w:r>
            <w:r>
              <w:rPr>
                <w:rFonts w:ascii="Times New Roman" w:cs="Times New Roman" w:eastAsia="Times New Roman" w:hAnsi="Times New Roman"/>
                <w:sz w:val="22"/>
                <w:szCs w:val="22"/>
                <w:color w:val="auto"/>
                <w:vertAlign w:val="superscript"/>
              </w:rPr>
              <w:t>(a)</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Reversal of acquired loss/(gain) positions related to economic hedges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71"/>
        </w:trPr>
        <w:tc>
          <w:tcPr>
            <w:tcW w:w="516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Net unrealized (losses)/gains on open positions related to economic</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hedges</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7"/>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Total mark-to-market (losses)/gains in operating costs and expenses</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400" w:hanging="395"/>
        <w:spacing w:after="0" w:line="268" w:lineRule="auto"/>
        <w:tabs>
          <w:tab w:leader="none" w:pos="398"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Includes $37 million, within the Texas segment, related to derivative contracts that were elected as NPNS on October 1, 2024 and are no longer valued at fair value on a recurring basis. For further discussion, see Item 15 — Note 6, </w:t>
      </w:r>
      <w:r>
        <w:rPr>
          <w:rFonts w:ascii="Times New Roman" w:cs="Times New Roman" w:eastAsia="Times New Roman" w:hAnsi="Times New Roman"/>
          <w:sz w:val="14"/>
          <w:szCs w:val="14"/>
          <w:i w:val="1"/>
          <w:iCs w:val="1"/>
          <w:color w:val="auto"/>
        </w:rPr>
        <w:t>Accounting for Derivative Instruments and Hedging Activities</w:t>
      </w:r>
    </w:p>
    <w:p>
      <w:pPr>
        <w:spacing w:after="0" w:line="26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Mark-to-market results consist of unrealized gains and losses on contracts that are yet to be settled. The settlement of these transactions is reflected in the same revenue or cost caption as the items being hedged.</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reversals of acquired gain or loss positions were valued based upon the forward prices on the acquisition date.</w:t>
      </w:r>
    </w:p>
    <w:p>
      <w:pPr>
        <w:spacing w:after="0" w:line="10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2025, the $12 million gain in revenues from economic hedge positions was driven primarily by an increase in the value of open positions as a result of decreases in natural gas prices, partially offset by the reversal of previously recognized unrealized gains on contracts that settled during the period. The $358 million loss in operating costs and expenses from economic hedge positions was driven primarily by the reversal of previously recognized unrealized gains on contracts that settled during the period and a decrease in the value of open positions as a result of decreases in CAISO power prices. This was partially offset by an increase in the value of open positions as a result of increases in Northeast and ERCOT power prices.</w:t>
      </w:r>
    </w:p>
    <w:p>
      <w:pPr>
        <w:spacing w:after="0" w:line="8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For the year ended December 31, 2024, the $3 million loss in revenues from economic hedge positions was driven by the reversal of previously recognized unrealized gains on contracts that settled during the period, largely offset by an increase in the value of open positions as a result of decreases in New York capacity and MISO power prices. The $209 million gain in operating costs and expenses from economic hedge positions was driven primarily by the reversal of previously recognized unrealized losses on contracts that settled during the period, as well as an increase in the value of open positions as a result of increases in natural gas and Northeast power prices. This was partially offset by a decrease in the value of open positions as a result of decreases in CAISO and Alberta power prices.</w:t>
      </w:r>
    </w:p>
    <w:p>
      <w:pPr>
        <w:spacing w:after="0" w:line="8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accordance with ASC 815, the following table represents the results of the Company's financial and physical trading of energy commodities for the years ended December 31, 2025 and 2024. The realized and unrealized financial and physical trading results are included in revenue. The Company's trading activities are subject to limits within the Company's Risk Management Policy.</w:t>
      </w:r>
    </w:p>
    <w:p>
      <w:pPr>
        <w:spacing w:after="0" w:line="11"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7"/>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Trading gains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4"/>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4"/>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7"/>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trading gains</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Operations and Maintenance Expenses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Operations and maintenance expenses are comprised of the following: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3"/>
                <w:szCs w:val="13"/>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240" w:type="dxa"/>
            <w:vAlign w:val="bottom"/>
          </w:tcPr>
          <w:p>
            <w:pPr>
              <w:spacing w:after="0"/>
              <w:rPr>
                <w:sz w:val="13"/>
                <w:szCs w:val="13"/>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60" w:type="dxa"/>
            <w:vAlign w:val="bottom"/>
          </w:tcPr>
          <w:p>
            <w:pPr>
              <w:spacing w:after="0"/>
              <w:rPr>
                <w:sz w:val="13"/>
                <w:szCs w:val="13"/>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West/Other</w:t>
            </w:r>
          </w:p>
        </w:tc>
        <w:tc>
          <w:tcPr>
            <w:tcW w:w="14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Vivint Smart</w:t>
            </w:r>
          </w:p>
        </w:tc>
        <w:tc>
          <w:tcPr>
            <w:tcW w:w="180" w:type="dxa"/>
            <w:vAlign w:val="bottom"/>
          </w:tcPr>
          <w:p>
            <w:pPr>
              <w:spacing w:after="0"/>
              <w:rPr>
                <w:sz w:val="13"/>
                <w:szCs w:val="13"/>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3"/>
                <w:szCs w:val="13"/>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40" w:type="dxa"/>
            <w:vAlign w:val="bottom"/>
          </w:tcPr>
          <w:p>
            <w:pPr>
              <w:spacing w:after="0"/>
              <w:rPr>
                <w:sz w:val="13"/>
                <w:szCs w:val="13"/>
                <w:color w:val="auto"/>
              </w:rPr>
            </w:pPr>
          </w:p>
        </w:tc>
        <w:tc>
          <w:tcPr>
            <w:tcW w:w="840" w:type="dxa"/>
            <w:vAlign w:val="bottom"/>
            <w:vMerge w:val="restart"/>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Home</w:t>
            </w: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0" w:type="dxa"/>
            <w:vAlign w:val="bottom"/>
          </w:tcPr>
          <w:p>
            <w:pPr>
              <w:spacing w:after="0"/>
              <w:rPr>
                <w:sz w:val="1"/>
                <w:szCs w:val="1"/>
                <w:color w:val="auto"/>
              </w:rPr>
            </w:pPr>
          </w:p>
        </w:tc>
      </w:tr>
      <w:tr>
        <w:trPr>
          <w:trHeight w:val="228"/>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160" w:firstLine="395"/>
        <w:spacing w:after="0" w:line="263" w:lineRule="auto"/>
        <w:rPr>
          <w:sz w:val="20"/>
          <w:szCs w:val="20"/>
          <w:color w:val="auto"/>
        </w:rPr>
      </w:pPr>
      <w:r>
        <w:rPr>
          <w:rFonts w:ascii="Times New Roman" w:cs="Times New Roman" w:eastAsia="Times New Roman" w:hAnsi="Times New Roman"/>
          <w:sz w:val="18"/>
          <w:szCs w:val="18"/>
          <w:color w:val="auto"/>
        </w:rPr>
        <w:t>Operations and maintenance expenses decreased by $39 million for the year ended December 31, 2025, compared to the same period in 2024, due to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800" w:type="dxa"/>
            <w:vAlign w:val="bottom"/>
            <w:tcBorders>
              <w:bottom w:val="single" w:sz="8" w:color="CCEEFF"/>
            </w:tcBorders>
            <w:gridSpan w:val="3"/>
          </w:tcPr>
          <w:p>
            <w:pPr>
              <w:spacing w:after="0"/>
              <w:rPr>
                <w:sz w:val="2"/>
                <w:szCs w:val="2"/>
                <w:color w:val="auto"/>
              </w:rPr>
            </w:pPr>
          </w:p>
        </w:tc>
        <w:tc>
          <w:tcPr>
            <w:tcW w:w="1620" w:type="dxa"/>
            <w:vAlign w:val="bottom"/>
            <w:tcBorders>
              <w:bottom w:val="single" w:sz="8" w:color="CCEEFF"/>
            </w:tcBorders>
            <w:gridSpan w:val="3"/>
          </w:tcPr>
          <w:p>
            <w:pPr>
              <w:spacing w:after="0"/>
              <w:rPr>
                <w:sz w:val="2"/>
                <w:szCs w:val="2"/>
                <w:color w:val="auto"/>
              </w:rPr>
            </w:pPr>
          </w:p>
        </w:tc>
        <w:tc>
          <w:tcPr>
            <w:tcW w:w="130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72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Decrease due to the final property insurance claim for the extended outage at W.A. Parish received in 2025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9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Decrease driven by the expiration of the Cottonwood facility lease in May 2025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ind w:left="694"/>
              <w:spacing w:after="0"/>
              <w:rPr>
                <w:sz w:val="20"/>
                <w:szCs w:val="20"/>
                <w:color w:val="auto"/>
              </w:rPr>
            </w:pPr>
            <w:r>
              <w:rPr>
                <w:rFonts w:ascii="Times New Roman" w:cs="Times New Roman" w:eastAsia="Times New Roman" w:hAnsi="Times New Roman"/>
                <w:sz w:val="18"/>
                <w:szCs w:val="18"/>
                <w:color w:val="auto"/>
                <w:w w:val="99"/>
              </w:rPr>
              <w:t>(57)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due to the disposition of Services businesses</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94"/>
              <w:spacing w:after="0"/>
              <w:rPr>
                <w:sz w:val="20"/>
                <w:szCs w:val="20"/>
                <w:color w:val="auto"/>
              </w:rPr>
            </w:pPr>
            <w:r>
              <w:rPr>
                <w:rFonts w:ascii="Times New Roman" w:cs="Times New Roman" w:eastAsia="Times New Roman" w:hAnsi="Times New Roman"/>
                <w:sz w:val="18"/>
                <w:szCs w:val="18"/>
                <w:color w:val="auto"/>
                <w:w w:val="99"/>
              </w:rPr>
              <w:t>(53)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9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Decrease driven by a favorable resolution of a regulatory matter in 2025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ind w:left="694"/>
              <w:spacing w:after="0"/>
              <w:rPr>
                <w:sz w:val="20"/>
                <w:szCs w:val="20"/>
                <w:color w:val="auto"/>
              </w:rPr>
            </w:pPr>
            <w:r>
              <w:rPr>
                <w:rFonts w:ascii="Times New Roman" w:cs="Times New Roman" w:eastAsia="Times New Roman" w:hAnsi="Times New Roman"/>
                <w:sz w:val="18"/>
                <w:szCs w:val="18"/>
                <w:color w:val="auto"/>
                <w:w w:val="99"/>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480" w:type="dxa"/>
            <w:vAlign w:val="bottom"/>
            <w:gridSpan w:val="11"/>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planned major maintenance expenditures associated with the scope of outages primarily in Texas and at Powerton</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driven by higher retail operations costs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2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due to the acquisition of the Texas Generation Portfolio facilities in April 2025</w:t>
            </w: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7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Increase in variable operations and maintenance expenditures driven by higher generation at Powerton</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72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due to deactivation and site preparation costs associated with future development projects</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w w:val="99"/>
              </w:rPr>
              <w:t>Increase driven by higher Vivint Smart Home operations costs to support customer growth</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Decrease in operations and maintenance expense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center"/>
              <w:ind w:left="694"/>
              <w:spacing w:after="0"/>
              <w:rPr>
                <w:sz w:val="20"/>
                <w:szCs w:val="20"/>
                <w:color w:val="auto"/>
              </w:rPr>
            </w:pPr>
            <w:r>
              <w:rPr>
                <w:rFonts w:ascii="Times New Roman" w:cs="Times New Roman" w:eastAsia="Times New Roman" w:hAnsi="Times New Roman"/>
                <w:sz w:val="18"/>
                <w:szCs w:val="18"/>
                <w:color w:val="auto"/>
                <w:w w:val="99"/>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Other Cost of Operations</w:t>
            </w: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33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4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7"/>
              </w:rPr>
              <w:t>Other Cost of operations are comprised of the following:</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Texas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East</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West/Other</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Vivint Smart Home</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3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120" w:type="dxa"/>
            <w:vAlign w:val="bottom"/>
            <w:shd w:val="clear" w:color="auto" w:fill="CCEEFF"/>
          </w:tcPr>
          <w:p>
            <w:pPr>
              <w:jc w:val="right"/>
              <w:ind w:right="92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21"/>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41"/>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674"/>
              <w:spacing w:after="0"/>
              <w:rPr>
                <w:sz w:val="20"/>
                <w:szCs w:val="20"/>
                <w:color w:val="auto"/>
              </w:rPr>
            </w:pPr>
            <w:r>
              <w:rPr>
                <w:rFonts w:ascii="Times New Roman" w:cs="Times New Roman" w:eastAsia="Times New Roman" w:hAnsi="Times New Roman"/>
                <w:sz w:val="18"/>
                <w:szCs w:val="18"/>
                <w:color w:val="auto"/>
              </w:rPr>
              <w:t>393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ind w:left="674"/>
              <w:spacing w:after="0"/>
              <w:rPr>
                <w:sz w:val="20"/>
                <w:szCs w:val="20"/>
                <w:color w:val="auto"/>
              </w:rPr>
            </w:pPr>
            <w:r>
              <w:rPr>
                <w:rFonts w:ascii="Times New Roman" w:cs="Times New Roman" w:eastAsia="Times New Roman" w:hAnsi="Times New Roman"/>
                <w:sz w:val="18"/>
                <w:szCs w:val="18"/>
                <w:color w:val="auto"/>
              </w:rPr>
              <w:t>392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cost of operations increased by $1 million for the year ended December 31, 2025, compared to the same period in 2024, due to the following:</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3"/>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4"/>
        </w:trPr>
        <w:tc>
          <w:tcPr>
            <w:tcW w:w="454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current year ARO cost estimates at Jewett Mine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4"/>
        </w:trPr>
        <w:tc>
          <w:tcPr>
            <w:tcW w:w="766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Decrease in property taxes driven by the expiration of the Cottonwood facility lease in May 2025</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4"/>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7"/>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other cost of operations</w:t>
            </w: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36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574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Depreciation and amortization expenses are comprised of the following:</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vMerge w:val="restart"/>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Texas</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East</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West/Other</w:t>
            </w:r>
          </w:p>
        </w:tc>
        <w:tc>
          <w:tcPr>
            <w:tcW w:w="140" w:type="dxa"/>
            <w:vAlign w:val="bottom"/>
          </w:tcPr>
          <w:p>
            <w:pPr>
              <w:spacing w:after="0"/>
              <w:rPr>
                <w:sz w:val="22"/>
                <w:szCs w:val="22"/>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Vivint Smart</w:t>
            </w:r>
          </w:p>
        </w:tc>
        <w:tc>
          <w:tcPr>
            <w:tcW w:w="180" w:type="dxa"/>
            <w:vAlign w:val="bottom"/>
          </w:tcPr>
          <w:p>
            <w:pPr>
              <w:spacing w:after="0"/>
              <w:rPr>
                <w:sz w:val="22"/>
                <w:szCs w:val="22"/>
                <w:color w:val="auto"/>
              </w:rPr>
            </w:pPr>
          </w:p>
        </w:tc>
        <w:tc>
          <w:tcPr>
            <w:tcW w:w="940" w:type="dxa"/>
            <w:vAlign w:val="bottom"/>
            <w:gridSpan w:val="2"/>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6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Home</w:t>
            </w: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880" w:type="dxa"/>
            <w:vAlign w:val="bottom"/>
            <w:tcBorders>
              <w:top w:val="single" w:sz="8" w:color="auto"/>
            </w:tcBorders>
            <w:shd w:val="clear" w:color="auto" w:fill="CCEEFF"/>
          </w:tcPr>
          <w:p>
            <w:pPr>
              <w:jc w:val="right"/>
              <w:ind w:right="70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0" w:type="dxa"/>
            <w:vAlign w:val="bottom"/>
          </w:tcPr>
          <w:p>
            <w:pPr>
              <w:spacing w:after="0"/>
              <w:rPr>
                <w:sz w:val="1"/>
                <w:szCs w:val="1"/>
                <w:color w:val="auto"/>
              </w:rPr>
            </w:pPr>
          </w:p>
        </w:tc>
      </w:tr>
      <w:tr>
        <w:trPr>
          <w:trHeight w:val="22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8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929"/>
        </w:trPr>
        <w:tc>
          <w:tcPr>
            <w:tcW w:w="3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6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57" w:name="page58"/>
    <w:bookmarkEnd w:id="57"/>
    <w:p>
      <w:pPr>
        <w:jc w:val="both"/>
        <w:ind w:firstLine="395"/>
        <w:spacing w:after="0" w:line="263" w:lineRule="auto"/>
        <w:rPr>
          <w:sz w:val="20"/>
          <w:szCs w:val="20"/>
          <w:color w:val="auto"/>
        </w:rPr>
      </w:pPr>
      <w:r>
        <w:rPr>
          <w:rFonts w:ascii="Times New Roman" w:cs="Times New Roman" w:eastAsia="Times New Roman" w:hAnsi="Times New Roman"/>
          <w:sz w:val="18"/>
          <w:szCs w:val="18"/>
          <w:color w:val="auto"/>
        </w:rPr>
        <w:t>Depreciation and amortization expense increased by $3 million for the year ended December 31, 2025, compared to the same period in 2024, due to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4"/>
        </w:trPr>
        <w:tc>
          <w:tcPr>
            <w:tcW w:w="9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amortization of capitalized contract costs primarily in the Vivint Smart Home segment</w:t>
            </w:r>
          </w:p>
        </w:tc>
        <w:tc>
          <w:tcPr>
            <w:tcW w:w="2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101"/>
        </w:trPr>
        <w:tc>
          <w:tcPr>
            <w:tcW w:w="9940" w:type="dxa"/>
            <w:vAlign w:val="bottom"/>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amortization driven by the expected roll off of the acquired Vivint Smart Home intangibles</w:t>
            </w:r>
          </w:p>
        </w:tc>
        <w:tc>
          <w:tcPr>
            <w:tcW w:w="20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100"/>
        </w:trPr>
        <w:tc>
          <w:tcPr>
            <w:tcW w:w="9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amortization due to the disposition of Services businesses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8"/>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amortization primarily due to the roll off of intangibles in Texas, East and West</w:t>
            </w:r>
          </w:p>
        </w:tc>
        <w:tc>
          <w:tcPr>
            <w:tcW w:w="20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00"/>
        </w:trPr>
        <w:tc>
          <w:tcPr>
            <w:tcW w:w="9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7"/>
        </w:trPr>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depreciation and amortization</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9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Impairment Losses</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During the year ended December 31, 2024, the Company recorded impairment losses related to property plant and equipment and other assets of $7 million, and $29 million in the Texas and West/Other segments, respectively. Refer to Item 15 — Note 10, </w:t>
      </w:r>
      <w:r>
        <w:rPr>
          <w:rFonts w:ascii="Times New Roman" w:cs="Times New Roman" w:eastAsia="Times New Roman" w:hAnsi="Times New Roman"/>
          <w:sz w:val="18"/>
          <w:szCs w:val="18"/>
          <w:i w:val="1"/>
          <w:iCs w:val="1"/>
          <w:color w:val="auto"/>
        </w:rPr>
        <w:t>Asset Impairments</w:t>
      </w:r>
      <w:r>
        <w:rPr>
          <w:rFonts w:ascii="Times New Roman" w:cs="Times New Roman" w:eastAsia="Times New Roman" w:hAnsi="Times New Roman"/>
          <w:sz w:val="18"/>
          <w:szCs w:val="18"/>
          <w:color w:val="auto"/>
        </w:rPr>
        <w:t>, to the Consolidated Financial Statements for further discussion</w:t>
      </w:r>
      <w:r>
        <w:rPr>
          <w:rFonts w:ascii="Times New Roman" w:cs="Times New Roman" w:eastAsia="Times New Roman" w:hAnsi="Times New Roman"/>
          <w:sz w:val="18"/>
          <w:szCs w:val="18"/>
          <w:i w:val="1"/>
          <w:iCs w:val="1"/>
          <w:color w:val="auto"/>
        </w:rPr>
        <w:t>.</w:t>
      </w:r>
    </w:p>
    <w:p>
      <w:pPr>
        <w:spacing w:after="0" w:line="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Costs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Selling, general and administrative costs are comprised of the following:</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240" w:type="dxa"/>
            <w:vAlign w:val="bottom"/>
          </w:tcPr>
          <w:p>
            <w:pPr>
              <w:spacing w:after="0"/>
              <w:rPr>
                <w:sz w:val="13"/>
                <w:szCs w:val="13"/>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East</w:t>
            </w:r>
          </w:p>
        </w:tc>
        <w:tc>
          <w:tcPr>
            <w:tcW w:w="280" w:type="dxa"/>
            <w:vAlign w:val="bottom"/>
          </w:tcPr>
          <w:p>
            <w:pPr>
              <w:spacing w:after="0"/>
              <w:rPr>
                <w:sz w:val="13"/>
                <w:szCs w:val="13"/>
                <w:color w:val="auto"/>
              </w:rPr>
            </w:pPr>
          </w:p>
        </w:tc>
        <w:tc>
          <w:tcPr>
            <w:tcW w:w="1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West/Other</w:t>
            </w:r>
          </w:p>
        </w:tc>
        <w:tc>
          <w:tcPr>
            <w:tcW w:w="13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Vivint Smart Home</w:t>
            </w:r>
          </w:p>
        </w:tc>
        <w:tc>
          <w:tcPr>
            <w:tcW w:w="14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280" w:type="dxa"/>
            <w:vAlign w:val="bottom"/>
          </w:tcPr>
          <w:p>
            <w:pPr>
              <w:spacing w:after="0"/>
              <w:rPr>
                <w:sz w:val="13"/>
                <w:szCs w:val="13"/>
                <w:color w:val="auto"/>
              </w:rPr>
            </w:pPr>
          </w:p>
        </w:tc>
        <w:tc>
          <w:tcPr>
            <w:tcW w:w="980" w:type="dxa"/>
            <w:vAlign w:val="bottom"/>
            <w:vMerge w:val="restart"/>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4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Eliminations</w:t>
            </w: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0" w:type="dxa"/>
            <w:vAlign w:val="bottom"/>
          </w:tcPr>
          <w:p>
            <w:pPr>
              <w:spacing w:after="0"/>
              <w:rPr>
                <w:sz w:val="1"/>
                <w:szCs w:val="1"/>
                <w:color w:val="auto"/>
              </w:rPr>
            </w:pPr>
          </w:p>
        </w:tc>
      </w:tr>
      <w:tr>
        <w:trPr>
          <w:trHeight w:val="228"/>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20" w:firstLine="395"/>
        <w:spacing w:after="0" w:line="263" w:lineRule="auto"/>
        <w:rPr>
          <w:sz w:val="20"/>
          <w:szCs w:val="20"/>
          <w:color w:val="auto"/>
        </w:rPr>
      </w:pPr>
      <w:r>
        <w:rPr>
          <w:rFonts w:ascii="Times New Roman" w:cs="Times New Roman" w:eastAsia="Times New Roman" w:hAnsi="Times New Roman"/>
          <w:sz w:val="18"/>
          <w:szCs w:val="18"/>
          <w:color w:val="auto"/>
        </w:rPr>
        <w:t>Selling, general and administrative costs increased by $257 million for the year ended December 31, 2025 compared to the same period in 2024, due to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
        </w:trPr>
        <w:tc>
          <w:tcPr>
            <w:tcW w:w="9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due to legal matters in 2025</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4"/>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equity linked compensation</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4"/>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personnel costs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4"/>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marketing and media expenses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4"/>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provision for credit losses primarily due to improved customer payment behavior</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4"/>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due to the disposition of Services businesses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4"/>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7"/>
        </w:trPr>
        <w:tc>
          <w:tcPr>
            <w:tcW w:w="9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selling, general and administrative costs</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0"/>
        </w:trPr>
        <w:tc>
          <w:tcPr>
            <w:tcW w:w="9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Transaction and Integration Costs</w:t>
      </w:r>
    </w:p>
    <w:p>
      <w:pPr>
        <w:spacing w:after="0" w:line="113" w:lineRule="exact"/>
        <w:rPr>
          <w:sz w:val="20"/>
          <w:szCs w:val="20"/>
          <w:color w:val="auto"/>
        </w:rPr>
      </w:pPr>
    </w:p>
    <w:p>
      <w:pPr>
        <w:ind w:firstLine="395"/>
        <w:spacing w:after="0" w:line="263" w:lineRule="auto"/>
        <w:rPr>
          <w:sz w:val="20"/>
          <w:szCs w:val="20"/>
          <w:color w:val="auto"/>
        </w:rPr>
      </w:pPr>
      <w:r>
        <w:rPr>
          <w:rFonts w:ascii="Times New Roman" w:cs="Times New Roman" w:eastAsia="Times New Roman" w:hAnsi="Times New Roman"/>
          <w:sz w:val="18"/>
          <w:szCs w:val="18"/>
          <w:color w:val="auto"/>
        </w:rPr>
        <w:t>Acquisition-related transaction and integration costs of $74 million and $30 million for the years ended December 31, 2025 and 2024, respectively, include:</w:t>
      </w:r>
    </w:p>
    <w:p>
      <w:pPr>
        <w:spacing w:after="0" w:line="1"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8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580" w:type="dxa"/>
            <w:vAlign w:val="bottom"/>
            <w:tcBorders>
              <w:top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8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35495" cy="1504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LSP Portfolio acquisition costs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Vivint Smart Home integration costs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Texas Generation Portfolio 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5495" cy="142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Acquisition-related transaction and integration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2089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5495" cy="208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700" w:type="dxa"/>
            <w:vAlign w:val="bottom"/>
            <w:tcBorders>
              <w:top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680" w:type="dxa"/>
            <w:vAlign w:val="bottom"/>
            <w:tcBorders>
              <w:top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4"/>
        </w:trPr>
        <w:tc>
          <w:tcPr>
            <w:tcW w:w="7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83"/>
        </w:trPr>
        <w:tc>
          <w:tcPr>
            <w:tcW w:w="7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4"/>
                <w:szCs w:val="24"/>
                <w:color w:val="auto"/>
              </w:rPr>
            </w:pPr>
          </w:p>
        </w:tc>
        <w:tc>
          <w:tcPr>
            <w:tcW w:w="6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60" w:space="720"/>
            <w:col w:w="3160"/>
          </w:cols>
          <w:pgMar w:left="320" w:top="871" w:right="339" w:bottom="1440" w:gutter="0" w:footer="0" w:header="0"/>
          <w:type w:val="continuous"/>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type w:val="continuous"/>
        </w:sectPr>
      </w:pPr>
    </w:p>
    <w:bookmarkStart w:id="58" w:name="page59"/>
    <w:bookmarkEnd w:id="58"/>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(Loss)/Gain on Sale of Assets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(loss)/gain on sale of assets of $(25) million and $208 million recorded for the years ended December 31, 2025 and 2024, respectively, include: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08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of the Airtron business unit</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2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due to the resolution of a tax matter in connection with STP sales agreement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 sales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7"/>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(Loss)/Gain on sale of assets</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Impairment Losses on Investments</w:t>
      </w:r>
    </w:p>
    <w:p>
      <w:pPr>
        <w:spacing w:after="0" w:line="11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recorded impairment losses of $39 million and $7 million, respectively, on the Company's equity method investment in Gladstone generation facility.</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income, net of $68 million and $44 million recorded for the years ended December 31, 2025, and 2024, respectively, include: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08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losses on the Consumer Financing Program</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7"/>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Loss on Debt Extinguishment</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loss on debt extinguishment of $10 million and $382 million recorded for the years ended December 31, 2025, and 2024, respectively, include:</w:t>
      </w:r>
    </w:p>
    <w:p>
      <w:pPr>
        <w:sectPr>
          <w:pgSz w:w="11900" w:h="16838" w:orient="portrait"/>
          <w:cols w:equalWidth="0" w:num="1">
            <w:col w:w="11240"/>
          </w:cols>
          <w:pgMar w:left="320" w:top="867" w:right="339" w:bottom="1440" w:gutter="0" w:footer="0" w:header="0"/>
        </w:sectPr>
      </w:pP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43" w:lineRule="exact"/>
        <w:rPr>
          <w:sz w:val="20"/>
          <w:szCs w:val="20"/>
          <w:color w:val="auto"/>
        </w:rPr>
      </w:pPr>
    </w:p>
    <w:p>
      <w:pPr>
        <w:ind w:left="20" w:right="3000"/>
        <w:spacing w:after="0" w:line="429" w:lineRule="auto"/>
        <w:rPr>
          <w:sz w:val="20"/>
          <w:szCs w:val="20"/>
          <w:color w:val="auto"/>
        </w:rPr>
      </w:pPr>
      <w:r>
        <w:rPr>
          <w:rFonts w:ascii="Times New Roman" w:cs="Times New Roman" w:eastAsia="Times New Roman" w:hAnsi="Times New Roman"/>
          <w:sz w:val="16"/>
          <w:szCs w:val="16"/>
          <w:color w:val="auto"/>
        </w:rPr>
        <w:t>Repurchase of a portion of the Convertible Senior Notes Exchange offer for the Vivint 5.750% Senior Notes, due 2029 Repayment of the Vivint Senior Secured Term Loan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-622300</wp:posOffset>
            </wp:positionV>
            <wp:extent cx="7135495" cy="2089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5495" cy="208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-204470</wp:posOffset>
            </wp:positionV>
            <wp:extent cx="7135495" cy="2089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5495" cy="208915"/>
                    </a:xfrm>
                    <a:prstGeom prst="rect">
                      <a:avLst/>
                    </a:prstGeom>
                    <a:noFill/>
                  </pic:spPr>
                </pic:pic>
              </a:graphicData>
            </a:graphic>
          </wp:anchor>
        </w:drawing>
      </w:r>
    </w:p>
    <w:p>
      <w:pPr>
        <w:ind w:left="20" w:right="2660"/>
        <w:spacing w:after="0" w:line="284" w:lineRule="auto"/>
        <w:rPr>
          <w:sz w:val="20"/>
          <w:szCs w:val="20"/>
          <w:color w:val="auto"/>
        </w:rPr>
      </w:pPr>
      <w:r>
        <w:rPr>
          <w:rFonts w:ascii="Times New Roman" w:cs="Times New Roman" w:eastAsia="Times New Roman" w:hAnsi="Times New Roman"/>
          <w:sz w:val="18"/>
          <w:szCs w:val="18"/>
          <w:color w:val="auto"/>
        </w:rPr>
        <w:t>Redemption of the Vivint 6.750% Senior Secured Notes, due 2027 Redemption of the 6.625% Senior Notes, due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135495" cy="2089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5495" cy="20891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5495" cy="167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15"/>
        </w:trPr>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329"/>
        </w:trPr>
        <w:tc>
          <w:tcPr>
            <w:tcW w:w="36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24"/>
        </w:trPr>
        <w:tc>
          <w:tcPr>
            <w:tcW w:w="36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8"/>
        </w:trPr>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36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494" w:lineRule="exact"/>
        <w:rPr>
          <w:sz w:val="20"/>
          <w:szCs w:val="20"/>
          <w:color w:val="auto"/>
        </w:rPr>
      </w:pPr>
    </w:p>
    <w:p>
      <w:pPr>
        <w:sectPr>
          <w:pgSz w:w="11900" w:h="16838" w:orient="portrait"/>
          <w:cols w:equalWidth="0" w:num="2">
            <w:col w:w="7360" w:space="720"/>
            <w:col w:w="3160"/>
          </w:cols>
          <w:pgMar w:left="320" w:top="867" w:right="339" w:bottom="1440" w:gutter="0" w:footer="0" w:header="0"/>
          <w:type w:val="continuous"/>
        </w:sect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Interest expense increased by $90 million for the year ended December 31, 2025, compared to the same period in 2024, primarily due to the impact of New Unsecured Notes and the New Secured Notes to partially fund acquisition of the LSP Portfolio and a realized loss on the treasury locks in the 2025 period.</w:t>
      </w:r>
    </w:p>
    <w:p>
      <w:pPr>
        <w:spacing w:after="0" w:line="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2025, NRG recorded an income tax expense of $270 million on pre-tax income of $1.1 billion. For the same period in 2024, NRG recorded income tax expense of $323 million on a pre-tax income of $1.4 billion. The effective tax rate was 23.8% and 22.3% for the years ended December 31, 2025 and 2024, respectively.</w:t>
      </w:r>
    </w:p>
    <w:p>
      <w:pPr>
        <w:spacing w:after="0" w:line="75"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 xml:space="preserve">For the year ended December 31, 2025, NRG's overall effective tax rate was higher than the federal statutory tax rate of 21%, primarily due to the state tax expense, partially offset by favorable permanent differences. For the same period in 2024, NRG's overall effective tax rate was higher than the federal statutory tax rate of 21%, primarily due to permanent differences and state tax expense, partially offset by tax benefits from the revaluation of deferred tax assets and decrease of certain state valuation allowances. Refer to Item 15 — Note 19,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to the Consolidated Financial Statements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type w:val="continuous"/>
        </w:sectPr>
      </w:pPr>
    </w:p>
    <w:bookmarkStart w:id="59" w:name="page60"/>
    <w:bookmarkEnd w:id="59"/>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The effective income tax rate may vary from period to period depending on, among other factors, the geographic and business mix of earnings and losses and changes in valuation allowances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These factors and others, including the Company's history of pre-tax earnings and losses, are taken into account in assessing the ability to realize deferred tax assets.</w:t>
      </w: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Liquidity Position</w:t>
      </w:r>
    </w:p>
    <w:p>
      <w:pPr>
        <w:spacing w:after="0" w:line="11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As of January 31, 2026, December 31, 2025 and 2024, NRG's liquidity, excluding collateral funds deposited by counterparties, was approximately $3.0 billion, $9.6 billion and $5.4 billion, respectively, comprised of the following:</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As of January 31,</w:t>
            </w:r>
          </w:p>
        </w:tc>
        <w:tc>
          <w:tcPr>
            <w:tcW w:w="400" w:type="dxa"/>
            <w:vAlign w:val="bottom"/>
          </w:tcPr>
          <w:p>
            <w:pPr>
              <w:spacing w:after="0"/>
              <w:rPr>
                <w:sz w:val="18"/>
                <w:szCs w:val="18"/>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100" w:type="dxa"/>
            <w:vAlign w:val="bottom"/>
          </w:tcPr>
          <w:p>
            <w:pPr>
              <w:spacing w:after="0"/>
              <w:rPr>
                <w:sz w:val="18"/>
                <w:szCs w:val="18"/>
                <w:color w:val="auto"/>
              </w:rPr>
            </w:pPr>
          </w:p>
        </w:tc>
      </w:tr>
      <w:tr>
        <w:trPr>
          <w:trHeight w:val="205"/>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8"/>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2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 operating</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4"/>
        </w:trPr>
        <w:tc>
          <w:tcPr>
            <w:tcW w:w="570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Restricted cash - reserves </w:t>
            </w:r>
            <w:r>
              <w:rPr>
                <w:rFonts w:ascii="Times New Roman" w:cs="Times New Roman" w:eastAsia="Times New Roman" w:hAnsi="Times New Roman"/>
                <w:sz w:val="22"/>
                <w:szCs w:val="22"/>
                <w:color w:val="auto"/>
                <w:vertAlign w:val="superscript"/>
              </w:rPr>
              <w:t>(a)</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7"/>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r>
      <w:tr>
        <w:trPr>
          <w:trHeight w:val="171"/>
        </w:trPr>
        <w:tc>
          <w:tcPr>
            <w:tcW w:w="57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Total availability under Revolving Credit Facility and collective collateral</w:t>
            </w:r>
          </w:p>
        </w:tc>
        <w:tc>
          <w:tcPr>
            <w:tcW w:w="2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37"/>
        </w:trPr>
        <w:tc>
          <w:tcPr>
            <w:tcW w:w="570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facilities</w:t>
            </w:r>
            <w:r>
              <w:rPr>
                <w:rFonts w:ascii="Times New Roman" w:cs="Times New Roman" w:eastAsia="Times New Roman" w:hAnsi="Times New Roman"/>
                <w:sz w:val="22"/>
                <w:szCs w:val="22"/>
                <w:color w:val="auto"/>
                <w:vertAlign w:val="superscript"/>
              </w:rPr>
              <w:t>(b)</w:t>
            </w:r>
          </w:p>
        </w:tc>
        <w:tc>
          <w:tcPr>
            <w:tcW w:w="2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6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100" w:type="dxa"/>
            <w:vAlign w:val="bottom"/>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w:t>
            </w:r>
          </w:p>
        </w:tc>
      </w:tr>
      <w:tr>
        <w:trPr>
          <w:trHeight w:val="217"/>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liquidity, excluding collateral funds deposited by counterparties</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6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9,628</w:t>
            </w:r>
          </w:p>
        </w:tc>
        <w:tc>
          <w:tcPr>
            <w:tcW w:w="100" w:type="dxa"/>
            <w:vAlign w:val="bottom"/>
          </w:tcPr>
          <w:p>
            <w:pPr>
              <w:spacing w:after="0"/>
              <w:rPr>
                <w:sz w:val="18"/>
                <w:szCs w:val="18"/>
                <w:color w:val="auto"/>
              </w:rPr>
            </w:pPr>
          </w:p>
        </w:tc>
        <w:tc>
          <w:tcPr>
            <w:tcW w:w="6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5,443</w:t>
            </w:r>
          </w:p>
        </w:tc>
      </w:tr>
      <w:tr>
        <w:trPr>
          <w:trHeight w:val="20"/>
        </w:trPr>
        <w:tc>
          <w:tcPr>
            <w:tcW w:w="5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20" w:hanging="315"/>
        <w:spacing w:after="0"/>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reserves primarily for capital expenditures</w:t>
      </w:r>
    </w:p>
    <w:p>
      <w:pPr>
        <w:spacing w:after="0" w:line="12" w:lineRule="exact"/>
        <w:rPr>
          <w:rFonts w:ascii="Times New Roman" w:cs="Times New Roman" w:eastAsia="Times New Roman" w:hAnsi="Times New Roman"/>
          <w:sz w:val="14"/>
          <w:szCs w:val="14"/>
          <w:color w:val="auto"/>
        </w:rPr>
      </w:pPr>
    </w:p>
    <w:p>
      <w:pPr>
        <w:ind w:left="320" w:right="180" w:hanging="315"/>
        <w:spacing w:after="0" w:line="263" w:lineRule="auto"/>
        <w:tabs>
          <w:tab w:leader="none" w:pos="31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capacity of Revolving Credit Facility and collective collateral facilities was $8.9 billion, $7.7 billion and $7.3 billion as of January 31, 2026, December 31, 2025 and December 31, 2024, respectively</w:t>
      </w:r>
    </w:p>
    <w:p>
      <w:pPr>
        <w:spacing w:after="0" w:line="214"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 xml:space="preserve">As of December 31, 2025, total liquidity, excluding collateral funds deposited by counterparties, increased by $4.2 billion from December 31, 2024. The increase was driven by $4.9 billion of newly-issued secured and unsecured corporate debt to partially fund the acquisition of the LSP Portfolio on January 30, 2026 and to repay the $500 million aggregate principal amount of 2.000% senior secured first lien notes. As of January 31, 2026, NRG had $3.0 billion of liquidity available to continue to support its operations. Changes in cash and cash equivalent balances are further discussed under the heading </w:t>
      </w:r>
      <w:r>
        <w:rPr>
          <w:rFonts w:ascii="Times New Roman" w:cs="Times New Roman" w:eastAsia="Times New Roman" w:hAnsi="Times New Roman"/>
          <w:sz w:val="18"/>
          <w:szCs w:val="18"/>
          <w:i w:val="1"/>
          <w:iCs w:val="1"/>
          <w:color w:val="auto"/>
        </w:rPr>
        <w:t>Cash Flow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w:t>
      </w:r>
      <w:r>
        <w:rPr>
          <w:rFonts w:ascii="Times New Roman" w:cs="Times New Roman" w:eastAsia="Times New Roman" w:hAnsi="Times New Roman"/>
          <w:sz w:val="18"/>
          <w:szCs w:val="18"/>
          <w:color w:val="auto"/>
        </w:rPr>
        <w:t>. Cash and cash equivalents at December 31, 2025, were predominantly held in bank deposits.</w:t>
      </w:r>
    </w:p>
    <w:p>
      <w:pPr>
        <w:spacing w:after="0" w:line="8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Management believes that the Company's liquidity position and cash flows from operations will be adequate to finance operating and maintenance capital expenditures, to fund dividends, and to fund other liquidity commitments in the short and long-term. Management continues to regularly monitor the Company's ability to finance the needs of its operating, financing and investing activity within the dictates of prudent balance sheet management.</w:t>
      </w:r>
    </w:p>
    <w:p>
      <w:pPr>
        <w:spacing w:after="0" w:line="7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consolidated statement of cash flows includes certain draws from, and payments to, the revolving credit facility and other credit facilities which are not eligible for net reporting. These transactions are for short term liquidity purposes.</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On May 12, 2025, S&amp;P affirmed the Company's issuer credit rating of BB and changed the rating outlook from Positive to Stable.</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Company's current credit ratings: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46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S&amp;P</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Moody's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Fitch</w:t>
            </w:r>
          </w:p>
        </w:tc>
      </w:tr>
      <w:tr>
        <w:trPr>
          <w:trHeight w:val="219"/>
        </w:trPr>
        <w:tc>
          <w:tcPr>
            <w:tcW w:w="6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NRG Energy, Inc.</w:t>
            </w: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BB Stable</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Ba1 Stable</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BB+ Stable</w:t>
            </w:r>
          </w:p>
        </w:tc>
      </w:tr>
      <w:tr>
        <w:trPr>
          <w:trHeight w:val="224"/>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Debt</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BBB-</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Baa3</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BBB-</w:t>
            </w:r>
          </w:p>
        </w:tc>
      </w:tr>
      <w:tr>
        <w:trPr>
          <w:trHeight w:val="22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Debt</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BB</w:t>
            </w:r>
          </w:p>
        </w:tc>
        <w:tc>
          <w:tcPr>
            <w:tcW w:w="16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Ba2</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BB+</w:t>
            </w:r>
          </w:p>
        </w:tc>
      </w:tr>
      <w:tr>
        <w:trPr>
          <w:trHeight w:val="228"/>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Ba3</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BB-</w:t>
            </w:r>
          </w:p>
        </w:tc>
      </w:tr>
    </w:tbl>
    <w:p>
      <w:pPr>
        <w:spacing w:after="0" w:line="3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13"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 xml:space="preserve">The principal sources of liquidity for NRG's operating and capital expenditures are expected to be derived from cash on hand, cash flows from operations and financing arrangements. As described in Item 15 — Note 12, </w:t>
      </w:r>
      <w:r>
        <w:rPr>
          <w:rFonts w:ascii="Times New Roman" w:cs="Times New Roman" w:eastAsia="Times New Roman" w:hAnsi="Times New Roman"/>
          <w:sz w:val="16"/>
          <w:szCs w:val="16"/>
          <w:i w:val="1"/>
          <w:iCs w:val="1"/>
          <w:color w:val="auto"/>
        </w:rPr>
        <w:t>Long-term Debt and Finance Leases,</w:t>
      </w:r>
      <w:r>
        <w:rPr>
          <w:rFonts w:ascii="Times New Roman" w:cs="Times New Roman" w:eastAsia="Times New Roman" w:hAnsi="Times New Roman"/>
          <w:sz w:val="16"/>
          <w:szCs w:val="16"/>
          <w:color w:val="auto"/>
        </w:rPr>
        <w:t xml:space="preserve"> to the Consolidated Financial Statements, the Company's financing arrangements consist mainly of the Senior Notes, Senior Secured First Lien Notes, Senior Credit Facility, Receivables Facility, tax-exempt bonds and TEF loans. The Company also issues letters of credit through bilateral letter of credit facilities and the pre-capitalized trust securities facility.</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0" w:name="page61"/>
    <w:bookmarkEnd w:id="60"/>
    <w:p>
      <w:pPr>
        <w:ind w:left="400"/>
        <w:spacing w:after="0"/>
        <w:rPr>
          <w:sz w:val="20"/>
          <w:szCs w:val="20"/>
          <w:color w:val="auto"/>
        </w:rPr>
      </w:pPr>
      <w:r>
        <w:rPr>
          <w:rFonts w:ascii="Times New Roman" w:cs="Times New Roman" w:eastAsia="Times New Roman" w:hAnsi="Times New Roman"/>
          <w:sz w:val="18"/>
          <w:szCs w:val="18"/>
          <w:color w:val="auto"/>
        </w:rPr>
        <w:t>The Company's requirements for liquidity and capital resources, other than for operating its facilities, can generally be categorized by the following:</w:t>
      </w:r>
    </w:p>
    <w:p>
      <w:pPr>
        <w:spacing w:after="0" w:line="21" w:lineRule="exact"/>
        <w:rPr>
          <w:sz w:val="20"/>
          <w:szCs w:val="20"/>
          <w:color w:val="auto"/>
        </w:rPr>
      </w:pPr>
    </w:p>
    <w:p>
      <w:pPr>
        <w:jc w:val="both"/>
        <w:ind w:firstLine="5"/>
        <w:spacing w:after="0" w:line="245" w:lineRule="auto"/>
        <w:tabs>
          <w:tab w:leader="none" w:pos="2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market operations activities; (ii) debt service obligations, as described in Item 15 — Note 12, </w:t>
      </w:r>
      <w:r>
        <w:rPr>
          <w:rFonts w:ascii="Times New Roman" w:cs="Times New Roman" w:eastAsia="Times New Roman" w:hAnsi="Times New Roman"/>
          <w:sz w:val="18"/>
          <w:szCs w:val="18"/>
          <w:i w:val="1"/>
          <w:iCs w:val="1"/>
          <w:color w:val="auto"/>
        </w:rPr>
        <w:t>Long-term Debt and Finance Leases</w:t>
      </w:r>
      <w:r>
        <w:rPr>
          <w:rFonts w:ascii="Times New Roman" w:cs="Times New Roman" w:eastAsia="Times New Roman" w:hAnsi="Times New Roman"/>
          <w:sz w:val="18"/>
          <w:szCs w:val="18"/>
          <w:color w:val="auto"/>
        </w:rPr>
        <w:t xml:space="preserve">, to the Consolidated Financial Statements; (iii) capital expenditures, including maintenance, environmental, and investments and integration; and (iv) allocations in connection with acquisition opportunities, debt repayments, share repurchases and dividend payments to stockholders, as described in Item 15 — Note 15, </w:t>
      </w:r>
      <w:r>
        <w:rPr>
          <w:rFonts w:ascii="Times New Roman" w:cs="Times New Roman" w:eastAsia="Times New Roman" w:hAnsi="Times New Roman"/>
          <w:sz w:val="18"/>
          <w:szCs w:val="18"/>
          <w:i w:val="1"/>
          <w:iCs w:val="1"/>
          <w:color w:val="auto"/>
        </w:rPr>
        <w:t>Capital Structure</w:t>
      </w:r>
      <w:r>
        <w:rPr>
          <w:rFonts w:ascii="Times New Roman" w:cs="Times New Roman" w:eastAsia="Times New Roman" w:hAnsi="Times New Roman"/>
          <w:sz w:val="18"/>
          <w:szCs w:val="18"/>
          <w:color w:val="auto"/>
        </w:rPr>
        <w:t>, to the Consolidated Financial Statements.</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Acquisition of Texas Generation Portfolio</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On April 10, 2025, the Company acquired all of the ownership interests of six power generation facilities from Rockland Capital, LLC, adding 738 MW of natural gas-fired assets in Texas to its portfolio for $560 million in consideration, less $2 million in working capital adjustments. For further discussion, see Item 15 — Note 4, </w:t>
      </w:r>
      <w:r>
        <w:rPr>
          <w:rFonts w:ascii="Times New Roman" w:cs="Times New Roman" w:eastAsia="Times New Roman" w:hAnsi="Times New Roman"/>
          <w:sz w:val="18"/>
          <w:szCs w:val="18"/>
          <w:i w:val="1"/>
          <w:iCs w:val="1"/>
          <w:color w:val="auto"/>
        </w:rPr>
        <w:t>Acquisitions and Dispositions.</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Issuance of Unsecured Notes and Secured Notes</w:t>
      </w:r>
    </w:p>
    <w:p>
      <w:pPr>
        <w:spacing w:after="0" w:line="11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On October 8, 2025, the Company issued $3.65 billion in aggregate principal amount of senior unsecured notes, consisting of (i) $1.25 billion aggregate principal amount of 5.750% senior notes due 2034 (the “2034 Notes”) and (ii) $2.4 billion aggregate principal amount of 6.000% senior notes due 2036 (the “2036 Notes” and, together with the 2034 Notes, the “New Unsecured Notes”). On October 8, 2025, the Company also issued $1.25 billion in aggregate principal amount of senior secured first lien notes, consisting of (i) $625 million aggregate principal amount of 4.734% senior secured first lien notes due 2030 (the “2030 Notes”) and (ii) $625 million aggregate principal amount of 5.407% senior secured first lien notes due 2035 (the “2035 Notes” and, together with the 2030 Notes, the “New Secured Notes”).</w:t>
      </w:r>
    </w:p>
    <w:p>
      <w:pPr>
        <w:spacing w:after="0" w:line="8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 xml:space="preserve">The Company used a portion of the net proceeds from the 2035 Notes to repay in full its $500 million aggregate principal amount of 2.000% senior secured notes on the maturity date of December 2, 2025. For further discussion, see Item 15 — Note 12, </w:t>
      </w:r>
      <w:r>
        <w:rPr>
          <w:rFonts w:ascii="Times New Roman" w:cs="Times New Roman" w:eastAsia="Times New Roman" w:hAnsi="Times New Roman"/>
          <w:sz w:val="18"/>
          <w:szCs w:val="18"/>
          <w:i w:val="1"/>
          <w:iCs w:val="1"/>
          <w:color w:val="auto"/>
        </w:rPr>
        <w:t>Long-term Debt and Finance Leases.</w:t>
      </w:r>
    </w:p>
    <w:p>
      <w:pPr>
        <w:spacing w:after="0" w:line="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Acquisition of LSP Portfolio</w:t>
      </w:r>
    </w:p>
    <w:p>
      <w:pPr>
        <w:spacing w:after="0" w:line="11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 xml:space="preserve">On January 30, 2026, NRG completed the acquisition of the LSP Portfolio from LS Power, pursuant to the Purchase Agreement dated as of May 12, 2025. The consideration consisted of 24.25 million shares of NRG common stock and $6.4 billion in cash, plus preliminary working capital and certain other adjustments of $479 million. The Company funded the cash consideration using a portion of the net proceeds from the New Unsecured Notes and the New Secured Notes of $4.4 billion and proceeds of $2.5 billion from the Company’s Revolving Credit Facility. As part of the transaction, NRG also assumed approximately $3.2 billion of debt. For further discussion, see Item 15 — Note 4,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xml:space="preserve"> and Item 15 — Note 12, </w:t>
      </w:r>
      <w:r>
        <w:rPr>
          <w:rFonts w:ascii="Times New Roman" w:cs="Times New Roman" w:eastAsia="Times New Roman" w:hAnsi="Times New Roman"/>
          <w:sz w:val="18"/>
          <w:szCs w:val="18"/>
          <w:i w:val="1"/>
          <w:iCs w:val="1"/>
          <w:color w:val="auto"/>
        </w:rPr>
        <w:t>Long-term Debt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Finance Leases.</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Amendment to Term Loan</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 xml:space="preserve">On July 22, 2025, the Company and APX Group LLC, as borrowers, and certain subsidiaries of the Company, as guarantors, entered into the Fifteenth Amendment to the Second Amended and Restated Credit Agreement (the “Fifteenth Amendment”) with, among others, Citicorp North America, Inc., as administrative agent and as collateral agent (the “Agent”), and certain financial institutions, as lenders, which amended the Company’s Second Amended and Restated Credit Agreement, dated as of June 30, 2016 (the “Credit Agreement”) by adding a new incremental Term Loan B in an aggregate principal amount of $1.0 billion. For further discussion, see Item 15 — Note 12, </w:t>
      </w:r>
      <w:r>
        <w:rPr>
          <w:rFonts w:ascii="Times New Roman" w:cs="Times New Roman" w:eastAsia="Times New Roman" w:hAnsi="Times New Roman"/>
          <w:sz w:val="18"/>
          <w:szCs w:val="18"/>
          <w:i w:val="1"/>
          <w:iCs w:val="1"/>
          <w:color w:val="auto"/>
        </w:rPr>
        <w:t>Long-term Debt and Finance Leases.</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On May 27, 2025, the Company, as borrower, and certain of its subsidiaries, as guarantors, entered into the Fourteenth Amendment to the Credit Agreement in order to increase the commitments under the Revolving Credit Facility by $390 million (the “Incremental Commitments”) to an aggregate amount equal to $4.6 billion. As of January 31, 2026, $2.8 billion of borrowings were outstanding. For further discussion, see Item 15 — Note 12, </w:t>
      </w:r>
      <w:r>
        <w:rPr>
          <w:rFonts w:ascii="Times New Roman" w:cs="Times New Roman" w:eastAsia="Times New Roman" w:hAnsi="Times New Roman"/>
          <w:sz w:val="18"/>
          <w:szCs w:val="18"/>
          <w:i w:val="1"/>
          <w:iCs w:val="1"/>
          <w:color w:val="auto"/>
        </w:rPr>
        <w:t>Long-term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 and Finance Leases.</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Convertible Senior Notes Redemption</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On July 8, 2025 (the “Redemption Date”), the Company used cash on hand to redeem $12 million in aggregate principal amount of the Convertible Senior Notes, at a redemption price equal to 100.000%. The holders of the remaining outstanding Convertible Senior Notes elected to convert their Convertible Senior Notes prior to the Redemption Date and received $220 million in cash with respect to the remaining principal amount of the Convertible Senior Notes and a total of 3,986,335 shares for the conversion premium. See Item 15 — Note 12, </w:t>
      </w:r>
      <w:r>
        <w:rPr>
          <w:rFonts w:ascii="Times New Roman" w:cs="Times New Roman" w:eastAsia="Times New Roman" w:hAnsi="Times New Roman"/>
          <w:sz w:val="18"/>
          <w:szCs w:val="18"/>
          <w:i w:val="1"/>
          <w:iCs w:val="1"/>
          <w:color w:val="auto"/>
        </w:rPr>
        <w:t>Long-term Debt and Finance Leases.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1" w:name="page62"/>
    <w:bookmarkEnd w:id="61"/>
    <w:p>
      <w:pPr>
        <w:ind w:left="400"/>
        <w:spacing w:after="0"/>
        <w:rPr>
          <w:sz w:val="20"/>
          <w:szCs w:val="20"/>
          <w:color w:val="auto"/>
        </w:rPr>
      </w:pPr>
      <w:r>
        <w:rPr>
          <w:rFonts w:ascii="Times New Roman" w:cs="Times New Roman" w:eastAsia="Times New Roman" w:hAnsi="Times New Roman"/>
          <w:sz w:val="18"/>
          <w:szCs w:val="18"/>
          <w:i w:val="1"/>
          <w:iCs w:val="1"/>
          <w:color w:val="auto"/>
        </w:rPr>
        <w:t>Capped Call Options</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During the second quarter of 2024, the Company entered into privately negotiated capped call transactions with certain counterparties (the “Capped Calls”) to mitigate the impact of potential dilution of the Convertible Senior Notes. Upon the exercise and settlement of the Capped Calls on July 8, 2025, the Company paid a total amount of $292 million. For further discussion, see Item 15 — Note 15, </w:t>
      </w:r>
      <w:r>
        <w:rPr>
          <w:rFonts w:ascii="Times New Roman" w:cs="Times New Roman" w:eastAsia="Times New Roman" w:hAnsi="Times New Roman"/>
          <w:sz w:val="18"/>
          <w:szCs w:val="18"/>
          <w:i w:val="1"/>
          <w:iCs w:val="1"/>
          <w:color w:val="auto"/>
        </w:rPr>
        <w:t>Capital Structure</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Receivables Facility</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On June 20, 2025, NRG Receivables amended its existing Receivables Facility to extend the scheduled termination date to June 18, 2026.</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Texas Development Projects</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July 31, 2025, NRG THW GT LLC, an indirect wholly-owned subsidiary of the Company, entered into the First TEF Loan to support the development of T.H. Wharton, which is currently under construction. The loan bears interest at a fixed rate of 3.000% per annum and has a final maturity date of July 31, 2045. As January 31, 2026, $187 million of disbursements for the First TEF Loan have occurred.</w:t>
      </w:r>
    </w:p>
    <w:p>
      <w:pPr>
        <w:spacing w:after="0" w:line="7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September 26, 2025, NRG Cedar Bayou 5 LLC, an indirect wholly-owned subsidiary of the Company, entered into the Second TEF Loan to support the development of Cedar Bayou 5, which is currently under construction. The loan bears interest at a fixed rate of 3.000% per annum and has a final maturity date of September 26, 2045. As of January 31, 2026, $269 million of disbursements for the Second TEF Loan have occurred.</w:t>
      </w:r>
    </w:p>
    <w:p>
      <w:pPr>
        <w:spacing w:after="0" w:line="7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November 20, 2025, NRG Greens Bayou 6 LLC, an indirect wholly-owned subsidiary of the Company, entered into the Third TEF Loan to support the development of Greens Bayou 6, which is currently under construction. The loan bears interest at a fixed rate of 3.000% per annum and has a final maturity date of November 20, 2045. As of January 31, 2026, $95 million of disbursements for the Third TEF Loan have occurred.</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Indian River Bonds</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On October 23, 2025, the Company remarketed $57 million aggregate principal amount of NRG Indian River 2020 4.000% tax-exempt refinancing bonds due 2040 (the “IR 2040 Bonds”) and $190 million aggregate principal amount of NRG Indian River Power 2020 4.000% tax-exempt refinancing bonds due 2045 (the “IR 2045 Bonds” and, together with the IR 2040 Bonds, the “IR Bonds”). For further discussion, see Item 15 — Note 12, </w:t>
      </w:r>
      <w:r>
        <w:rPr>
          <w:rFonts w:ascii="Times New Roman" w:cs="Times New Roman" w:eastAsia="Times New Roman" w:hAnsi="Times New Roman"/>
          <w:sz w:val="18"/>
          <w:szCs w:val="18"/>
          <w:i w:val="1"/>
          <w:iCs w:val="1"/>
          <w:color w:val="auto"/>
        </w:rPr>
        <w:t>Long-term Debt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Finance Leases</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Bilateral Letter of Credit Facilities</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January and February 2026, the Company and certain of its subsidiaries, as guarantors, entered into amendments to its existing bilateral letter of credit facilities to increase the size of its bilateral credit facilities by $410 million and $90 million, respectively, to provide additional liquidity. As of January 31, 2026, $1.0 billion was issued under these facilities.</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Liability Management</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executed $310 million in liability management in 2025 and remains committed to maintaining a strong balance sheet and achieving its targeted credit metrics.</w:t>
      </w:r>
    </w:p>
    <w:p>
      <w:pPr>
        <w:spacing w:after="0" w:line="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Pension and Other Postretirement Benefit Contributions</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 xml:space="preserve">As of December 31, 2025, the Company’s estimated pension minimum funding requirements for the next 5 years were $96 million, of which $32 million are required to be made within the next 12 months. As of December 31, 2025, the Company’s estimated other postretirement benefits minimum funding requirements for the next 5 years were $21 million, of which $4 million are required to be made within the next 12 months. These amounts represent estimates based on assumptions that are subject to change. For further discussion, see Item 15 — Note 14, </w:t>
      </w:r>
      <w:r>
        <w:rPr>
          <w:rFonts w:ascii="Times New Roman" w:cs="Times New Roman" w:eastAsia="Times New Roman" w:hAnsi="Times New Roman"/>
          <w:sz w:val="18"/>
          <w:szCs w:val="18"/>
          <w:i w:val="1"/>
          <w:iCs w:val="1"/>
          <w:color w:val="auto"/>
        </w:rPr>
        <w:t>Benefit Plans and Other Postretirement Benefits</w:t>
      </w:r>
      <w:r>
        <w:rPr>
          <w:rFonts w:ascii="Times New Roman" w:cs="Times New Roman" w:eastAsia="Times New Roman" w:hAnsi="Times New Roman"/>
          <w:sz w:val="18"/>
          <w:szCs w:val="18"/>
          <w:color w:val="auto"/>
        </w:rPr>
        <w:t>,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2" w:name="page63"/>
    <w:bookmarkEnd w:id="62"/>
    <w:p>
      <w:pPr>
        <w:ind w:left="400"/>
        <w:spacing w:after="0"/>
        <w:rPr>
          <w:sz w:val="20"/>
          <w:szCs w:val="20"/>
          <w:color w:val="auto"/>
        </w:rPr>
      </w:pPr>
      <w:r>
        <w:rPr>
          <w:rFonts w:ascii="Times New Roman" w:cs="Times New Roman" w:eastAsia="Times New Roman" w:hAnsi="Times New Roman"/>
          <w:sz w:val="18"/>
          <w:szCs w:val="18"/>
          <w:i w:val="1"/>
          <w:iCs w:val="1"/>
          <w:color w:val="auto"/>
        </w:rPr>
        <w:t>Debt Service Obligations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Principal payments on debt and finance leases as of December 31, 2025, are due in the following periods: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00" w:type="dxa"/>
            <w:vAlign w:val="bottom"/>
          </w:tcPr>
          <w:p>
            <w:pPr>
              <w:spacing w:after="0"/>
              <w:rPr>
                <w:sz w:val="16"/>
                <w:szCs w:val="16"/>
                <w:color w:val="auto"/>
              </w:rPr>
            </w:pPr>
          </w:p>
        </w:tc>
        <w:tc>
          <w:tcPr>
            <w:tcW w:w="66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80" w:type="dxa"/>
            <w:vAlign w:val="bottom"/>
          </w:tcPr>
          <w:p>
            <w:pPr>
              <w:spacing w:after="0"/>
              <w:rPr>
                <w:sz w:val="16"/>
                <w:szCs w:val="16"/>
                <w:color w:val="auto"/>
              </w:rPr>
            </w:pPr>
          </w:p>
        </w:tc>
        <w:tc>
          <w:tcPr>
            <w:tcW w:w="68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Recourse Debt: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5.750% Senior Notes, due 2028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24"/>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5.250% Senior Notes, due 2029</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24"/>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3.375% Senior Notes, due 2029</w:t>
            </w:r>
          </w:p>
        </w:tc>
        <w:tc>
          <w:tcPr>
            <w:tcW w:w="2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4"/>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5.750% Senior Notes, due 2029</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24"/>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3.625% Senior Notes, due 2031</w:t>
            </w:r>
          </w:p>
        </w:tc>
        <w:tc>
          <w:tcPr>
            <w:tcW w:w="2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r>
      <w:tr>
        <w:trPr>
          <w:trHeight w:val="224"/>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3.875% Senior Notes, due 2032</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24"/>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6.000% Senior Notes, due 2033</w:t>
            </w:r>
          </w:p>
        </w:tc>
        <w:tc>
          <w:tcPr>
            <w:tcW w:w="2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r>
      <w:tr>
        <w:trPr>
          <w:trHeight w:val="224"/>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6.250% Senior Notes, due 2034</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24"/>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5.750% Senior Notes, due 2034</w:t>
            </w:r>
          </w:p>
        </w:tc>
        <w:tc>
          <w:tcPr>
            <w:tcW w:w="2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4"/>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6.000% Senior Notes, due 2036</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r>
      <w:tr>
        <w:trPr>
          <w:trHeight w:val="224"/>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2.450% Senior Secured Notes, due 2027</w:t>
            </w:r>
          </w:p>
        </w:tc>
        <w:tc>
          <w:tcPr>
            <w:tcW w:w="2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4"/>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4.450% Senior Secured Notes, due 2029</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4"/>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4.734% Senior Secured Notes, due 2030</w:t>
            </w:r>
          </w:p>
        </w:tc>
        <w:tc>
          <w:tcPr>
            <w:tcW w:w="2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24"/>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7.000% Senior Secured Notes, due 2033</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24"/>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5.407% Senior Secured Notes, due 2035</w:t>
            </w:r>
          </w:p>
        </w:tc>
        <w:tc>
          <w:tcPr>
            <w:tcW w:w="2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24"/>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B, due 2031</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r>
      <w:tr>
        <w:trPr>
          <w:trHeight w:val="224"/>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Tax-exempt bonds</w:t>
            </w:r>
          </w:p>
        </w:tc>
        <w:tc>
          <w:tcPr>
            <w:tcW w:w="2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24"/>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3.000% T.H. Wharton TEF loan, due 2045</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4"/>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3.000% Cedar Bayou 5 TEF loan, due 2045</w:t>
            </w:r>
          </w:p>
        </w:tc>
        <w:tc>
          <w:tcPr>
            <w:tcW w:w="2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24"/>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3.000% Greens Bayou 6 TEF loan, due 2045</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7"/>
        </w:trPr>
        <w:tc>
          <w:tcPr>
            <w:tcW w:w="20" w:type="dxa"/>
            <w:vAlign w:val="bottom"/>
            <w:tcBorders>
              <w:bottom w:val="single" w:sz="8" w:color="CCEEFF"/>
            </w:tcBorders>
          </w:tcPr>
          <w:p>
            <w:pPr>
              <w:spacing w:after="0"/>
              <w:rPr>
                <w:sz w:val="18"/>
                <w:szCs w:val="18"/>
                <w:color w:val="auto"/>
              </w:rPr>
            </w:pPr>
          </w:p>
        </w:tc>
        <w:tc>
          <w:tcPr>
            <w:tcW w:w="43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Subtotal Recourse Debt</w:t>
            </w: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11,504</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16,576</w:t>
            </w:r>
          </w:p>
        </w:tc>
      </w:tr>
      <w:tr>
        <w:trPr>
          <w:trHeight w:val="204"/>
        </w:trPr>
        <w:tc>
          <w:tcPr>
            <w:tcW w:w="20" w:type="dxa"/>
            <w:vAlign w:val="bottom"/>
            <w:shd w:val="clear" w:color="auto" w:fill="CCEEFF"/>
          </w:tcPr>
          <w:p>
            <w:pPr>
              <w:spacing w:after="0"/>
              <w:rPr>
                <w:sz w:val="17"/>
                <w:szCs w:val="17"/>
                <w:color w:val="auto"/>
              </w:rPr>
            </w:pPr>
          </w:p>
        </w:tc>
        <w:tc>
          <w:tcPr>
            <w:tcW w:w="432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Finance Leases:</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2"/>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32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Debt and Finance Leases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35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Payments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w:t>
            </w:r>
          </w:p>
        </w:tc>
      </w:tr>
    </w:tbl>
    <w:p>
      <w:pPr>
        <w:spacing w:after="0" w:line="1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For further discussion, see Item 15 — Note 12, </w:t>
      </w:r>
      <w:r>
        <w:rPr>
          <w:rFonts w:ascii="Times New Roman" w:cs="Times New Roman" w:eastAsia="Times New Roman" w:hAnsi="Times New Roman"/>
          <w:sz w:val="18"/>
          <w:szCs w:val="18"/>
          <w:i w:val="1"/>
          <w:iCs w:val="1"/>
          <w:color w:val="auto"/>
        </w:rPr>
        <w:t>Long-term Debt and Finance Leases.</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Market Operations</w:t>
      </w:r>
    </w:p>
    <w:p>
      <w:pPr>
        <w:spacing w:after="0" w:line="111"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The Company's market operations activities require a significant amount of liquidity and capital resources. These liquidity requirements are primarily driven by: (i) margin and collateral posted with counterparties; (ii) margin and collateral required to participate in physical markets and commodity exchanges;</w:t>
      </w:r>
    </w:p>
    <w:p>
      <w:pPr>
        <w:jc w:val="both"/>
        <w:ind w:firstLine="5"/>
        <w:spacing w:after="0" w:line="245" w:lineRule="auto"/>
        <w:tabs>
          <w:tab w:leader="none" w:pos="31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disbursements and receipts (e.g. buying energy before receiving retail revenues); and (iv) initial collateral for large structured transactions. As of December 31, 2025, market operations had total cash collateral outstanding of $365 million and $2.8 billion outstanding in letters of credit to third parties primarily to support its market activities. As of December 31, 2025, total funds deposited by counterparties were $260 million in cash and $621 million of letters of credit.</w:t>
      </w:r>
    </w:p>
    <w:p>
      <w:pPr>
        <w:spacing w:after="0" w:line="8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The Company has entered into long-term contractual arrangements related to energy purchases, gas transportation and storage, and fuel and transportation services and generation projects. As of December 31, 2025, the Company had minimum payment obligations under such outstanding agreements of $10.2 billion, with $2.8 billion payable within the next 12 months and an additional $1.4 billion of short-term purchase energy commitments. For further discussion, see Item 15 — Note 22,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Future liquidity requirements may change based on the Company's hedging activities and structures, fuel purchases, and future market conditions, including forward prices for energy and fuel and market volatility. In addition, liquidity requirements are dependent on the Company's credit ratings and general perception of its creditworthiness.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3" w:name="page64"/>
    <w:bookmarkEnd w:id="63"/>
    <w:p>
      <w:pPr>
        <w:ind w:left="400"/>
        <w:spacing w:after="0"/>
        <w:rPr>
          <w:sz w:val="20"/>
          <w:szCs w:val="20"/>
          <w:color w:val="auto"/>
        </w:rPr>
      </w:pPr>
      <w:r>
        <w:rPr>
          <w:rFonts w:ascii="Times New Roman" w:cs="Times New Roman" w:eastAsia="Times New Roman" w:hAnsi="Times New Roman"/>
          <w:sz w:val="18"/>
          <w:szCs w:val="18"/>
          <w:i w:val="1"/>
          <w:iCs w:val="1"/>
          <w:color w:val="auto"/>
        </w:rPr>
        <w:t>First Lien Structure</w:t>
      </w:r>
    </w:p>
    <w:p>
      <w:pPr>
        <w:spacing w:after="0" w:line="11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NRG has the capacity to grant first liens to certain counterparties on a substantial portion of the Company's assets, subject to various exclusions including NRG's assets that have project-level financing and the assets of certain non-guarantor subsidiaries, to reduce the amount of cash collateral and letters of credit that it would otherwise be required to post from time to time to support its obligations under out-of-the-money hedge agreements. The first lien program does not limit the volume that can be hedged, or the value of underlying out-of-the-money positions. The first lien program also does not require NRG to post collateral above any threshold amount of exposure. The first lien structure is not subject to unwind or termination upon a ratings downgrade of a counterparty and has no stated maturity date.</w:t>
      </w:r>
    </w:p>
    <w:p>
      <w:pPr>
        <w:spacing w:after="0" w:line="80" w:lineRule="exact"/>
        <w:rPr>
          <w:sz w:val="20"/>
          <w:szCs w:val="20"/>
          <w:color w:val="auto"/>
        </w:rPr>
      </w:pPr>
    </w:p>
    <w:p>
      <w:pPr>
        <w:jc w:val="both"/>
        <w:ind w:firstLine="434"/>
        <w:spacing w:after="0" w:line="254" w:lineRule="auto"/>
        <w:rPr>
          <w:sz w:val="20"/>
          <w:szCs w:val="20"/>
          <w:color w:val="auto"/>
        </w:rPr>
      </w:pPr>
      <w:r>
        <w:rPr>
          <w:rFonts w:ascii="Times New Roman" w:cs="Times New Roman" w:eastAsia="Times New Roman" w:hAnsi="Times New Roman"/>
          <w:sz w:val="18"/>
          <w:szCs w:val="18"/>
          <w:color w:val="auto"/>
        </w:rPr>
        <w:t>As of December 31, 2025, counterparties’ net exposure to NRG of approximately $5 million on out-of-the-money hedges was secured by the first lien structure.</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summarizes the Company's capital expenditures for maintenance, environmental and investments and integration for the year ended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140" w:type="dxa"/>
            <w:vAlign w:val="bottom"/>
          </w:tcPr>
          <w:p>
            <w:pPr>
              <w:spacing w:after="0"/>
              <w:rPr>
                <w:sz w:val="13"/>
                <w:szCs w:val="13"/>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14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Investments and</w:t>
            </w:r>
          </w:p>
        </w:tc>
        <w:tc>
          <w:tcPr>
            <w:tcW w:w="320" w:type="dxa"/>
            <w:vAlign w:val="bottom"/>
          </w:tcPr>
          <w:p>
            <w:pPr>
              <w:spacing w:after="0"/>
              <w:rPr>
                <w:sz w:val="13"/>
                <w:szCs w:val="13"/>
                <w:color w:val="auto"/>
              </w:rPr>
            </w:pPr>
          </w:p>
        </w:tc>
        <w:tc>
          <w:tcPr>
            <w:tcW w:w="100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Integration</w:t>
            </w: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2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East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4"/>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West/Other</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Vivint Smart Home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4"/>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7"/>
        </w:trPr>
        <w:tc>
          <w:tcPr>
            <w:tcW w:w="5700" w:type="dxa"/>
            <w:vAlign w:val="bottom"/>
          </w:tcPr>
          <w:p>
            <w:pPr>
              <w:ind w:left="120"/>
              <w:spacing w:after="0" w:line="217" w:lineRule="exact"/>
              <w:rPr>
                <w:sz w:val="20"/>
                <w:szCs w:val="20"/>
                <w:color w:val="auto"/>
              </w:rPr>
            </w:pPr>
            <w:r>
              <w:rPr>
                <w:rFonts w:ascii="Times New Roman" w:cs="Times New Roman" w:eastAsia="Times New Roman" w:hAnsi="Times New Roman"/>
                <w:sz w:val="18"/>
                <w:szCs w:val="18"/>
                <w:color w:val="auto"/>
              </w:rPr>
              <w:t>Total cash capital expenditures for 2025</w:t>
            </w:r>
            <w:r>
              <w:rPr>
                <w:rFonts w:ascii="Times New Roman" w:cs="Times New Roman" w:eastAsia="Times New Roman" w:hAnsi="Times New Roman"/>
                <w:sz w:val="22"/>
                <w:szCs w:val="22"/>
                <w:color w:val="auto"/>
                <w:vertAlign w:val="superscript"/>
              </w:rPr>
              <w:t>(a)</w:t>
            </w: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24"/>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Integration operating expenses and cost to achieve</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4"/>
        </w:trPr>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151"/>
        </w:trPr>
        <w:tc>
          <w:tcPr>
            <w:tcW w:w="5700" w:type="dxa"/>
            <w:vAlign w:val="bottom"/>
            <w:tcBorders>
              <w:top w:val="single" w:sz="8" w:color="CCEEFF"/>
            </w:tcBorders>
            <w:shd w:val="clear" w:color="auto" w:fill="CCEEFF"/>
          </w:tcPr>
          <w:p>
            <w:pPr>
              <w:ind w:left="120"/>
              <w:spacing w:after="0" w:line="152" w:lineRule="exact"/>
              <w:rPr>
                <w:sz w:val="20"/>
                <w:szCs w:val="20"/>
                <w:color w:val="auto"/>
              </w:rPr>
            </w:pPr>
            <w:r>
              <w:rPr>
                <w:rFonts w:ascii="Times New Roman" w:cs="Times New Roman" w:eastAsia="Times New Roman" w:hAnsi="Times New Roman"/>
                <w:sz w:val="16"/>
                <w:szCs w:val="16"/>
                <w:color w:val="auto"/>
              </w:rPr>
              <w:t>Total cash capital expenditures and investments for the year ended</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0" w:type="dxa"/>
            <w:vAlign w:val="bottom"/>
          </w:tcPr>
          <w:p>
            <w:pPr>
              <w:spacing w:after="0"/>
              <w:rPr>
                <w:sz w:val="1"/>
                <w:szCs w:val="1"/>
                <w:color w:val="auto"/>
              </w:rPr>
            </w:pPr>
          </w:p>
        </w:tc>
      </w:tr>
      <w:tr>
        <w:trPr>
          <w:trHeight w:val="231"/>
        </w:trPr>
        <w:tc>
          <w:tcPr>
            <w:tcW w:w="5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December 31, 2025</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(a) Capital expenditures exclude W.A. Parish insurance proceeds of $100 million</w:t>
      </w:r>
    </w:p>
    <w:p>
      <w:pPr>
        <w:spacing w:after="0" w:line="10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Investments and Integration for the year ended December 31, 2025 include growth expenditures, integration, small book acquisitions and other investments.</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Environmental Capital Expenditures Estimate</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NRG estimates that environmental capital expenditures from 2026 through 2029 required to comply with environmental laws will be approximately $34 million, primarily driven by the cost of complying with ELG at the Company's coal units in Texas.</w:t>
      </w:r>
    </w:p>
    <w:p>
      <w:pPr>
        <w:spacing w:after="0" w:line="64" w:lineRule="exact"/>
        <w:rPr>
          <w:sz w:val="20"/>
          <w:szCs w:val="20"/>
          <w:color w:val="auto"/>
        </w:rPr>
      </w:pPr>
    </w:p>
    <w:p>
      <w:pPr>
        <w:jc w:val="both"/>
        <w:ind w:firstLine="395"/>
        <w:spacing w:after="0" w:line="267" w:lineRule="auto"/>
        <w:rPr>
          <w:sz w:val="20"/>
          <w:szCs w:val="20"/>
          <w:color w:val="auto"/>
        </w:rPr>
      </w:pPr>
      <w:r>
        <w:rPr>
          <w:rFonts w:ascii="Times New Roman" w:cs="Times New Roman" w:eastAsia="Times New Roman" w:hAnsi="Times New Roman"/>
          <w:sz w:val="18"/>
          <w:szCs w:val="18"/>
          <w:color w:val="auto"/>
        </w:rPr>
        <w:t>The table below summarizes the status of NRG's coal fleet with respect to air quality controls as of December 31, 2025. NRG uses an integrated approach to fuels, controls and emissions markets to meet environmental requirements.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SO</w:t>
            </w:r>
            <w:r>
              <w:rPr>
                <w:rFonts w:ascii="Times New Roman" w:cs="Times New Roman" w:eastAsia="Times New Roman" w:hAnsi="Times New Roman"/>
                <w:sz w:val="18"/>
                <w:szCs w:val="18"/>
                <w:b w:val="1"/>
                <w:bCs w:val="1"/>
                <w:color w:val="auto"/>
                <w:vertAlign w:val="subscript"/>
              </w:rPr>
              <w:t>2</w:t>
            </w:r>
          </w:p>
        </w:tc>
        <w:tc>
          <w:tcPr>
            <w:tcW w:w="7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NO</w:t>
            </w:r>
            <w:r>
              <w:rPr>
                <w:rFonts w:ascii="Times New Roman" w:cs="Times New Roman" w:eastAsia="Times New Roman" w:hAnsi="Times New Roman"/>
                <w:sz w:val="18"/>
                <w:szCs w:val="18"/>
                <w:b w:val="1"/>
                <w:bCs w:val="1"/>
                <w:color w:val="auto"/>
                <w:vertAlign w:val="subscript"/>
              </w:rPr>
              <w:t>x</w:t>
            </w:r>
          </w:p>
        </w:tc>
        <w:tc>
          <w:tcPr>
            <w:tcW w:w="120" w:type="dxa"/>
            <w:vAlign w:val="bottom"/>
          </w:tcPr>
          <w:p>
            <w:pPr>
              <w:spacing w:after="0"/>
              <w:rPr>
                <w:sz w:val="21"/>
                <w:szCs w:val="21"/>
                <w:color w:val="auto"/>
              </w:rPr>
            </w:pPr>
          </w:p>
        </w:tc>
        <w:tc>
          <w:tcPr>
            <w:tcW w:w="210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Mercury</w:t>
            </w:r>
          </w:p>
        </w:tc>
        <w:tc>
          <w:tcPr>
            <w:tcW w:w="120" w:type="dxa"/>
            <w:vAlign w:val="bottom"/>
          </w:tcPr>
          <w:p>
            <w:pPr>
              <w:spacing w:after="0"/>
              <w:rPr>
                <w:sz w:val="21"/>
                <w:szCs w:val="21"/>
                <w:color w:val="auto"/>
              </w:rPr>
            </w:pPr>
          </w:p>
        </w:tc>
        <w:tc>
          <w:tcPr>
            <w:tcW w:w="236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Particulate</w:t>
            </w:r>
          </w:p>
        </w:tc>
        <w:tc>
          <w:tcPr>
            <w:tcW w:w="0" w:type="dxa"/>
            <w:vAlign w:val="bottom"/>
          </w:tcPr>
          <w:p>
            <w:pPr>
              <w:spacing w:after="0"/>
              <w:rPr>
                <w:sz w:val="1"/>
                <w:szCs w:val="1"/>
                <w:color w:val="auto"/>
              </w:rPr>
            </w:pPr>
          </w:p>
        </w:tc>
      </w:tr>
      <w:tr>
        <w:trPr>
          <w:trHeight w:val="133"/>
        </w:trPr>
        <w:tc>
          <w:tcPr>
            <w:tcW w:w="16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State</w:t>
            </w:r>
          </w:p>
        </w:tc>
        <w:tc>
          <w:tcPr>
            <w:tcW w:w="1180" w:type="dxa"/>
            <w:vAlign w:val="bottom"/>
            <w:gridSpan w:val="2"/>
          </w:tcPr>
          <w:p>
            <w:pPr>
              <w:jc w:val="center"/>
              <w:ind w:right="40"/>
              <w:spacing w:after="0" w:line="133" w:lineRule="exact"/>
              <w:rPr>
                <w:sz w:val="20"/>
                <w:szCs w:val="20"/>
                <w:color w:val="auto"/>
              </w:rPr>
            </w:pPr>
            <w:r>
              <w:rPr>
                <w:rFonts w:ascii="Times New Roman" w:cs="Times New Roman" w:eastAsia="Times New Roman" w:hAnsi="Times New Roman"/>
                <w:sz w:val="14"/>
                <w:szCs w:val="14"/>
                <w:b w:val="1"/>
                <w:bCs w:val="1"/>
                <w:color w:val="auto"/>
                <w:w w:val="98"/>
              </w:rPr>
              <w:t>Control</w:t>
            </w: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Install Date</w:t>
            </w:r>
          </w:p>
        </w:tc>
        <w:tc>
          <w:tcPr>
            <w:tcW w:w="900" w:type="dxa"/>
            <w:vAlign w:val="bottom"/>
          </w:tcPr>
          <w:p>
            <w:pPr>
              <w:jc w:val="center"/>
              <w:ind w:left="130"/>
              <w:spacing w:after="0" w:line="133" w:lineRule="exact"/>
              <w:rPr>
                <w:sz w:val="20"/>
                <w:szCs w:val="20"/>
                <w:color w:val="auto"/>
              </w:rPr>
            </w:pPr>
            <w:r>
              <w:rPr>
                <w:rFonts w:ascii="Times New Roman" w:cs="Times New Roman" w:eastAsia="Times New Roman" w:hAnsi="Times New Roman"/>
                <w:sz w:val="14"/>
                <w:szCs w:val="14"/>
                <w:b w:val="1"/>
                <w:bCs w:val="1"/>
                <w:color w:val="auto"/>
                <w:w w:val="98"/>
              </w:rPr>
              <w:t>Control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Install Date</w:t>
            </w:r>
          </w:p>
        </w:tc>
        <w:tc>
          <w:tcPr>
            <w:tcW w:w="118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4"/>
                <w:szCs w:val="14"/>
                <w:b w:val="1"/>
                <w:bCs w:val="1"/>
                <w:color w:val="auto"/>
                <w:w w:val="98"/>
              </w:rPr>
              <w:t>Control</w:t>
            </w: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Install Date</w:t>
            </w:r>
          </w:p>
        </w:tc>
        <w:tc>
          <w:tcPr>
            <w:tcW w:w="128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4"/>
                <w:szCs w:val="14"/>
                <w:b w:val="1"/>
                <w:bCs w:val="1"/>
                <w:color w:val="auto"/>
              </w:rPr>
              <w:t>Control</w:t>
            </w:r>
          </w:p>
        </w:tc>
        <w:tc>
          <w:tcPr>
            <w:tcW w:w="10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Install Date</w:t>
            </w:r>
          </w:p>
        </w:tc>
        <w:tc>
          <w:tcPr>
            <w:tcW w:w="0" w:type="dxa"/>
            <w:vAlign w:val="bottom"/>
          </w:tcPr>
          <w:p>
            <w:pPr>
              <w:spacing w:after="0"/>
              <w:rPr>
                <w:sz w:val="1"/>
                <w:szCs w:val="1"/>
                <w:color w:val="auto"/>
              </w:rPr>
            </w:pPr>
          </w:p>
        </w:tc>
      </w:tr>
      <w:tr>
        <w:trPr>
          <w:trHeight w:val="190"/>
        </w:trPr>
        <w:tc>
          <w:tcPr>
            <w:tcW w:w="168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Equipment</w:t>
            </w:r>
          </w:p>
        </w:tc>
        <w:tc>
          <w:tcPr>
            <w:tcW w:w="880" w:type="dxa"/>
            <w:vAlign w:val="bottom"/>
            <w:gridSpan w:val="2"/>
            <w:vMerge w:val="continue"/>
          </w:tcPr>
          <w:p>
            <w:pPr>
              <w:spacing w:after="0"/>
              <w:rPr>
                <w:sz w:val="16"/>
                <w:szCs w:val="16"/>
                <w:color w:val="auto"/>
              </w:rPr>
            </w:pPr>
          </w:p>
        </w:tc>
        <w:tc>
          <w:tcPr>
            <w:tcW w:w="900" w:type="dxa"/>
            <w:vAlign w:val="bottom"/>
          </w:tcPr>
          <w:p>
            <w:pPr>
              <w:jc w:val="center"/>
              <w:ind w:left="130"/>
              <w:spacing w:after="0"/>
              <w:rPr>
                <w:sz w:val="20"/>
                <w:szCs w:val="20"/>
                <w:color w:val="auto"/>
              </w:rPr>
            </w:pPr>
            <w:r>
              <w:rPr>
                <w:rFonts w:ascii="Times New Roman" w:cs="Times New Roman" w:eastAsia="Times New Roman" w:hAnsi="Times New Roman"/>
                <w:sz w:val="14"/>
                <w:szCs w:val="14"/>
                <w:b w:val="1"/>
                <w:bCs w:val="1"/>
                <w:color w:val="auto"/>
                <w:w w:val="98"/>
              </w:rPr>
              <w:t>Equipment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040" w:type="dxa"/>
            <w:vAlign w:val="bottom"/>
            <w:gridSpan w:val="2"/>
            <w:vMerge w:val="continue"/>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Limestone 1-2</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TX</w:t>
            </w:r>
          </w:p>
        </w:tc>
        <w:tc>
          <w:tcPr>
            <w:tcW w:w="106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9"/>
              </w:rPr>
              <w:t>FGD</w:t>
            </w: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1985-86</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ind w:left="130"/>
              <w:spacing w:after="0"/>
              <w:rPr>
                <w:sz w:val="20"/>
                <w:szCs w:val="20"/>
                <w:color w:val="auto"/>
              </w:rPr>
            </w:pPr>
            <w:r>
              <w:rPr>
                <w:rFonts w:ascii="Times New Roman" w:cs="Times New Roman" w:eastAsia="Times New Roman" w:hAnsi="Times New Roman"/>
                <w:sz w:val="14"/>
                <w:szCs w:val="14"/>
                <w:color w:val="auto"/>
                <w:w w:val="96"/>
              </w:rPr>
              <w:t>LNBOFA</w:t>
            </w: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2002/2003</w:t>
            </w: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ACI</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ESP</w:t>
            </w: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1985-1986</w:t>
            </w:r>
          </w:p>
        </w:tc>
        <w:tc>
          <w:tcPr>
            <w:tcW w:w="0" w:type="dxa"/>
            <w:vAlign w:val="bottom"/>
          </w:tcPr>
          <w:p>
            <w:pPr>
              <w:spacing w:after="0"/>
              <w:rPr>
                <w:sz w:val="1"/>
                <w:szCs w:val="1"/>
                <w:color w:val="auto"/>
              </w:rPr>
            </w:pPr>
          </w:p>
        </w:tc>
      </w:tr>
      <w:tr>
        <w:trPr>
          <w:trHeight w:val="190"/>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Powerton 5</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IL</w:t>
            </w: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7"/>
              </w:rPr>
              <w:t>DSI</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120" w:type="dxa"/>
            <w:vAlign w:val="bottom"/>
          </w:tcPr>
          <w:p>
            <w:pPr>
              <w:spacing w:after="0"/>
              <w:rPr>
                <w:sz w:val="16"/>
                <w:szCs w:val="16"/>
                <w:color w:val="auto"/>
              </w:rPr>
            </w:pPr>
          </w:p>
        </w:tc>
        <w:tc>
          <w:tcPr>
            <w:tcW w:w="900" w:type="dxa"/>
            <w:vAlign w:val="bottom"/>
          </w:tcPr>
          <w:p>
            <w:pPr>
              <w:jc w:val="center"/>
              <w:ind w:left="110"/>
              <w:spacing w:after="0"/>
              <w:rPr>
                <w:sz w:val="20"/>
                <w:szCs w:val="20"/>
                <w:color w:val="auto"/>
              </w:rPr>
            </w:pPr>
            <w:r>
              <w:rPr>
                <w:rFonts w:ascii="Times New Roman" w:cs="Times New Roman" w:eastAsia="Times New Roman" w:hAnsi="Times New Roman"/>
                <w:sz w:val="14"/>
                <w:szCs w:val="14"/>
                <w:color w:val="auto"/>
                <w:w w:val="99"/>
              </w:rPr>
              <w:t>OFA/SNCR</w:t>
            </w:r>
          </w:p>
        </w:tc>
        <w:tc>
          <w:tcPr>
            <w:tcW w:w="1220" w:type="dxa"/>
            <w:vAlign w:val="bottom"/>
            <w:gridSpan w:val="3"/>
          </w:tcPr>
          <w:p>
            <w:pPr>
              <w:jc w:val="center"/>
              <w:ind w:left="230"/>
              <w:spacing w:after="0"/>
              <w:rPr>
                <w:sz w:val="20"/>
                <w:szCs w:val="20"/>
                <w:color w:val="auto"/>
              </w:rPr>
            </w:pPr>
            <w:r>
              <w:rPr>
                <w:rFonts w:ascii="Times New Roman" w:cs="Times New Roman" w:eastAsia="Times New Roman" w:hAnsi="Times New Roman"/>
                <w:sz w:val="14"/>
                <w:szCs w:val="14"/>
                <w:color w:val="auto"/>
              </w:rPr>
              <w:t>2003/2012</w:t>
            </w:r>
          </w:p>
        </w:tc>
        <w:tc>
          <w:tcPr>
            <w:tcW w:w="120" w:type="dxa"/>
            <w:vAlign w:val="bottom"/>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ACI</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2009</w:t>
            </w:r>
          </w:p>
        </w:tc>
        <w:tc>
          <w:tcPr>
            <w:tcW w:w="12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ESP/upgrade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1973/2016</w:t>
            </w:r>
          </w:p>
        </w:tc>
        <w:tc>
          <w:tcPr>
            <w:tcW w:w="0" w:type="dxa"/>
            <w:vAlign w:val="bottom"/>
          </w:tcPr>
          <w:p>
            <w:pPr>
              <w:spacing w:after="0"/>
              <w:rPr>
                <w:sz w:val="1"/>
                <w:szCs w:val="1"/>
                <w:color w:val="auto"/>
              </w:rPr>
            </w:pPr>
          </w:p>
        </w:tc>
      </w:tr>
      <w:tr>
        <w:trPr>
          <w:trHeight w:val="205"/>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Powerton 6</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IL</w:t>
            </w:r>
          </w:p>
        </w:tc>
        <w:tc>
          <w:tcPr>
            <w:tcW w:w="11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w w:val="97"/>
              </w:rPr>
              <w:t>DSI</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2014</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4"/>
                <w:szCs w:val="14"/>
                <w:color w:val="auto"/>
                <w:w w:val="99"/>
              </w:rPr>
              <w:t>OFA/SNCR</w:t>
            </w:r>
          </w:p>
        </w:tc>
        <w:tc>
          <w:tcPr>
            <w:tcW w:w="122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4"/>
                <w:szCs w:val="14"/>
                <w:color w:val="auto"/>
              </w:rPr>
              <w:t>2002/2012</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ACI</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2009</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ESP/upgrade</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1976/2014</w:t>
            </w:r>
          </w:p>
        </w:tc>
        <w:tc>
          <w:tcPr>
            <w:tcW w:w="0" w:type="dxa"/>
            <w:vAlign w:val="bottom"/>
          </w:tcPr>
          <w:p>
            <w:pPr>
              <w:spacing w:after="0"/>
              <w:rPr>
                <w:sz w:val="1"/>
                <w:szCs w:val="1"/>
                <w:color w:val="auto"/>
              </w:rPr>
            </w:pPr>
          </w:p>
        </w:tc>
      </w:tr>
      <w:tr>
        <w:trPr>
          <w:trHeight w:val="190"/>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 Parish 5, 6, 7</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TX</w:t>
            </w:r>
          </w:p>
        </w:tc>
        <w:tc>
          <w:tcPr>
            <w:tcW w:w="11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FF co-benefit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1988</w:t>
            </w:r>
          </w:p>
        </w:tc>
        <w:tc>
          <w:tcPr>
            <w:tcW w:w="120" w:type="dxa"/>
            <w:vAlign w:val="bottom"/>
          </w:tcPr>
          <w:p>
            <w:pPr>
              <w:spacing w:after="0"/>
              <w:rPr>
                <w:sz w:val="16"/>
                <w:szCs w:val="16"/>
                <w:color w:val="auto"/>
              </w:rPr>
            </w:pPr>
          </w:p>
        </w:tc>
        <w:tc>
          <w:tcPr>
            <w:tcW w:w="900" w:type="dxa"/>
            <w:vAlign w:val="bottom"/>
          </w:tcPr>
          <w:p>
            <w:pPr>
              <w:jc w:val="center"/>
              <w:ind w:left="130"/>
              <w:spacing w:after="0"/>
              <w:rPr>
                <w:sz w:val="20"/>
                <w:szCs w:val="20"/>
                <w:color w:val="auto"/>
              </w:rPr>
            </w:pPr>
            <w:r>
              <w:rPr>
                <w:rFonts w:ascii="Times New Roman" w:cs="Times New Roman" w:eastAsia="Times New Roman" w:hAnsi="Times New Roman"/>
                <w:sz w:val="14"/>
                <w:szCs w:val="14"/>
                <w:color w:val="auto"/>
                <w:w w:val="98"/>
              </w:rPr>
              <w:t>SCR</w:t>
            </w:r>
          </w:p>
        </w:tc>
        <w:tc>
          <w:tcPr>
            <w:tcW w:w="1220" w:type="dxa"/>
            <w:vAlign w:val="bottom"/>
            <w:gridSpan w:val="3"/>
          </w:tcPr>
          <w:p>
            <w:pPr>
              <w:jc w:val="center"/>
              <w:ind w:left="230"/>
              <w:spacing w:after="0"/>
              <w:rPr>
                <w:sz w:val="20"/>
                <w:szCs w:val="20"/>
                <w:color w:val="auto"/>
              </w:rPr>
            </w:pPr>
            <w:r>
              <w:rPr>
                <w:rFonts w:ascii="Times New Roman" w:cs="Times New Roman" w:eastAsia="Times New Roman" w:hAnsi="Times New Roman"/>
                <w:sz w:val="14"/>
                <w:szCs w:val="14"/>
                <w:color w:val="auto"/>
                <w:w w:val="99"/>
              </w:rPr>
              <w:t>2004</w:t>
            </w:r>
          </w:p>
        </w:tc>
        <w:tc>
          <w:tcPr>
            <w:tcW w:w="120" w:type="dxa"/>
            <w:vAlign w:val="bottom"/>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ACI</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12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FF</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1988</w:t>
            </w:r>
          </w:p>
        </w:tc>
        <w:tc>
          <w:tcPr>
            <w:tcW w:w="0" w:type="dxa"/>
            <w:vAlign w:val="bottom"/>
          </w:tcPr>
          <w:p>
            <w:pPr>
              <w:spacing w:after="0"/>
              <w:rPr>
                <w:sz w:val="1"/>
                <w:szCs w:val="1"/>
                <w:color w:val="auto"/>
              </w:rPr>
            </w:pPr>
          </w:p>
        </w:tc>
      </w:tr>
      <w:tr>
        <w:trPr>
          <w:trHeight w:val="205"/>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 Parish 8</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TX</w:t>
            </w:r>
          </w:p>
        </w:tc>
        <w:tc>
          <w:tcPr>
            <w:tcW w:w="118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w w:val="99"/>
              </w:rPr>
              <w:t>FGD</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1982</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4"/>
                <w:szCs w:val="14"/>
                <w:color w:val="auto"/>
                <w:w w:val="98"/>
              </w:rPr>
              <w:t>SCR</w:t>
            </w:r>
          </w:p>
        </w:tc>
        <w:tc>
          <w:tcPr>
            <w:tcW w:w="122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4"/>
                <w:szCs w:val="14"/>
                <w:color w:val="auto"/>
                <w:w w:val="99"/>
              </w:rPr>
              <w:t>2004</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ACI</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FF</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1988</w:t>
            </w:r>
          </w:p>
        </w:tc>
        <w:tc>
          <w:tcPr>
            <w:tcW w:w="0" w:type="dxa"/>
            <w:vAlign w:val="bottom"/>
          </w:tcPr>
          <w:p>
            <w:pPr>
              <w:spacing w:after="0"/>
              <w:rPr>
                <w:sz w:val="1"/>
                <w:szCs w:val="1"/>
                <w:color w:val="auto"/>
              </w:rPr>
            </w:pPr>
          </w:p>
        </w:tc>
      </w:tr>
    </w:tbl>
    <w:p>
      <w:pPr>
        <w:spacing w:after="0" w:line="109" w:lineRule="exact"/>
        <w:rPr>
          <w:sz w:val="20"/>
          <w:szCs w:val="20"/>
          <w:color w:val="auto"/>
        </w:rPr>
      </w:pPr>
    </w:p>
    <w:p>
      <w:pPr>
        <w:sectPr>
          <w:pgSz w:w="11900" w:h="16838" w:orient="portrait"/>
          <w:cols w:equalWidth="0" w:num="1">
            <w:col w:w="11240"/>
          </w:cols>
          <w:pgMar w:left="320" w:top="869" w:right="339" w:bottom="1440" w:gutter="0" w:footer="0" w:header="0"/>
        </w:sectPr>
      </w:pPr>
    </w:p>
    <w:p>
      <w:pPr>
        <w:ind w:left="40"/>
        <w:spacing w:after="0"/>
        <w:rPr>
          <w:sz w:val="20"/>
          <w:szCs w:val="20"/>
          <w:color w:val="auto"/>
        </w:rPr>
      </w:pPr>
      <w:r>
        <w:rPr>
          <w:rFonts w:ascii="Times New Roman" w:cs="Times New Roman" w:eastAsia="Times New Roman" w:hAnsi="Times New Roman"/>
          <w:sz w:val="14"/>
          <w:szCs w:val="14"/>
          <w:color w:val="auto"/>
        </w:rPr>
        <w:t>ACI - Activated Carbon Injection</w:t>
      </w:r>
    </w:p>
    <w:p>
      <w:pPr>
        <w:ind w:left="40"/>
        <w:spacing w:after="0" w:line="196" w:lineRule="auto"/>
        <w:rPr>
          <w:sz w:val="20"/>
          <w:szCs w:val="20"/>
          <w:color w:val="auto"/>
        </w:rPr>
      </w:pPr>
      <w:r>
        <w:rPr>
          <w:rFonts w:ascii="Times New Roman" w:cs="Times New Roman" w:eastAsia="Times New Roman" w:hAnsi="Times New Roman"/>
          <w:sz w:val="14"/>
          <w:szCs w:val="14"/>
          <w:color w:val="auto"/>
        </w:rPr>
        <w:t>DSI - Dry Sorbent Injection with Trona</w:t>
      </w:r>
    </w:p>
    <w:p>
      <w:pPr>
        <w:ind w:left="40"/>
        <w:spacing w:after="0" w:line="215" w:lineRule="auto"/>
        <w:rPr>
          <w:sz w:val="20"/>
          <w:szCs w:val="20"/>
          <w:color w:val="auto"/>
        </w:rPr>
      </w:pPr>
      <w:r>
        <w:rPr>
          <w:rFonts w:ascii="Times New Roman" w:cs="Times New Roman" w:eastAsia="Times New Roman" w:hAnsi="Times New Roman"/>
          <w:sz w:val="14"/>
          <w:szCs w:val="14"/>
          <w:color w:val="auto"/>
        </w:rPr>
        <w:t>ESP - Electrostatic Precipitator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FGD - Flue Gas Desulfurization (wet)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FF- Fabric Filter</w:t>
      </w:r>
    </w:p>
    <w:p>
      <w:pPr>
        <w:spacing w:after="0" w:line="211" w:lineRule="auto"/>
        <w:rPr>
          <w:sz w:val="20"/>
          <w:szCs w:val="20"/>
          <w:color w:val="auto"/>
        </w:rPr>
      </w:pPr>
      <w:r>
        <w:rPr>
          <w:rFonts w:ascii="Times New Roman" w:cs="Times New Roman" w:eastAsia="Times New Roman" w:hAnsi="Times New Roman"/>
          <w:sz w:val="13"/>
          <w:szCs w:val="13"/>
          <w:color w:val="auto"/>
        </w:rPr>
        <w:t>LNBOFA - Low NO</w:t>
      </w:r>
      <w:r>
        <w:rPr>
          <w:rFonts w:ascii="Times New Roman" w:cs="Times New Roman" w:eastAsia="Times New Roman" w:hAnsi="Times New Roman"/>
          <w:sz w:val="8"/>
          <w:szCs w:val="8"/>
          <w:color w:val="auto"/>
        </w:rPr>
        <w:t>x</w:t>
      </w:r>
      <w:r>
        <w:rPr>
          <w:rFonts w:ascii="Times New Roman" w:cs="Times New Roman" w:eastAsia="Times New Roman" w:hAnsi="Times New Roman"/>
          <w:sz w:val="13"/>
          <w:szCs w:val="13"/>
          <w:color w:val="auto"/>
        </w:rPr>
        <w:t xml:space="preserve"> Burner with Overfire Air</w:t>
      </w:r>
    </w:p>
    <w:p>
      <w:pPr>
        <w:spacing w:after="0" w:line="216" w:lineRule="auto"/>
        <w:rPr>
          <w:sz w:val="20"/>
          <w:szCs w:val="20"/>
          <w:color w:val="auto"/>
        </w:rPr>
      </w:pPr>
      <w:r>
        <w:rPr>
          <w:rFonts w:ascii="Times New Roman" w:cs="Times New Roman" w:eastAsia="Times New Roman" w:hAnsi="Times New Roman"/>
          <w:sz w:val="14"/>
          <w:szCs w:val="14"/>
          <w:color w:val="auto"/>
        </w:rPr>
        <w:t>OFA - Overfire Air</w:t>
      </w:r>
    </w:p>
    <w:p>
      <w:pPr>
        <w:spacing w:after="0" w:line="215" w:lineRule="auto"/>
        <w:rPr>
          <w:sz w:val="20"/>
          <w:szCs w:val="20"/>
          <w:color w:val="auto"/>
        </w:rPr>
      </w:pPr>
      <w:r>
        <w:rPr>
          <w:rFonts w:ascii="Times New Roman" w:cs="Times New Roman" w:eastAsia="Times New Roman" w:hAnsi="Times New Roman"/>
          <w:sz w:val="14"/>
          <w:szCs w:val="14"/>
          <w:color w:val="auto"/>
        </w:rPr>
        <w:t>SCR - Selective Catalytic Reduction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SNCR - Selective Non-Catalytic Reduction</w:t>
      </w:r>
    </w:p>
    <w:p>
      <w:pPr>
        <w:spacing w:after="0" w:line="200" w:lineRule="exact"/>
        <w:rPr>
          <w:sz w:val="20"/>
          <w:szCs w:val="20"/>
          <w:color w:val="auto"/>
        </w:rPr>
      </w:pPr>
    </w:p>
    <w:p>
      <w:pPr>
        <w:sectPr>
          <w:pgSz w:w="11900" w:h="16838" w:orient="portrait"/>
          <w:cols w:equalWidth="0" w:num="2">
            <w:col w:w="4920" w:space="720"/>
            <w:col w:w="5600"/>
          </w:cols>
          <w:pgMar w:left="320" w:top="86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type w:val="continuous"/>
        </w:sectPr>
      </w:pPr>
    </w:p>
    <w:bookmarkStart w:id="64" w:name="page65"/>
    <w:bookmarkEnd w:id="64"/>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estimated environmental capital expenditures by year:</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4"/>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4"/>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4"/>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7"/>
        </w:trPr>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9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 xml:space="preserve">During the year ended December 31, 2025, the Company completed $1.3 billion of share repurchases at an average price of $129.23 per share. See Item 15 — Note 15, </w:t>
      </w:r>
      <w:r>
        <w:rPr>
          <w:rFonts w:ascii="Times New Roman" w:cs="Times New Roman" w:eastAsia="Times New Roman" w:hAnsi="Times New Roman"/>
          <w:sz w:val="18"/>
          <w:szCs w:val="18"/>
          <w:i w:val="1"/>
          <w:iCs w:val="1"/>
          <w:color w:val="auto"/>
        </w:rPr>
        <w:t>Capital Structure</w:t>
      </w:r>
      <w:r>
        <w:rPr>
          <w:rFonts w:ascii="Times New Roman" w:cs="Times New Roman" w:eastAsia="Times New Roman" w:hAnsi="Times New Roman"/>
          <w:sz w:val="18"/>
          <w:szCs w:val="18"/>
          <w:color w:val="auto"/>
        </w:rPr>
        <w:t xml:space="preserve"> for additional discussion.</w:t>
      </w:r>
    </w:p>
    <w:p>
      <w:pPr>
        <w:spacing w:after="0" w:line="64" w:lineRule="exact"/>
        <w:rPr>
          <w:sz w:val="20"/>
          <w:szCs w:val="20"/>
          <w:color w:val="auto"/>
        </w:rPr>
      </w:pPr>
    </w:p>
    <w:p>
      <w:pPr>
        <w:ind w:left="400" w:right="540"/>
        <w:spacing w:after="0" w:line="329" w:lineRule="auto"/>
        <w:rPr>
          <w:sz w:val="20"/>
          <w:szCs w:val="20"/>
          <w:color w:val="auto"/>
        </w:rPr>
      </w:pPr>
      <w:r>
        <w:rPr>
          <w:rFonts w:ascii="Times New Roman" w:cs="Times New Roman" w:eastAsia="Times New Roman" w:hAnsi="Times New Roman"/>
          <w:sz w:val="18"/>
          <w:szCs w:val="18"/>
          <w:color w:val="auto"/>
        </w:rPr>
        <w:t xml:space="preserve">On October 16, 2025, the Board of Directors authorized an additional share repurchase program of up to $3.0 billion, to be executed through 2028. </w:t>
      </w:r>
      <w:r>
        <w:rPr>
          <w:rFonts w:ascii="Times New Roman" w:cs="Times New Roman" w:eastAsia="Times New Roman" w:hAnsi="Times New Roman"/>
          <w:sz w:val="18"/>
          <w:szCs w:val="18"/>
          <w:i w:val="1"/>
          <w:iCs w:val="1"/>
          <w:color w:val="auto"/>
        </w:rPr>
        <w:t>Dividend Increase on Common Stock</w:t>
      </w:r>
    </w:p>
    <w:p>
      <w:pPr>
        <w:spacing w:after="0" w:line="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During the first quarter of 2025, NRG increased the annual dividend on its common stock to $1.76 from $1.63 per share. The Company returned $350 million of capital to common shareholders in the year ended 2025 through a $1.76 dividend per common share. Beginning in the first quarter of 2026, NRG increased the annual common stock dividend to $1.90 per share, representing an 8% increase from 2025. The Company expects to target an annual common stock dividend growth rate of 7-9% per share in subsequent years.</w:t>
      </w:r>
    </w:p>
    <w:p>
      <w:pPr>
        <w:spacing w:after="0" w:line="7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January 23, 2026, NRG declared a quarterly dividend on the Company's common stock of $0.475 per share, or $1.90 per share on an annualized basis, payable on February 17, 2026, to stockholders of record as of February 2, 2026. The Company's common stock dividends are subject to available capital, market conditions, and compliance with associated laws and regulations.</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Series A Preferred Stock Dividends</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March and September 2025, the Company declared and paid semi-annual dividends of $51.25 per share on its outstanding Series A Preferred Stock, each totaling $33 million.</w:t>
      </w:r>
    </w:p>
    <w:p>
      <w:pPr>
        <w:spacing w:after="0" w:line="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Additional Material Cash Requirements Not Discussed Above</w:t>
      </w:r>
    </w:p>
    <w:p>
      <w:pPr>
        <w:spacing w:after="0" w:line="148"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Operating leases </w:t>
      </w:r>
      <w:r>
        <w:rPr>
          <w:rFonts w:ascii="Times New Roman" w:cs="Times New Roman" w:eastAsia="Times New Roman" w:hAnsi="Times New Roman"/>
          <w:sz w:val="18"/>
          <w:szCs w:val="18"/>
          <w:color w:val="auto"/>
        </w:rPr>
        <w:t>— The Company leases generating facilities, land, office and equipment, railcars, fleet vehicles and storefront space at retail stores.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December 31, 2025, the Company had lease payment obligations of $283 million, of which $50 million is payable within the next 12 months. For further discussion, see Item 15 —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 xml:space="preserve">Other liabilities </w:t>
      </w:r>
      <w:r>
        <w:rPr>
          <w:rFonts w:ascii="Times New Roman" w:cs="Times New Roman" w:eastAsia="Times New Roman" w:hAnsi="Times New Roman"/>
          <w:sz w:val="16"/>
          <w:szCs w:val="16"/>
          <w:color w:val="auto"/>
        </w:rPr>
        <w:t>— Other liabilities includes water right agreements, service and maintenance agreements, stadium naming rights, stadium sponsorships,</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long-term service agreements and other contractual obligations. As of December 31, 2025, the Company had total of $346 million under such commitments, of which $76 million are payable within the next 12 months.</w:t>
      </w:r>
    </w:p>
    <w:p>
      <w:pPr>
        <w:spacing w:after="0" w:line="62"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Contingent obligations for guarantees </w:t>
      </w:r>
      <w:r>
        <w:rPr>
          <w:rFonts w:ascii="Times New Roman" w:cs="Times New Roman" w:eastAsia="Times New Roman" w:hAnsi="Times New Roman"/>
          <w:sz w:val="18"/>
          <w:szCs w:val="18"/>
          <w:color w:val="auto"/>
        </w:rPr>
        <w:t>— NRG and its subsidiaries enter into various contracts that include indemnifications and guarantee provisions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routine part of the Company’s business activities. For further discussion, see Item 15 —Note 26,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w:t>
      </w:r>
    </w:p>
    <w:p>
      <w:pPr>
        <w:spacing w:after="0" w:line="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Obligations Arising Out of a Variable Interest in an Unconsolidated Entity</w:t>
      </w:r>
    </w:p>
    <w:p>
      <w:pPr>
        <w:spacing w:after="0" w:line="109"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Variable Interest in Equity investments </w:t>
      </w:r>
      <w:r>
        <w:rPr>
          <w:rFonts w:ascii="Times New Roman" w:cs="Times New Roman" w:eastAsia="Times New Roman" w:hAnsi="Times New Roman"/>
          <w:sz w:val="18"/>
          <w:szCs w:val="18"/>
          <w:color w:val="auto"/>
        </w:rPr>
        <w:t>— NRG's investment in Ivanpah is a variable interest entity for which NRG is not the primary beneficiary. NRG's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pro-rata share of non-recourse debt was approximately $462 million as of December 31, 2025. This indebtedness may restrict the ability of Ivanpah to issue dividends or distributions to NRG.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Cash Flow Discussion</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2025 compared to 2024</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reflects the changes in cash flows for the comparative years: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8"/>
                <w:szCs w:val="18"/>
                <w:color w:val="auto"/>
              </w:rPr>
            </w:pPr>
          </w:p>
        </w:tc>
        <w:tc>
          <w:tcPr>
            <w:tcW w:w="9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center"/>
              <w:ind w:left="316"/>
              <w:spacing w:after="0"/>
              <w:rPr>
                <w:sz w:val="20"/>
                <w:szCs w:val="20"/>
                <w:color w:val="auto"/>
              </w:rPr>
            </w:pPr>
            <w:r>
              <w:rPr>
                <w:rFonts w:ascii="Times New Roman" w:cs="Times New Roman" w:eastAsia="Times New Roman" w:hAnsi="Times New Roman"/>
                <w:sz w:val="18"/>
                <w:szCs w:val="18"/>
                <w:color w:val="auto"/>
                <w:w w:val="98"/>
              </w:rPr>
              <w:t>1,913</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used by investing activities</w:t>
            </w:r>
          </w:p>
        </w:tc>
        <w:tc>
          <w:tcPr>
            <w:tcW w:w="320" w:type="dxa"/>
            <w:vAlign w:val="bottom"/>
          </w:tcPr>
          <w:p>
            <w:pPr>
              <w:spacing w:after="0"/>
              <w:rPr>
                <w:sz w:val="19"/>
                <w:szCs w:val="19"/>
                <w:color w:val="auto"/>
              </w:rPr>
            </w:pPr>
          </w:p>
        </w:tc>
        <w:tc>
          <w:tcPr>
            <w:tcW w:w="920" w:type="dxa"/>
            <w:vAlign w:val="bottom"/>
          </w:tcPr>
          <w:p>
            <w:pPr>
              <w:jc w:val="center"/>
              <w:ind w:left="276"/>
              <w:spacing w:after="0"/>
              <w:rPr>
                <w:sz w:val="20"/>
                <w:szCs w:val="20"/>
                <w:color w:val="auto"/>
              </w:rPr>
            </w:pPr>
            <w:r>
              <w:rPr>
                <w:rFonts w:ascii="Times New Roman" w:cs="Times New Roman" w:eastAsia="Times New Roman" w:hAnsi="Times New Roman"/>
                <w:sz w:val="18"/>
                <w:szCs w:val="18"/>
                <w:color w:val="auto"/>
                <w:w w:val="98"/>
              </w:rPr>
              <w:t>(1,638)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provided/(used) by financing activities</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316"/>
              <w:spacing w:after="0"/>
              <w:rPr>
                <w:sz w:val="20"/>
                <w:szCs w:val="20"/>
                <w:color w:val="auto"/>
              </w:rPr>
            </w:pPr>
            <w:r>
              <w:rPr>
                <w:rFonts w:ascii="Times New Roman" w:cs="Times New Roman" w:eastAsia="Times New Roman" w:hAnsi="Times New Roman"/>
                <w:sz w:val="18"/>
                <w:szCs w:val="18"/>
                <w:color w:val="auto"/>
                <w:w w:val="98"/>
              </w:rPr>
              <w:t>3,546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71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Cash (used)/provided by operating activities</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71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Changes to cash (used)/provided by operating activities were driven by:</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714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working capital primarily related to accounts receivable due to increased rates</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Increase in working capital primarily driven by deferred revenues and changes in ARO cost estimates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operating income adjusted for other non-cash items</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Changes in cash collateral in support of risk management activities due to change in commodity prices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working capital due to the payment of the CPI Security Systems, Inc. legal matter</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4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w w:val="98"/>
              </w:rPr>
              <w:t>Decrease in working capital primarily due to timing of prepayments related to broker fees and insurance</w:t>
            </w:r>
          </w:p>
        </w:tc>
        <w:tc>
          <w:tcPr>
            <w:tcW w:w="9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gridSpan w:val="2"/>
            <w:vMerge w:val="restart"/>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Cash (used)/provided by investing activities</w:t>
            </w:r>
          </w:p>
        </w:tc>
        <w:tc>
          <w:tcPr>
            <w:tcW w:w="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71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71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Changes to cash (used)/provided by investing activities were driven by:</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71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1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capital expenditures</w:t>
            </w:r>
          </w:p>
        </w:tc>
        <w:tc>
          <w:tcPr>
            <w:tcW w:w="3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5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Increase in cash paid for acquisitions primarily due to the acquisition of the Texas Generation Portfolio in April 2025</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Decrease in proceeds from sale of assets primarily due to the sale of the Airtron business unit in 2024</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in insurance proceeds for property, plant and equipment, net</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due to fewer purchases of emissions allowances, net of sales</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Cash provided/(used) by financing activities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Changes in cash provided/(used) by financing activities were driven by:</w:t>
      </w:r>
    </w:p>
    <w:p>
      <w:pPr>
        <w:spacing w:after="0" w:line="37"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7110730" cy="1504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10730" cy="150495"/>
                    </a:xfrm>
                    <a:prstGeom prst="rect">
                      <a:avLst/>
                    </a:prstGeom>
                    <a:noFill/>
                  </pic:spPr>
                </pic:pic>
              </a:graphicData>
            </a:graphic>
          </wp:anchor>
        </w:drawing>
      </w:r>
    </w:p>
    <w:p>
      <w:pPr>
        <w:sectPr>
          <w:pgSz w:w="11900" w:h="16838" w:orient="portrait"/>
          <w:cols w:equalWidth="0" w:num="1">
            <w:col w:w="11220"/>
          </w:cols>
          <w:pgMar w:left="320" w:top="869" w:right="359" w:bottom="1440" w:gutter="0" w:footer="0" w:header="0"/>
        </w:sectPr>
      </w:pP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Increase in proceeds from issuance of long-term debt in 2025</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Increase due to lower repayments of long-term debt and finance leases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Decrease primarily due to higher payments for share repurchase activity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10730" cy="142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10730" cy="14224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Decrease due to payment for settlement of capped call options in 2025</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Increase primarily due to debt extinguishment costs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10730" cy="142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10730" cy="14224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Increase in net receipts from settlement of acquired derivatives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10730" cy="142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10730" cy="142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782" w:hanging="782"/>
        <w:spacing w:after="0"/>
        <w:tabs>
          <w:tab w:leader="none" w:pos="78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3,476</w:t>
      </w:r>
    </w:p>
    <w:p>
      <w:pPr>
        <w:spacing w:after="0" w:line="21" w:lineRule="exact"/>
        <w:rPr>
          <w:rFonts w:ascii="Times New Roman" w:cs="Times New Roman" w:eastAsia="Times New Roman" w:hAnsi="Times New Roman"/>
          <w:sz w:val="18"/>
          <w:szCs w:val="18"/>
          <w:color w:val="auto"/>
        </w:rPr>
      </w:pPr>
    </w:p>
    <w:p>
      <w:pPr>
        <w:ind w:left="78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2,250</w:t>
      </w:r>
    </w:p>
    <w:p>
      <w:pPr>
        <w:spacing w:after="0" w:line="16" w:lineRule="exact"/>
        <w:rPr>
          <w:rFonts w:ascii="Times New Roman" w:cs="Times New Roman" w:eastAsia="Times New Roman" w:hAnsi="Times New Roman"/>
          <w:sz w:val="18"/>
          <w:szCs w:val="18"/>
          <w:color w:val="auto"/>
        </w:rPr>
      </w:pPr>
    </w:p>
    <w:p>
      <w:pPr>
        <w:ind w:left="84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(418)</w:t>
      </w:r>
    </w:p>
    <w:p>
      <w:pPr>
        <w:spacing w:after="0" w:line="39" w:lineRule="exact"/>
        <w:rPr>
          <w:rFonts w:ascii="Times New Roman" w:cs="Times New Roman" w:eastAsia="Times New Roman" w:hAnsi="Times New Roman"/>
          <w:sz w:val="18"/>
          <w:szCs w:val="18"/>
          <w:color w:val="auto"/>
        </w:rPr>
      </w:pPr>
    </w:p>
    <w:p>
      <w:pPr>
        <w:ind w:left="84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(292)</w:t>
      </w:r>
    </w:p>
    <w:p>
      <w:pPr>
        <w:spacing w:after="0" w:line="39" w:lineRule="exact"/>
        <w:rPr>
          <w:rFonts w:ascii="Times New Roman" w:cs="Times New Roman" w:eastAsia="Times New Roman" w:hAnsi="Times New Roman"/>
          <w:sz w:val="18"/>
          <w:szCs w:val="18"/>
          <w:color w:val="auto"/>
        </w:rPr>
      </w:pPr>
    </w:p>
    <w:p>
      <w:pPr>
        <w:ind w:left="92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229</w:t>
      </w:r>
    </w:p>
    <w:p>
      <w:pPr>
        <w:spacing w:after="0" w:line="16" w:lineRule="exact"/>
        <w:rPr>
          <w:rFonts w:ascii="Times New Roman" w:cs="Times New Roman" w:eastAsia="Times New Roman" w:hAnsi="Times New Roman"/>
          <w:sz w:val="18"/>
          <w:szCs w:val="18"/>
          <w:color w:val="auto"/>
        </w:rPr>
      </w:pPr>
    </w:p>
    <w:p>
      <w:pPr>
        <w:ind w:left="100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w:t>
      </w:r>
    </w:p>
    <w:p>
      <w:pPr>
        <w:spacing w:after="0" w:line="16" w:lineRule="exact"/>
        <w:rPr>
          <w:rFonts w:ascii="Times New Roman" w:cs="Times New Roman" w:eastAsia="Times New Roman" w:hAnsi="Times New Roman"/>
          <w:sz w:val="18"/>
          <w:szCs w:val="18"/>
          <w:color w:val="auto"/>
        </w:rPr>
      </w:pPr>
    </w:p>
    <w:p>
      <w:pPr>
        <w:ind w:left="102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25400</wp:posOffset>
            </wp:positionV>
            <wp:extent cx="8020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02005" cy="8255"/>
                    </a:xfrm>
                    <a:prstGeom prst="rect">
                      <a:avLst/>
                    </a:prstGeom>
                    <a:noFill/>
                  </pic:spPr>
                </pic:pic>
              </a:graphicData>
            </a:graphic>
          </wp:anchor>
        </w:drawing>
      </w:r>
    </w:p>
    <w:p>
      <w:pPr>
        <w:spacing w:after="0" w:line="28" w:lineRule="exact"/>
        <w:rPr>
          <w:sz w:val="20"/>
          <w:szCs w:val="20"/>
          <w:color w:val="auto"/>
        </w:rPr>
      </w:pPr>
    </w:p>
    <w:p>
      <w:pPr>
        <w:ind w:left="782" w:hanging="782"/>
        <w:spacing w:after="0"/>
        <w:tabs>
          <w:tab w:leader="none" w:pos="78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8020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020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38735</wp:posOffset>
            </wp:positionV>
            <wp:extent cx="80200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020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38" w:space="720"/>
            <w:col w:w="1262"/>
          </w:cols>
          <w:pgMar w:left="320" w:top="86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69" w:right="35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NOLs, Deferred Tax Assets and Uncertain Tax Position Implications</w:t>
      </w:r>
    </w:p>
    <w:p>
      <w:pPr>
        <w:spacing w:after="0" w:line="111"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For the year ended December 31, 2025, the Company had domestic pre-tax book income of $1.1 billion and foreign pre-tax book income of $47 million. For the year ended December 31, 2025, the Company utilized U.S. federal NOLs of $247 million, and foreign NOLs of $25 million. As of December 31, 2025, the Company has cumulative U.S. federal NOL carryforwards of $6.6 billion, of which $5.1 billion do not have an expiration date, and cumulative state NOL carryforwards of $6.1 billion for financial statement purposes. NRG also has cumulative foreign NOL carryforwards of $392 million, most of which have no expiration date. In addition to the above NOLs, NRG has a $58 million indefinite carryforward for interest deductions, as well as $288 million of tax credits, inclusive of $92 million of CAMT credits to be utilized in future years. As a result of the Company's tax position, including the utilization of federal and state NOLs, and based on current forecasts, the Company anticipates income tax payments, of up to $90 million in 2026. As of December 31, 2025, NRG as an applicable corporation is subject to the CAMT, however, there is no impact on the Company’s provision for income taxes from the CAMT as of December 31, 2025.</w:t>
      </w:r>
    </w:p>
    <w:p>
      <w:pPr>
        <w:spacing w:after="0" w:line="8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As of December 31, 2025, the Company has $53 million of tax effected uncertain federal, state and foreign tax benefits for which the Company has recorded a non-current tax liability of $59 million (inclusive of accrued interest) until such final resolution with the related taxing authority.</w:t>
      </w:r>
    </w:p>
    <w:p>
      <w:pPr>
        <w:spacing w:after="0" w:line="6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December 31, 2021, the OECD released rules which set forth a common approach to a global minimum tax at 15% for multinational companies, which has been enacted into law by certain countries effective for 2024. The Company's preliminary analysis indicates that there is no material impact to the Company's financial statements from these rules.</w:t>
      </w:r>
    </w:p>
    <w:p>
      <w:pPr>
        <w:spacing w:after="0" w:line="7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is no longer subject to U.S. federal income tax examinations for years prior to 2022. With few exceptions, state and Canadian income tax examinations are no longer open for years before 2015.</w:t>
      </w:r>
    </w:p>
    <w:p>
      <w:pPr>
        <w:spacing w:after="0" w:line="6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July 4, 2025, H.R.1 - One Big Beautiful Bill Act (“OBBB”) was enacted into law. The OBBB includes changes to U.S. tax law applicable to NRG beginning in 2025, such as the permanent extension of certain expiring provisions of the TCJA, modifications to the international tax framework and the restoration of favorable tax treatment for certain business provisions. The impact of the OBBB on the Company’s consolidated financial statements has been reflected in its current and deferred taxes, however, there is no material impact to income tax expense for the year ended December 31,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Guarantor Financial Information</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As of December 31, 2025, the Company's outstanding registered senior notes consisted of $821 million of the 2028 Senior Notes as shown in Item 15 — Note 12, </w:t>
      </w:r>
      <w:r>
        <w:rPr>
          <w:rFonts w:ascii="Times New Roman" w:cs="Times New Roman" w:eastAsia="Times New Roman" w:hAnsi="Times New Roman"/>
          <w:sz w:val="18"/>
          <w:szCs w:val="18"/>
          <w:i w:val="1"/>
          <w:iCs w:val="1"/>
          <w:color w:val="auto"/>
        </w:rPr>
        <w:t>Long-term Debt and Finance Leases</w:t>
      </w:r>
      <w:r>
        <w:rPr>
          <w:rFonts w:ascii="Times New Roman" w:cs="Times New Roman" w:eastAsia="Times New Roman" w:hAnsi="Times New Roman"/>
          <w:sz w:val="18"/>
          <w:szCs w:val="18"/>
          <w:color w:val="auto"/>
        </w:rPr>
        <w:t>. These Senior Notes are guaranteed by certain of NRG's current and future 100% owned domestic subsidiaries, or guarantor subsidiaries (the “Guarantors”). See Exhibit 22.1 to this Annual Report on Form 10-K for a listing of the Guarantors. These guarantees are both joint and several.</w:t>
      </w:r>
    </w:p>
    <w:p>
      <w:pPr>
        <w:spacing w:after="0" w:line="78"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NRG conducts much of its business through and derives much of its income from its subsidiaries. Therefore, the Company's ability to make required payments with respect to its indebtedness and other obligations depends on the financial results and condition of its subsidiaries and NRG's ability to receive funds from its subsidiaries. There are no restrictions on the ability of any of the Guarantors to transfer funds to NRG. Other subsidiaries of the Company do not guarantee the registered debt securities of either NRG Energy, Inc. or the Guarantors (such subsidiaries are referred to as the “Non-Guarantors”). The Non-Guarantors include all of NRG's foreign subsidiaries and certain domestic subsidiaries.</w:t>
      </w:r>
    </w:p>
    <w:p>
      <w:pPr>
        <w:spacing w:after="0" w:line="8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of NRG Energy, Inc. and the Guarantors in accordance with Rule 3-10 under the SEC's Regulation S-X. The financial information may not necessarily be indicative of the results of operations or financial position of NRG Energy, Inc. and the Guarantors in accordance with U.S. GAAP.</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summarized statement of operations: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For the Year Ended</w:t>
            </w:r>
          </w:p>
        </w:tc>
      </w:tr>
      <w:tr>
        <w:trPr>
          <w:trHeight w:val="210"/>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8"/>
        </w:trPr>
        <w:tc>
          <w:tcPr>
            <w:tcW w:w="894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color w:val="auto"/>
              </w:rPr>
              <w:t>Revenue</w:t>
            </w:r>
            <w:r>
              <w:rPr>
                <w:rFonts w:ascii="Times New Roman" w:cs="Times New Roman" w:eastAsia="Times New Roman" w:hAnsi="Times New Roman"/>
                <w:sz w:val="22"/>
                <w:szCs w:val="22"/>
                <w:color w:val="auto"/>
                <w:vertAlign w:val="superscript"/>
              </w:rPr>
              <w:t>(a)</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28,117</w:t>
            </w:r>
          </w:p>
        </w:tc>
      </w:tr>
      <w:tr>
        <w:trPr>
          <w:trHeight w:val="224"/>
        </w:trPr>
        <w:tc>
          <w:tcPr>
            <w:tcW w:w="894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Operating income</w:t>
            </w:r>
            <w:r>
              <w:rPr>
                <w:rFonts w:ascii="Times New Roman" w:cs="Times New Roman" w:eastAsia="Times New Roman" w:hAnsi="Times New Roman"/>
                <w:sz w:val="22"/>
                <w:szCs w:val="22"/>
                <w:color w:val="auto"/>
                <w:vertAlign w:val="superscript"/>
              </w:rPr>
              <w:t>(b)</w:t>
            </w:r>
          </w:p>
        </w:tc>
        <w:tc>
          <w:tcPr>
            <w:tcW w:w="3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r>
      <w:tr>
        <w:trPr>
          <w:trHeight w:val="224"/>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3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24"/>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24"/>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bl>
    <w:p>
      <w:pPr>
        <w:spacing w:after="0" w:line="70" w:lineRule="exact"/>
        <w:rPr>
          <w:sz w:val="20"/>
          <w:szCs w:val="20"/>
          <w:color w:val="auto"/>
        </w:rPr>
      </w:pPr>
    </w:p>
    <w:p>
      <w:pPr>
        <w:ind w:left="320" w:hanging="315"/>
        <w:spacing w:after="0"/>
        <w:tabs>
          <w:tab w:leader="none" w:pos="3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Intercompany transactions with Non-Guarantors of $53 million during the year ended December 31, 2025</w:t>
      </w:r>
    </w:p>
    <w:p>
      <w:pPr>
        <w:spacing w:after="0" w:line="12"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Intercompany transactions with Non-Guarantors including cost of operations of $136 million and selling, general and administrative of $440 million during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7" w:name="page68"/>
    <w:bookmarkEnd w:id="67"/>
    <w:p>
      <w:pPr>
        <w:ind w:left="400"/>
        <w:spacing w:after="0"/>
        <w:rPr>
          <w:sz w:val="20"/>
          <w:szCs w:val="20"/>
          <w:color w:val="auto"/>
        </w:rPr>
      </w:pPr>
      <w:r>
        <w:rPr>
          <w:rFonts w:ascii="Times New Roman" w:cs="Times New Roman" w:eastAsia="Times New Roman" w:hAnsi="Times New Roman"/>
          <w:sz w:val="18"/>
          <w:szCs w:val="18"/>
          <w:color w:val="auto"/>
        </w:rPr>
        <w:t>The following table presents the summarized balance sheet information: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r>
      <w:tr>
        <w:trPr>
          <w:trHeight w:val="219"/>
        </w:trPr>
        <w:tc>
          <w:tcPr>
            <w:tcW w:w="89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Current assets</w:t>
            </w:r>
            <w:r>
              <w:rPr>
                <w:rFonts w:ascii="Times New Roman" w:cs="Times New Roman" w:eastAsia="Times New Roman" w:hAnsi="Times New Roman"/>
                <w:sz w:val="22"/>
                <w:szCs w:val="22"/>
                <w:color w:val="auto"/>
                <w:vertAlign w:val="superscript"/>
              </w:rPr>
              <w:t>(a)</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9,745</w:t>
            </w:r>
          </w:p>
        </w:tc>
      </w:tr>
      <w:tr>
        <w:trPr>
          <w:trHeight w:val="224"/>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r>
      <w:tr>
        <w:trPr>
          <w:trHeight w:val="224"/>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15,424</w:t>
            </w:r>
          </w:p>
        </w:tc>
      </w:tr>
      <w:tr>
        <w:trPr>
          <w:trHeight w:val="224"/>
        </w:trPr>
        <w:tc>
          <w:tcPr>
            <w:tcW w:w="894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Current liabilities</w:t>
            </w:r>
            <w:r>
              <w:rPr>
                <w:rFonts w:ascii="Times New Roman" w:cs="Times New Roman" w:eastAsia="Times New Roman" w:hAnsi="Times New Roman"/>
                <w:sz w:val="22"/>
                <w:szCs w:val="22"/>
                <w:color w:val="auto"/>
                <w:vertAlign w:val="superscript"/>
              </w:rPr>
              <w:t>(b)</w:t>
            </w:r>
          </w:p>
        </w:tc>
        <w:tc>
          <w:tcPr>
            <w:tcW w:w="2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7,347</w:t>
            </w:r>
          </w:p>
        </w:tc>
      </w:tr>
      <w:tr>
        <w:trPr>
          <w:trHeight w:val="224"/>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18,584</w:t>
            </w:r>
          </w:p>
        </w:tc>
      </w:tr>
    </w:tbl>
    <w:p>
      <w:pPr>
        <w:spacing w:after="0" w:line="70" w:lineRule="exact"/>
        <w:rPr>
          <w:sz w:val="20"/>
          <w:szCs w:val="20"/>
          <w:color w:val="auto"/>
        </w:rPr>
      </w:pPr>
    </w:p>
    <w:p>
      <w:pPr>
        <w:ind w:left="320" w:hanging="315"/>
        <w:spacing w:after="0"/>
        <w:tabs>
          <w:tab w:leader="none" w:pos="3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intercompany receivables due from Non-Guarantors of $152 million as of December 31, 2025</w:t>
      </w:r>
    </w:p>
    <w:p>
      <w:pPr>
        <w:spacing w:after="0" w:line="12"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intercompany payables due to Non-Guarantors of $6 million as of December 31, 2025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NRG may enter into energy purchase and sales contracts, fuel purchase contracts and other energy-related financial instruments to mitigate variability in earnings due to fluctuations in spot market prices and to hedge fuel requirements at power plants or retail load obligations. In order to mitigate interest risk associated with the issuance of the Company's debt, NRG enters into interest rate derivatives. In addition, in order to mitigate foreign exchange rate risk primarily associated with the purchase of USD denominated natural gas for the Company's Canadian business, NRG enters into foreign exchange contract agreements.</w:t>
      </w:r>
    </w:p>
    <w:p>
      <w:pPr>
        <w:spacing w:after="0" w:line="8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Under the Flex Pay plan (“Flex Pay”), offered by Vivint Smart Home, customers pay for smart home products by obtaining financing from a third-party financing provider (“Consumer Financing Program” or “CFP”). Vivint Smart Home pays certain fees to the financing providers and shares in credit losses on some of the loans.</w:t>
      </w:r>
    </w:p>
    <w:p>
      <w:pPr>
        <w:spacing w:after="0" w:line="7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NRG's trading activities are subject to limits in accordance with the Company's Risk Management Policy. These contracts are recognized on the balance sheet at fair value and changes in the fair value of these derivative financial instruments are recognized in earnings.</w:t>
      </w:r>
    </w:p>
    <w:p>
      <w:pPr>
        <w:spacing w:after="0" w:line="64"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 xml:space="preserve">The tables below disclose the activities that include both exchange and non-exchange traded contracts accounted for at fair value in accordance with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Specifically, these tables disaggregate realized and unrealized changes in fair value; disaggregate estimated fair values at December 31, 2025, based on their level within the fair value hierarchy defined in ASC 820; and indicate the maturities of contracts at December 31, 2025. For a full discussion of the Company's valuation methodology of its contracts, see </w:t>
      </w:r>
      <w:r>
        <w:rPr>
          <w:rFonts w:ascii="Times New Roman" w:cs="Times New Roman" w:eastAsia="Times New Roman" w:hAnsi="Times New Roman"/>
          <w:sz w:val="18"/>
          <w:szCs w:val="18"/>
          <w:i w:val="1"/>
          <w:iCs w:val="1"/>
          <w:color w:val="auto"/>
        </w:rPr>
        <w:t>Derivative Fair Value Measurements</w:t>
      </w:r>
      <w:r>
        <w:rPr>
          <w:rFonts w:ascii="Times New Roman" w:cs="Times New Roman" w:eastAsia="Times New Roman" w:hAnsi="Times New Roman"/>
          <w:sz w:val="18"/>
          <w:szCs w:val="18"/>
          <w:color w:val="auto"/>
        </w:rPr>
        <w:t xml:space="preserve"> in Item 15 — Note 5,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to the Consolidated Financial Statements.</w:t>
      </w:r>
    </w:p>
    <w:p>
      <w:pPr>
        <w:sectPr>
          <w:pgSz w:w="11900" w:h="16838" w:orient="portrait"/>
          <w:cols w:equalWidth="0" w:num="1">
            <w:col w:w="11240"/>
          </w:cols>
          <w:pgMar w:left="320" w:top="871" w:right="339" w:bottom="1440" w:gutter="0" w:footer="0" w:header="0"/>
        </w:sectPr>
      </w:pP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rPr>
        <w:t>Derivative Activity Gains/(Losses)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10730" cy="1504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10730" cy="15049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Fair value of contracts as of December 31, 2024</w:t>
      </w:r>
      <w:r>
        <w:rPr>
          <w:rFonts w:ascii="Times New Roman" w:cs="Times New Roman" w:eastAsia="Times New Roman" w:hAnsi="Times New Roman"/>
          <w:sz w:val="22"/>
          <w:szCs w:val="22"/>
          <w:color w:val="auto"/>
          <w:vertAlign w:val="superscript"/>
        </w:rPr>
        <w:t>(a)</w:t>
      </w:r>
    </w:p>
    <w:p>
      <w:pPr>
        <w:ind w:left="120"/>
        <w:spacing w:after="0"/>
        <w:rPr>
          <w:sz w:val="20"/>
          <w:szCs w:val="20"/>
          <w:color w:val="auto"/>
        </w:rPr>
      </w:pPr>
      <w:r>
        <w:rPr>
          <w:rFonts w:ascii="Times New Roman" w:cs="Times New Roman" w:eastAsia="Times New Roman" w:hAnsi="Times New Roman"/>
          <w:sz w:val="18"/>
          <w:szCs w:val="18"/>
          <w:color w:val="auto"/>
        </w:rPr>
        <w:t>Contracts realized or otherwise settled during the period</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Texas Generation Portfolio contracts acquired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10730" cy="142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10730" cy="142240"/>
                    </a:xfrm>
                    <a:prstGeom prst="rect">
                      <a:avLst/>
                    </a:prstGeom>
                    <a:noFill/>
                  </pic:spPr>
                </pic:pic>
              </a:graphicData>
            </a:graphic>
          </wp:anchor>
        </w:drawing>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changes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10730" cy="1670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10730" cy="16700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Fair value of contracts as of December 31, 2025</w:t>
      </w:r>
      <w:r>
        <w:rPr>
          <w:rFonts w:ascii="Times New Roman" w:cs="Times New Roman" w:eastAsia="Times New Roman" w:hAnsi="Times New Roman"/>
          <w:sz w:val="22"/>
          <w:szCs w:val="22"/>
          <w:color w:val="auto"/>
          <w:vertAlign w:val="superscript"/>
        </w:rPr>
        <w:t>(a)</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left="242"/>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56" w:lineRule="exact"/>
        <w:rPr>
          <w:sz w:val="20"/>
          <w:szCs w:val="20"/>
          <w:color w:val="auto"/>
        </w:rPr>
      </w:pPr>
    </w:p>
    <w:p>
      <w:pPr>
        <w:ind w:left="922" w:hanging="922"/>
        <w:spacing w:after="0"/>
        <w:tabs>
          <w:tab w:leader="none" w:pos="92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992</w:t>
      </w:r>
    </w:p>
    <w:p>
      <w:pPr>
        <w:spacing w:after="0" w:line="21" w:lineRule="exact"/>
        <w:rPr>
          <w:rFonts w:ascii="Times New Roman" w:cs="Times New Roman" w:eastAsia="Times New Roman" w:hAnsi="Times New Roman"/>
          <w:sz w:val="18"/>
          <w:szCs w:val="18"/>
          <w:color w:val="auto"/>
        </w:rPr>
      </w:pPr>
    </w:p>
    <w:p>
      <w:pPr>
        <w:ind w:left="84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(338)</w:t>
      </w:r>
    </w:p>
    <w:p>
      <w:pPr>
        <w:spacing w:after="0" w:line="39" w:lineRule="exact"/>
        <w:rPr>
          <w:rFonts w:ascii="Times New Roman" w:cs="Times New Roman" w:eastAsia="Times New Roman" w:hAnsi="Times New Roman"/>
          <w:sz w:val="18"/>
          <w:szCs w:val="18"/>
          <w:color w:val="auto"/>
        </w:rPr>
      </w:pPr>
    </w:p>
    <w:p>
      <w:pPr>
        <w:ind w:left="92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w:t>
      </w:r>
    </w:p>
    <w:p>
      <w:pPr>
        <w:spacing w:after="0" w:line="16" w:lineRule="exact"/>
        <w:rPr>
          <w:rFonts w:ascii="Times New Roman" w:cs="Times New Roman" w:eastAsia="Times New Roman" w:hAnsi="Times New Roman"/>
          <w:sz w:val="18"/>
          <w:szCs w:val="18"/>
          <w:color w:val="auto"/>
        </w:rPr>
      </w:pPr>
    </w:p>
    <w:p>
      <w:pPr>
        <w:ind w:left="84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(174)</w:t>
      </w:r>
    </w:p>
    <w:p>
      <w:pPr>
        <w:spacing w:after="0" w:line="48" w:lineRule="exact"/>
        <w:rPr>
          <w:sz w:val="20"/>
          <w:szCs w:val="20"/>
          <w:color w:val="auto"/>
        </w:rPr>
      </w:pPr>
    </w:p>
    <w:p>
      <w:pPr>
        <w:ind w:left="922" w:hanging="922"/>
        <w:spacing w:after="0"/>
        <w:tabs>
          <w:tab w:leader="none" w:pos="92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38735</wp:posOffset>
            </wp:positionV>
            <wp:extent cx="8020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02005" cy="8255"/>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9238" w:space="720"/>
            <w:col w:w="1282"/>
          </w:cols>
          <w:pgMar w:left="320" w:top="871" w:right="339" w:bottom="1440" w:gutter="0" w:footer="0" w:header="0"/>
          <w:type w:val="continuous"/>
        </w:sectPr>
      </w:pPr>
    </w:p>
    <w:p>
      <w:pPr>
        <w:ind w:left="320" w:hanging="315"/>
        <w:spacing w:after="0" w:line="287" w:lineRule="auto"/>
        <w:tabs>
          <w:tab w:leader="none" w:pos="318"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 of December 31, 2024 and 2025, respectively, includes $770 million and $484 million of derivative contracts that were elected as NPNS on October 1, 2024 and are no longer valued at fair value on a recurring basis. For further discussion, see Item 15 — Note 6, </w:t>
      </w:r>
      <w:r>
        <w:rPr>
          <w:rFonts w:ascii="Times New Roman" w:cs="Times New Roman" w:eastAsia="Times New Roman" w:hAnsi="Times New Roman"/>
          <w:sz w:val="14"/>
          <w:szCs w:val="14"/>
          <w:i w:val="1"/>
          <w:iCs w:val="1"/>
          <w:color w:val="auto"/>
        </w:rPr>
        <w:t>Accounting for Derivative Instruments and Hedging Activities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60" w:type="dxa"/>
            <w:vAlign w:val="bottom"/>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Fair Value of Contracts as of December 31, 2025</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340" w:type="dxa"/>
            <w:vAlign w:val="bottom"/>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Fair Value Hierarchy (Losses)/Gains</w:t>
            </w:r>
            <w:r>
              <w:rPr>
                <w:rFonts w:ascii="Times New Roman" w:cs="Times New Roman" w:eastAsia="Times New Roman" w:hAnsi="Times New Roman"/>
                <w:sz w:val="20"/>
                <w:szCs w:val="20"/>
                <w:b w:val="1"/>
                <w:bCs w:val="1"/>
                <w:color w:val="auto"/>
                <w:vertAlign w:val="superscript"/>
              </w:rPr>
              <w:t>(a)</w:t>
            </w:r>
          </w:p>
        </w:tc>
        <w:tc>
          <w:tcPr>
            <w:tcW w:w="16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1 Year or Less</w:t>
            </w:r>
          </w:p>
        </w:tc>
        <w:tc>
          <w:tcPr>
            <w:tcW w:w="140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Greater Than 1 Year</w:t>
            </w:r>
          </w:p>
        </w:tc>
        <w:tc>
          <w:tcPr>
            <w:tcW w:w="140" w:type="dxa"/>
            <w:vAlign w:val="bottom"/>
          </w:tcPr>
          <w:p>
            <w:pPr>
              <w:spacing w:after="0"/>
              <w:rPr>
                <w:sz w:val="11"/>
                <w:szCs w:val="11"/>
                <w:color w:val="auto"/>
              </w:rPr>
            </w:pPr>
          </w:p>
        </w:tc>
        <w:tc>
          <w:tcPr>
            <w:tcW w:w="126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Greater Than 3</w:t>
            </w:r>
          </w:p>
        </w:tc>
        <w:tc>
          <w:tcPr>
            <w:tcW w:w="160" w:type="dxa"/>
            <w:vAlign w:val="bottom"/>
          </w:tcPr>
          <w:p>
            <w:pPr>
              <w:spacing w:after="0"/>
              <w:rPr>
                <w:sz w:val="11"/>
                <w:szCs w:val="11"/>
                <w:color w:val="auto"/>
              </w:rPr>
            </w:pPr>
          </w:p>
        </w:tc>
        <w:tc>
          <w:tcPr>
            <w:tcW w:w="1140" w:type="dxa"/>
            <w:vAlign w:val="bottom"/>
          </w:tcPr>
          <w:p>
            <w:pPr>
              <w:jc w:val="center"/>
              <w:ind w:right="78"/>
              <w:spacing w:after="0" w:line="131" w:lineRule="exact"/>
              <w:rPr>
                <w:sz w:val="20"/>
                <w:szCs w:val="20"/>
                <w:color w:val="auto"/>
              </w:rPr>
            </w:pPr>
            <w:r>
              <w:rPr>
                <w:rFonts w:ascii="Times New Roman" w:cs="Times New Roman" w:eastAsia="Times New Roman" w:hAnsi="Times New Roman"/>
                <w:sz w:val="14"/>
                <w:szCs w:val="14"/>
                <w:b w:val="1"/>
                <w:bCs w:val="1"/>
                <w:color w:val="auto"/>
                <w:w w:val="98"/>
              </w:rPr>
              <w:t>Greater Than</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right"/>
              <w:ind w:right="238"/>
              <w:spacing w:after="0" w:line="131" w:lineRule="exact"/>
              <w:rPr>
                <w:sz w:val="20"/>
                <w:szCs w:val="20"/>
                <w:color w:val="auto"/>
              </w:rPr>
            </w:pPr>
            <w:r>
              <w:rPr>
                <w:rFonts w:ascii="Times New Roman" w:cs="Times New Roman" w:eastAsia="Times New Roman" w:hAnsi="Times New Roman"/>
                <w:sz w:val="14"/>
                <w:szCs w:val="14"/>
                <w:b w:val="1"/>
                <w:bCs w:val="1"/>
                <w:color w:val="auto"/>
              </w:rPr>
              <w:t>Total Fair</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4"/>
                <w:szCs w:val="14"/>
                <w:b w:val="1"/>
                <w:bCs w:val="1"/>
                <w:color w:val="auto"/>
              </w:rPr>
              <w:t>to 3 Years</w:t>
            </w:r>
          </w:p>
        </w:tc>
        <w:tc>
          <w:tcPr>
            <w:tcW w:w="140" w:type="dxa"/>
            <w:vAlign w:val="bottom"/>
          </w:tcPr>
          <w:p>
            <w:pPr>
              <w:spacing w:after="0"/>
              <w:rPr>
                <w:sz w:val="13"/>
                <w:szCs w:val="13"/>
                <w:color w:val="auto"/>
              </w:rPr>
            </w:pPr>
          </w:p>
        </w:tc>
        <w:tc>
          <w:tcPr>
            <w:tcW w:w="126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Years to 5 Years</w:t>
            </w:r>
          </w:p>
        </w:tc>
        <w:tc>
          <w:tcPr>
            <w:tcW w:w="16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b w:val="1"/>
                <w:bCs w:val="1"/>
                <w:color w:val="auto"/>
                <w:w w:val="96"/>
              </w:rPr>
              <w:t>5 Years</w:t>
            </w:r>
          </w:p>
        </w:tc>
        <w:tc>
          <w:tcPr>
            <w:tcW w:w="220" w:type="dxa"/>
            <w:vAlign w:val="bottom"/>
          </w:tcPr>
          <w:p>
            <w:pPr>
              <w:spacing w:after="0"/>
              <w:rPr>
                <w:sz w:val="13"/>
                <w:szCs w:val="13"/>
                <w:color w:val="auto"/>
              </w:rPr>
            </w:pPr>
          </w:p>
        </w:tc>
        <w:tc>
          <w:tcPr>
            <w:tcW w:w="1020" w:type="dxa"/>
            <w:vAlign w:val="bottom"/>
          </w:tcPr>
          <w:p>
            <w:pPr>
              <w:jc w:val="right"/>
              <w:ind w:right="358"/>
              <w:spacing w:after="0" w:line="158"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top w:val="single" w:sz="8" w:color="auto"/>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3</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320" w:hanging="315"/>
        <w:spacing w:after="0" w:line="287" w:lineRule="auto"/>
        <w:tabs>
          <w:tab w:leader="none" w:pos="318"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Excludes $484 million of derivative contracts that were elected as NPNS on October 1, 2024 and are no longer valued at fair value on a recurring basis. For further discussion, see Item 15 — Note 6, </w:t>
      </w:r>
      <w:r>
        <w:rPr>
          <w:rFonts w:ascii="Times New Roman" w:cs="Times New Roman" w:eastAsia="Times New Roman" w:hAnsi="Times New Roman"/>
          <w:sz w:val="14"/>
          <w:szCs w:val="14"/>
          <w:i w:val="1"/>
          <w:iCs w:val="1"/>
          <w:color w:val="auto"/>
        </w:rPr>
        <w:t>Accounting for Derivative Instruments and Hedging Activities</w:t>
      </w:r>
    </w:p>
    <w:p>
      <w:pPr>
        <w:spacing w:after="0" w:line="6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 has elected to disclose derivative assets and liabilities on a trade-by-trade basis and does not offset amounts at the counterparty master agreement level. Also, collateral received or posted on the Company's derivative assets or liabilities are recorded on a separate line item on the balance sheet. Consequently, the magnitude of the changes in individual current and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type w:val="continuous"/>
        </w:sectPr>
      </w:pPr>
    </w:p>
    <w:bookmarkStart w:id="68" w:name="page69"/>
    <w:bookmarkEnd w:id="68"/>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non-current derivative assets or liabilities is higher than the underlying credit and market risk of the Company's portfolio. As discussed in Item 7A </w:t>
      </w:r>
      <w:r>
        <w:rPr>
          <w:rFonts w:ascii="Times New Roman" w:cs="Times New Roman" w:eastAsia="Times New Roman" w:hAnsi="Times New Roman"/>
          <w:sz w:val="18"/>
          <w:szCs w:val="18"/>
          <w:i w:val="1"/>
          <w:iCs w:val="1"/>
          <w:color w:val="auto"/>
        </w:rPr>
        <w:t>— Quantitative and Qualitative Disclosures About Market Risk, Commodity Price Risk</w:t>
      </w:r>
      <w:r>
        <w:rPr>
          <w:rFonts w:ascii="Times New Roman" w:cs="Times New Roman" w:eastAsia="Times New Roman" w:hAnsi="Times New Roman"/>
          <w:sz w:val="18"/>
          <w:szCs w:val="18"/>
          <w:color w:val="auto"/>
        </w:rPr>
        <w:t>, NRG measures the sensitivity of the Company's portfolio to potential changes in market prices using VaR, a statistical model which attempts to predict risk of loss based on market price and volatility. NRG's risk management policy places a limit on one-day holding period VaR, which limits the Company's net open position. As the Company's trade-by-trade derivative accounting results in a gross-up of the Company's derivative assets and liabilities, the net derivative assets and liability position is a better indicator of NRG's hedging activity. As of December 31, 2025, NRG's net derivative asset was $397 million, a decrease of $595 million to total fair value as compared to December 31, 2024. This decrease was driven by the roll-off of trades that settled during the period, losses in fair value and the Texas Generation Portfolio contracts acquired.</w:t>
      </w:r>
    </w:p>
    <w:p>
      <w:pPr>
        <w:spacing w:after="0" w:line="85" w:lineRule="exact"/>
        <w:rPr>
          <w:sz w:val="20"/>
          <w:szCs w:val="20"/>
          <w:color w:val="auto"/>
        </w:rPr>
      </w:pPr>
    </w:p>
    <w:p>
      <w:pPr>
        <w:jc w:val="both"/>
        <w:ind w:firstLine="395"/>
        <w:spacing w:after="0" w:line="254" w:lineRule="auto"/>
        <w:rPr>
          <w:sz w:val="20"/>
          <w:szCs w:val="20"/>
          <w:color w:val="auto"/>
        </w:rPr>
      </w:pPr>
      <w:r>
        <w:rPr>
          <w:rFonts w:ascii="Times New Roman" w:cs="Times New Roman" w:eastAsia="Times New Roman" w:hAnsi="Times New Roman"/>
          <w:sz w:val="18"/>
          <w:szCs w:val="18"/>
          <w:color w:val="auto"/>
        </w:rPr>
        <w:t>Based on a sensitivity analysis using simplified assumptions, the impact of a $0.50 per MMBtu increase or decrease in natural gas prices across the term of the derivative contracts would result in a change of approximately $1.1 billion in the net value of derivatives as of December 31,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91"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appropriate technical accounting rules and guidance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accounting guidance has not changed.</w:t>
      </w:r>
    </w:p>
    <w:p>
      <w:pPr>
        <w:spacing w:after="0" w:line="8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NRG evaluates these estimates, on an ongoing basis, utilizing historic experience, consultation with experts and other methods the Company considers reasonable. In any event,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7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 identifies its most critical accounting estimates as those that are the most pervasive and important to the portrayal of the Company's financial position and results of operations, and require the most difficult, subjective, and/or complex judgments by management about matters that are inherently uncertain.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9" w:name="page70"/>
    <w:bookmarkEnd w:id="69"/>
    <w:p>
      <w:pPr>
        <w:ind w:left="400"/>
        <w:spacing w:after="0"/>
        <w:rPr>
          <w:sz w:val="20"/>
          <w:szCs w:val="20"/>
          <w:color w:val="auto"/>
        </w:rPr>
      </w:pPr>
      <w:r>
        <w:rPr>
          <w:rFonts w:ascii="Times New Roman" w:cs="Times New Roman" w:eastAsia="Times New Roman" w:hAnsi="Times New Roman"/>
          <w:sz w:val="18"/>
          <w:szCs w:val="18"/>
          <w:color w:val="auto"/>
        </w:rPr>
        <w:t>Such accounting estimates include:</w:t>
      </w:r>
    </w:p>
    <w:p>
      <w:pPr>
        <w:spacing w:after="0" w:line="35"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Accounting Estimate</w:t>
            </w: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Judgments/Uncertainties Affecting Application</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Assumptions used in valuation techniques</w:t>
            </w:r>
          </w:p>
        </w:tc>
      </w:tr>
      <w:tr>
        <w:trPr>
          <w:trHeight w:val="224"/>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maturity and economic conditions</w:t>
            </w:r>
          </w:p>
        </w:tc>
      </w:tr>
      <w:tr>
        <w:trPr>
          <w:trHeight w:val="224"/>
        </w:trPr>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interpretation</w:t>
            </w:r>
          </w:p>
        </w:tc>
      </w:tr>
      <w:tr>
        <w:trPr>
          <w:trHeight w:val="17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96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w w:val="95"/>
              </w:rPr>
              <w:t>Market conditions in the energy industry, especially the effects of price</w:t>
            </w:r>
          </w:p>
        </w:tc>
      </w:tr>
      <w:tr>
        <w:trPr>
          <w:trHeight w:val="233"/>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 on contractual commitments</w:t>
            </w:r>
          </w:p>
        </w:tc>
      </w:tr>
      <w:tr>
        <w:trPr>
          <w:trHeight w:val="175"/>
        </w:trPr>
        <w:tc>
          <w:tcPr>
            <w:tcW w:w="20" w:type="dxa"/>
            <w:vAlign w:val="bottom"/>
            <w:shd w:val="clear" w:color="auto" w:fill="CCEEFF"/>
          </w:tcPr>
          <w:p>
            <w:pPr>
              <w:spacing w:after="0"/>
              <w:rPr>
                <w:sz w:val="15"/>
                <w:szCs w:val="15"/>
                <w:color w:val="auto"/>
              </w:rPr>
            </w:pPr>
          </w:p>
        </w:tc>
        <w:tc>
          <w:tcPr>
            <w:tcW w:w="5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Income Taxes and Valuation Allowance for Deferred Tax Assets</w:t>
            </w:r>
          </w:p>
        </w:tc>
        <w:tc>
          <w:tcPr>
            <w:tcW w:w="49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Interpret existing tax statute and regulations upon application to</w:t>
            </w:r>
          </w:p>
        </w:tc>
      </w:tr>
      <w:tr>
        <w:trPr>
          <w:trHeight w:val="237"/>
        </w:trPr>
        <w:tc>
          <w:tcPr>
            <w:tcW w:w="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transactions</w:t>
            </w:r>
          </w:p>
        </w:tc>
      </w:tr>
      <w:tr>
        <w:trPr>
          <w:trHeight w:val="17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96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w w:val="98"/>
              </w:rPr>
              <w:t>Ability to utilize tax benefits through carry backs to prior periods and</w:t>
            </w:r>
          </w:p>
        </w:tc>
      </w:tr>
      <w:tr>
        <w:trPr>
          <w:trHeight w:val="233"/>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 forwards to future periods</w:t>
            </w:r>
          </w:p>
        </w:tc>
      </w:tr>
      <w:tr>
        <w:trPr>
          <w:trHeight w:val="228"/>
        </w:trPr>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Judgment about future realization of deferred tax assets</w:t>
            </w:r>
          </w:p>
        </w:tc>
      </w:tr>
      <w:tr>
        <w:trPr>
          <w:trHeight w:val="224"/>
        </w:trPr>
        <w:tc>
          <w:tcPr>
            <w:tcW w:w="2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Evaluation of Assets for Impairment</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and political environments and requirements</w:t>
            </w:r>
          </w:p>
        </w:tc>
      </w:tr>
      <w:tr>
        <w:trPr>
          <w:trHeight w:val="224"/>
        </w:trPr>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useful lives of assets</w:t>
            </w:r>
          </w:p>
        </w:tc>
      </w:tr>
      <w:tr>
        <w:trPr>
          <w:trHeight w:val="224"/>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obligations and operational limitations</w:t>
            </w:r>
          </w:p>
        </w:tc>
      </w:tr>
      <w:tr>
        <w:trPr>
          <w:trHeight w:val="224"/>
        </w:trPr>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Estimates of future cash flows</w:t>
            </w:r>
          </w:p>
        </w:tc>
      </w:tr>
      <w:tr>
        <w:trPr>
          <w:trHeight w:val="224"/>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Estimates of fair value</w:t>
            </w:r>
          </w:p>
        </w:tc>
      </w:tr>
      <w:tr>
        <w:trPr>
          <w:trHeight w:val="224"/>
        </w:trPr>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Judgment about impairment triggering events</w:t>
            </w:r>
          </w:p>
        </w:tc>
      </w:tr>
      <w:tr>
        <w:trPr>
          <w:trHeight w:val="224"/>
        </w:trPr>
        <w:tc>
          <w:tcPr>
            <w:tcW w:w="2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useful lives for finite-lived intangible assets</w:t>
            </w:r>
          </w:p>
        </w:tc>
      </w:tr>
      <w:tr>
        <w:trPr>
          <w:trHeight w:val="224"/>
        </w:trPr>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Judgment about impairment triggering events</w:t>
            </w:r>
          </w:p>
        </w:tc>
      </w:tr>
      <w:tr>
        <w:trPr>
          <w:trHeight w:val="224"/>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Estimates of reporting unit's fair value</w:t>
            </w:r>
          </w:p>
        </w:tc>
      </w:tr>
      <w:tr>
        <w:trPr>
          <w:trHeight w:val="224"/>
        </w:trPr>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Fair value estimate of intangible assets acquired in business combinati</w:t>
            </w:r>
          </w:p>
        </w:tc>
      </w:tr>
      <w:tr>
        <w:trPr>
          <w:trHeight w:val="171"/>
        </w:trPr>
        <w:tc>
          <w:tcPr>
            <w:tcW w:w="20" w:type="dxa"/>
            <w:vAlign w:val="bottom"/>
          </w:tcPr>
          <w:p>
            <w:pPr>
              <w:spacing w:after="0"/>
              <w:rPr>
                <w:sz w:val="14"/>
                <w:szCs w:val="14"/>
                <w:color w:val="auto"/>
              </w:rPr>
            </w:pPr>
          </w:p>
        </w:tc>
        <w:tc>
          <w:tcPr>
            <w:tcW w:w="596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Business Combinations</w:t>
            </w:r>
          </w:p>
        </w:tc>
        <w:tc>
          <w:tcPr>
            <w:tcW w:w="496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Fair value of assets acquired and liabilities assumed in business</w:t>
            </w:r>
          </w:p>
        </w:tc>
      </w:tr>
      <w:tr>
        <w:trPr>
          <w:trHeight w:val="233"/>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combinations</w:t>
            </w:r>
          </w:p>
        </w:tc>
      </w:tr>
      <w:tr>
        <w:trPr>
          <w:trHeight w:val="228"/>
        </w:trPr>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future cash flow</w:t>
            </w:r>
          </w:p>
        </w:tc>
      </w:tr>
      <w:tr>
        <w:trPr>
          <w:trHeight w:val="224"/>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useful lives of assets</w:t>
            </w:r>
          </w:p>
        </w:tc>
      </w:tr>
      <w:tr>
        <w:trPr>
          <w:trHeight w:val="224"/>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Contingencies</w:t>
            </w: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financial impact of event(s)</w:t>
            </w:r>
          </w:p>
        </w:tc>
      </w:tr>
      <w:tr>
        <w:trPr>
          <w:trHeight w:val="224"/>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Judgment about likelihood of event(s) occurring</w:t>
            </w:r>
          </w:p>
        </w:tc>
      </w:tr>
      <w:tr>
        <w:trPr>
          <w:trHeight w:val="224"/>
        </w:trPr>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and political environments and requirements</w:t>
            </w:r>
          </w:p>
        </w:tc>
      </w:tr>
    </w:tbl>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11" w:lineRule="exact"/>
        <w:rPr>
          <w:sz w:val="20"/>
          <w:szCs w:val="20"/>
          <w:color w:val="auto"/>
        </w:rPr>
      </w:pPr>
    </w:p>
    <w:p>
      <w:pPr>
        <w:jc w:val="both"/>
        <w:ind w:right="100" w:firstLine="395"/>
        <w:spacing w:after="0" w:line="304" w:lineRule="auto"/>
        <w:rPr>
          <w:sz w:val="20"/>
          <w:szCs w:val="20"/>
          <w:color w:val="auto"/>
        </w:rPr>
      </w:pPr>
      <w:r>
        <w:rPr>
          <w:rFonts w:ascii="Times New Roman" w:cs="Times New Roman" w:eastAsia="Times New Roman" w:hAnsi="Times New Roman"/>
          <w:sz w:val="16"/>
          <w:szCs w:val="16"/>
          <w:color w:val="auto"/>
        </w:rPr>
        <w:t xml:space="preserve">The Company follows the guidance of ASC 815, </w:t>
      </w:r>
      <w:r>
        <w:rPr>
          <w:rFonts w:ascii="Times New Roman" w:cs="Times New Roman" w:eastAsia="Times New Roman" w:hAnsi="Times New Roman"/>
          <w:sz w:val="16"/>
          <w:szCs w:val="16"/>
          <w:i w:val="1"/>
          <w:iCs w:val="1"/>
          <w:color w:val="auto"/>
        </w:rPr>
        <w:t>Derivatives and Hedging "(A</w:t>
      </w:r>
      <w:r>
        <w:rPr>
          <w:rFonts w:ascii="Times New Roman" w:cs="Times New Roman" w:eastAsia="Times New Roman" w:hAnsi="Times New Roman"/>
          <w:sz w:val="16"/>
          <w:szCs w:val="16"/>
          <w:color w:val="auto"/>
        </w:rPr>
        <w:t>SC 815"), to account for derivative instruments. ASC 815 requires the Company to mark-to-market all derivative instruments on the balance sheet and recognize fair value change in earnings, unless they qualify for the NPNS exception. ASC 815 applies to NRG's energy related commodity contracts, interest rate swaps, foreign exchange contracts and Consumer Financing Program.</w:t>
      </w:r>
    </w:p>
    <w:p>
      <w:pPr>
        <w:spacing w:after="0" w:line="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Energy-Related Commodities</w:t>
      </w:r>
    </w:p>
    <w:p>
      <w:pPr>
        <w:spacing w:after="0" w:line="111" w:lineRule="exact"/>
        <w:rPr>
          <w:sz w:val="20"/>
          <w:szCs w:val="20"/>
          <w:color w:val="auto"/>
        </w:rPr>
      </w:pPr>
    </w:p>
    <w:p>
      <w:pPr>
        <w:jc w:val="both"/>
        <w:ind w:right="100" w:firstLine="395"/>
        <w:spacing w:after="0" w:line="249" w:lineRule="auto"/>
        <w:rPr>
          <w:sz w:val="20"/>
          <w:szCs w:val="20"/>
          <w:color w:val="auto"/>
        </w:rPr>
      </w:pPr>
      <w:r>
        <w:rPr>
          <w:rFonts w:ascii="Times New Roman" w:cs="Times New Roman" w:eastAsia="Times New Roman" w:hAnsi="Times New Roman"/>
          <w:sz w:val="18"/>
          <w:szCs w:val="18"/>
          <w:color w:val="auto"/>
        </w:rPr>
        <w:t>As of December 31, 2025 and 2024, for purposes of measuring the fair value of derivative instruments, the Company primarily used quoted exchange prices and consensus pricing. Consensus pricing is provided by independent pricing services which are compiled from market makers with longer dated tenors as compared to broker quotes. When external prices are not available, NRG uses internal models to determine the fair value. These internal models include assumptions of the future prices of energy commodities based on the specific market in which the energy commodity is being purchased or sold, using externally available forward market pricing curves for all periods possible under the pricing model. These estimations are considered to be critical accounting estimates.</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11" w:lineRule="exact"/>
        <w:rPr>
          <w:sz w:val="20"/>
          <w:szCs w:val="20"/>
          <w:color w:val="auto"/>
        </w:rPr>
      </w:pPr>
    </w:p>
    <w:p>
      <w:pPr>
        <w:jc w:val="both"/>
        <w:ind w:right="100" w:firstLine="395"/>
        <w:spacing w:after="0" w:line="256" w:lineRule="auto"/>
        <w:rPr>
          <w:sz w:val="20"/>
          <w:szCs w:val="20"/>
          <w:color w:val="auto"/>
        </w:rPr>
      </w:pPr>
      <w:r>
        <w:rPr>
          <w:rFonts w:ascii="Times New Roman" w:cs="Times New Roman" w:eastAsia="Times New Roman" w:hAnsi="Times New Roman"/>
          <w:sz w:val="18"/>
          <w:szCs w:val="18"/>
          <w:color w:val="auto"/>
        </w:rPr>
        <w:t>NRG is exposed to changes in interest rates through the Company's issuance of debt. To manage the Company's interest rate risk, NRG enters into interest rate swap agreements and treasury locks. In order to qualify the derivative instruments for hedged transactions, NRG estimates the forecasted borrowings for interest rate swaps occurring within a specified time period.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871" w:right="239" w:bottom="1440" w:gutter="0" w:footer="0" w:header="0"/>
        </w:sectPr>
      </w:pPr>
    </w:p>
    <w:bookmarkStart w:id="70" w:name="page71"/>
    <w:bookmarkEnd w:id="70"/>
    <w:p>
      <w:pPr>
        <w:ind w:left="400"/>
        <w:spacing w:after="0"/>
        <w:rPr>
          <w:sz w:val="20"/>
          <w:szCs w:val="20"/>
          <w:color w:val="auto"/>
        </w:rPr>
      </w:pPr>
      <w:r>
        <w:rPr>
          <w:rFonts w:ascii="Times New Roman" w:cs="Times New Roman" w:eastAsia="Times New Roman" w:hAnsi="Times New Roman"/>
          <w:sz w:val="18"/>
          <w:szCs w:val="18"/>
          <w:i w:val="1"/>
          <w:iCs w:val="1"/>
          <w:color w:val="auto"/>
        </w:rPr>
        <w:t>Foreign Exchange Contracts</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order to mitigate foreign exchange risk primarily associated with the purchase of USD denominated natural gas for the Company's Canadian business, the Company enters into foreign exchange contract agreements.</w:t>
      </w:r>
    </w:p>
    <w:p>
      <w:pPr>
        <w:spacing w:after="0" w:line="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Consumer Financing Program</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derivative positions for the Company's Consumer Financing Program are valued using a discounted cash flow model, with inputs consisting of available market data, such as market yield discount rates, as well as unobservable internally derived assumptions, such as collateral prepayment rates, collateral default rates and credit loss rates. In summary, the fair value represents an estimate of the present value of the cash flows Vivint Smart Home will be obligated to pay to the third-party financing provider for each component of the derivative.</w:t>
      </w:r>
    </w:p>
    <w:p>
      <w:pPr>
        <w:spacing w:after="0" w:line="78"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Certain derivative instruments that meet the criteria for derivative accounting treatment also qualify for a scope exception to derivative accounting, as they are considered to be NPNS. The availability of this exception is based upon the assumption that the Company has the ability and it is probable to deliver or take delivery of the underlying item. These assumptions are based on expected load requirements, internal forecasts of sales and generation and historical physical delivery on contracts. Derivatives that are considered to be NPNS are exempt from derivative accounting treatment and are accounted for under accrual accounting. If it is determined that a transaction designated as NPNS no longer meets the scope exception due to changes in estimates, the related contract would be recorded on the balance sheet at fair value combined with the immediate recognition through earnings.</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Income Taxes and Valuation Allowance for Deferred Tax Assets</w:t>
      </w:r>
    </w:p>
    <w:p>
      <w:pPr>
        <w:spacing w:after="0" w:line="11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As of December 31, 2025, NRG’s deferred tax assets were primarily the result of U.S. federal and state NOLs, the difference between book and tax basis in property, plant, and equipment, deferred revenues and tax credit carryforwards. The realization of deferred tax assets is dependent upon the Company's ability to generate sufficient future taxable income during the periods in which those temporary differences become deductible, prior to the expiration of the tax attributes. The evaluation of deferred tax assets requires judgment in assessing the likely future tax consequences of events that have been recognized in the Company's financial statements or tax returns and forecasting future profitability by tax jurisdiction.</w:t>
      </w:r>
    </w:p>
    <w:p>
      <w:pPr>
        <w:spacing w:after="0" w:line="8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Company evaluates its deferred tax assets on a jurisdictional basis to determine whether adjustments to the valuation allowance are appropriate considering changes in facts or circumstances. As of each reporting date, management considers new evidence, both positive and negative, when determining the future realization of the Company’s deferred tax assets. Given the Company’s current level of pre-tax earnings and forecasted future pre-tax earnings, the Company expects to generate income before taxes in the U.S. in future periods at a level that would fully utilize its U.S. federal NOL carryforwards and the majority of its state NOL carryforwards prior to their expiration.</w:t>
      </w:r>
    </w:p>
    <w:p>
      <w:pPr>
        <w:spacing w:after="0" w:line="8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 continues to maintain a valuation allowance of $150 million as of December 31, 2025 against deferred tax assets consisting of state NOL carryforwards and foreign NOL, and capital loss carryforwards in jurisdictions where the Company does not currently believe that the realization of deferred tax assets is more likely than not. As of December 31, 2024, the Company's valuation allowance balance was $144 million.</w:t>
      </w:r>
    </w:p>
    <w:p>
      <w:pPr>
        <w:spacing w:after="0" w:line="75" w:lineRule="exact"/>
        <w:rPr>
          <w:sz w:val="20"/>
          <w:szCs w:val="20"/>
          <w:color w:val="auto"/>
        </w:rPr>
      </w:pPr>
    </w:p>
    <w:p>
      <w:pPr>
        <w:jc w:val="both"/>
        <w:ind w:firstLine="395"/>
        <w:spacing w:after="0" w:line="300" w:lineRule="auto"/>
        <w:rPr>
          <w:sz w:val="20"/>
          <w:szCs w:val="20"/>
          <w:color w:val="auto"/>
        </w:rPr>
      </w:pPr>
      <w:r>
        <w:rPr>
          <w:rFonts w:ascii="Times New Roman" w:cs="Times New Roman" w:eastAsia="Times New Roman" w:hAnsi="Times New Roman"/>
          <w:sz w:val="16"/>
          <w:szCs w:val="16"/>
          <w:color w:val="auto"/>
        </w:rPr>
        <w:t>Considerable judgment is required to determine the tax treatment of a particular item that involves interpretations of complex tax laws. The Company is subject to examination by taxing authorities for income tax returns filed in the U.S. federal jurisdiction and various state and foreign jurisdictions, including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located in Australia and Canada. The Company continues to be under audit for multiple years by taxing authorities in various jurisdictions.</w:t>
      </w:r>
    </w:p>
    <w:p>
      <w:pPr>
        <w:spacing w:after="0" w:line="14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is no longer subject to U.S. federal income tax examinations for years prior to 2022. With few exceptions, state and Canadian income tax examinations are no longer open for years before 2015.</w:t>
      </w:r>
    </w:p>
    <w:p>
      <w:pPr>
        <w:spacing w:after="0" w:line="6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NRG does not intend, nor currently foresee a need, to repatriate funds held at its international operations into the U.S. These funds are deemed to be indefinitely reinvested in its foreign operations and the Company has not changed its assertion with respect to distributions of funds that would require the accrual of U.S. income tax.</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71" w:name="page72"/>
    <w:bookmarkEnd w:id="71"/>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Evaluation of Assets for Impairment</w:t>
      </w:r>
    </w:p>
    <w:p>
      <w:pPr>
        <w:spacing w:after="0" w:line="111" w:lineRule="exact"/>
        <w:rPr>
          <w:sz w:val="20"/>
          <w:szCs w:val="20"/>
          <w:color w:val="auto"/>
        </w:rPr>
      </w:pPr>
    </w:p>
    <w:p>
      <w:pPr>
        <w:ind w:firstLine="395"/>
        <w:spacing w:after="0" w:line="271" w:lineRule="auto"/>
        <w:rPr>
          <w:sz w:val="20"/>
          <w:szCs w:val="20"/>
          <w:color w:val="auto"/>
        </w:rPr>
      </w:pPr>
      <w:r>
        <w:rPr>
          <w:rFonts w:ascii="Times New Roman" w:cs="Times New Roman" w:eastAsia="Times New Roman" w:hAnsi="Times New Roman"/>
          <w:sz w:val="18"/>
          <w:szCs w:val="18"/>
          <w:color w:val="auto"/>
        </w:rPr>
        <w:t xml:space="preserve">In accordance with ASC 360, </w:t>
      </w:r>
      <w:r>
        <w:rPr>
          <w:rFonts w:ascii="Times New Roman" w:cs="Times New Roman" w:eastAsia="Times New Roman" w:hAnsi="Times New Roman"/>
          <w:sz w:val="18"/>
          <w:szCs w:val="18"/>
          <w:i w:val="1"/>
          <w:iCs w:val="1"/>
          <w:color w:val="auto"/>
        </w:rPr>
        <w:t>Property, Plant, and Equipment ("</w:t>
      </w:r>
      <w:r>
        <w:rPr>
          <w:rFonts w:ascii="Times New Roman" w:cs="Times New Roman" w:eastAsia="Times New Roman" w:hAnsi="Times New Roman"/>
          <w:sz w:val="18"/>
          <w:szCs w:val="18"/>
          <w:color w:val="auto"/>
        </w:rPr>
        <w:t>ASC 360"), the Company evaluates property, plant and equipment and certain intangible assets for impairment whenever indicators of impairment exist. Examples of such indicators or events include:</w:t>
      </w:r>
    </w:p>
    <w:p>
      <w:pPr>
        <w:spacing w:after="0" w:line="61" w:lineRule="exact"/>
        <w:rPr>
          <w:sz w:val="20"/>
          <w:szCs w:val="20"/>
          <w:color w:val="auto"/>
        </w:rPr>
      </w:pPr>
    </w:p>
    <w:p>
      <w:pPr>
        <w:ind w:left="640" w:hanging="319"/>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decrease in the market price of a long-lived asset;</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adverse change in the manner an asset is being used or its physical condition;</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business climate;</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Accumulation of costs significantly in excess of the amounts originally expected for the construction or acquisition of an asset;</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period loss combined with a history of losses or the projection of future losses; and</w:t>
      </w:r>
    </w:p>
    <w:p>
      <w:pPr>
        <w:spacing w:after="0" w:line="56" w:lineRule="exact"/>
        <w:rPr>
          <w:rFonts w:ascii="Times New Roman" w:cs="Times New Roman" w:eastAsia="Times New Roman" w:hAnsi="Times New Roman"/>
          <w:sz w:val="18"/>
          <w:szCs w:val="18"/>
          <w:color w:val="auto"/>
        </w:rPr>
      </w:pPr>
    </w:p>
    <w:p>
      <w:pPr>
        <w:ind w:left="640" w:right="120" w:hanging="319"/>
        <w:spacing w:after="0" w:line="268" w:lineRule="auto"/>
        <w:tabs>
          <w:tab w:leader="none" w:pos="6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the Company's intent about an asset from an intent to hold to a greater than 50% likelihood that an asset will be sold, or disposed of before the end of its previously estimated useful life.</w:t>
      </w:r>
    </w:p>
    <w:p>
      <w:pPr>
        <w:spacing w:after="0" w:line="64"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For assets to be held and used, recoverability is measured by a comparison of the carrying amount of the assets to the undiscounted future net cash flows expected to be generated by the asset, through considering project specific assumptions for long-term power and natural gas prices, escalated future project operating costs and expected plant operations. If the Company determines that the undiscounted cash flows from the asset are less than the carrying amount of the asset, NRG must estimate fair value to determine the amount of any impairment loss. If such assets are considered to be impaired, the impairment to be recognized is measured as the amount by which the carrying amount of the assets exceeds the fair value of the assets, factoring in the different courses of action available to the Company. Generally, fair value will be determined using valuation techniques, such as the present value of expected future cash flows. NRG uses its best estimates in making these evaluations and considers various factors, including forward price curves for energy, fuel and operating costs. However, actual future market prices and project costs could vary from the assumptions used in the Company's estimates and the impact of such variations could be material.</w:t>
      </w:r>
    </w:p>
    <w:p>
      <w:pPr>
        <w:spacing w:after="0" w:line="8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Assets held-for-sale are reported at the lower of the carrying amount or fair value less the cost to sell. The estimation of fair value, whether in conjunction with an asset to be held and used or with an asset held-for-sale, and the evaluation of asset impairment are, by their nature, subjective. The Company considers quoted market prices in active markets to the extent they are available. In the absence of such information, NRG may consider prices of similar assets, consult with brokers or employ other valuation techniques. The Company will also discount the estimated future cash flows associated with the asset using a single interest rate representative of the risk involved with such an investment or asset. The use of these methods involves the same inherent uncertainty of future cash flows as previously discussed with respect to undiscounted cash flows. Actual future market prices and project costs could vary from those used in NRG's estimates and the impact of such variations could be material.</w:t>
      </w:r>
    </w:p>
    <w:p>
      <w:pPr>
        <w:spacing w:after="0" w:line="8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Annually, during the fourth quarter, the Company revises its views of power and fuel prices including the Company's fundamental view for long-term prices, forecasted generation and operating and capital expenditures, in connection with the preparation of its annual budget. Changes to the Company's views of long-term power and fuel prices impact the Company’s projections of profitability, based on management's estimate of supply and demand within the sub-markets for its operations and the physical and economic characteristics of each of its businesses.</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further discussion, see Item 15 — Note 10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 Impairments</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10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At December 31, 2025, the Company reported goodwill of $5.0 billion, consisting of $3.5 billion from the acquisition of Vivint in 2023, $1.2 billion from the acquisition of Direct Energy in 2021 and $300 million from other retail acquisitions.</w:t>
      </w:r>
    </w:p>
    <w:p>
      <w:pPr>
        <w:spacing w:after="0" w:line="62"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 xml:space="preserve">The Company applies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and ASC 350, </w:t>
      </w:r>
      <w:r>
        <w:rPr>
          <w:rFonts w:ascii="Times New Roman" w:cs="Times New Roman" w:eastAsia="Times New Roman" w:hAnsi="Times New Roman"/>
          <w:sz w:val="18"/>
          <w:szCs w:val="18"/>
          <w:i w:val="1"/>
          <w:iCs w:val="1"/>
          <w:color w:val="auto"/>
        </w:rPr>
        <w:t>Intangibles-Goodwill and Other ("</w:t>
      </w:r>
      <w:r>
        <w:rPr>
          <w:rFonts w:ascii="Times New Roman" w:cs="Times New Roman" w:eastAsia="Times New Roman" w:hAnsi="Times New Roman"/>
          <w:sz w:val="18"/>
          <w:szCs w:val="18"/>
          <w:color w:val="auto"/>
        </w:rPr>
        <w:t>ASC 350") to account for its goodwill and intangible assets. Under these standards, the Company amortizes all finite-lived intangible assets over their respective estimated weighted-average useful lives. Goodwill has an indefinite life and is not amortized. Goodwill is tested for impairment at least annually, or more frequently whenever an event or change in circumstances occurs that would more likely than not reduce the fair value of a reporting unit below its carrying amount. The Company tests goodwill for impairment at the reporting unit level, which is identified by assessing whether the components of the Company's operating segments constitute businesses for which discrete financial information is available and whether segment management regularly reviews the operating results of those components. The Company performs the annual goodwill impairment assessment as of December 31 or when events or changes in circumstances indicate that the fair value of the reporting unit may be below the carrying amount. The Company may first assess qualitative factors to determine whether it is more likely than not that an impairment has occurred. In the absence of sufficient qualitative factors, the Company performs 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72" w:name="page73"/>
    <w:bookmarkEnd w:id="72"/>
    <w:p>
      <w:pPr>
        <w:jc w:val="both"/>
        <w:spacing w:after="0" w:line="268" w:lineRule="auto"/>
        <w:rPr>
          <w:sz w:val="20"/>
          <w:szCs w:val="20"/>
          <w:color w:val="auto"/>
        </w:rPr>
      </w:pPr>
      <w:r>
        <w:rPr>
          <w:rFonts w:ascii="Times New Roman" w:cs="Times New Roman" w:eastAsia="Times New Roman" w:hAnsi="Times New Roman"/>
          <w:sz w:val="18"/>
          <w:szCs w:val="18"/>
          <w:color w:val="auto"/>
        </w:rPr>
        <w:t>quantitative assessment by determining the fair value of the reporting unit and comparing to its book value. If it is determined that the fair value of a reporting unit is below its carrying amount, the Company's goodwill will be impaired at that time.</w:t>
      </w:r>
    </w:p>
    <w:p>
      <w:pPr>
        <w:spacing w:after="0" w:line="64"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Fair value determinations require considerable judgment and are sensitive to changes in underlying assumptions and factors. As a result, there can be no assurance that the estimates and assumptions made for purposes of the annual goodwill impairment test will prove to be accurate predictions of the future.</w:t>
      </w:r>
    </w:p>
    <w:p>
      <w:pPr>
        <w:spacing w:after="0" w:line="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For further discussion, see </w:t>
      </w:r>
      <w:r>
        <w:rPr>
          <w:rFonts w:ascii="Times New Roman" w:cs="Times New Roman" w:eastAsia="Times New Roman" w:hAnsi="Times New Roman"/>
          <w:sz w:val="18"/>
          <w:szCs w:val="18"/>
          <w:i w:val="1"/>
          <w:iCs w:val="1"/>
          <w:color w:val="auto"/>
        </w:rPr>
        <w:t>Evaluation of Assets for Impairment</w:t>
      </w:r>
      <w:r>
        <w:rPr>
          <w:rFonts w:ascii="Times New Roman" w:cs="Times New Roman" w:eastAsia="Times New Roman" w:hAnsi="Times New Roman"/>
          <w:sz w:val="18"/>
          <w:szCs w:val="18"/>
          <w:color w:val="auto"/>
        </w:rPr>
        <w:t xml:space="preserve"> caption above, and Item 15 — Note 10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 Impairments</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13"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NRG accounts for business acquisitions using the acquisition method of accounting prescribed under ASC 805. Under this method, the Company is required to record on its Consolidated Balance Sheets the estimated fair values of the acquired company’s assets and liabilities assumed at the acquisition date. The excess of the consideration transferred over the fair value of the net identifiable assets acquired and liabilities assumed is recorded as goodwill. Determining fair values of assets acquired and liabilities assumed requires significant estimates and judgments. Fair value is determined based on the estimated price that would be received to sell an asset or paid to transfer a liability in an orderly transaction between market participants at the measurement date.</w:t>
      </w:r>
    </w:p>
    <w:p>
      <w:pPr>
        <w:spacing w:after="0" w:line="5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acquired assets and assumed liabilities from the Texas Generation Portfolio acquisition that involved the most subjectivity in determining fair value consisted of property, plant, and equipment and derivative instruments. The fair values of the property, plant and equipment were measured using income-based valuation methodologies, which included certain assumptions, such as forecasted future cash flows, discount rates, market prices and asset lives. The derivative instruments were measured using an income-based valuation approach, which included available market data, such as consensus pricing, as well as unobservable internally derived assumptions, such as volatility factors and credit exposure.</w:t>
      </w:r>
    </w:p>
    <w:p>
      <w:pPr>
        <w:spacing w:after="0" w:line="78" w:lineRule="exact"/>
        <w:rPr>
          <w:sz w:val="20"/>
          <w:szCs w:val="20"/>
          <w:color w:val="auto"/>
        </w:rPr>
      </w:pPr>
    </w:p>
    <w:p>
      <w:pPr>
        <w:ind w:left="400" w:right="1380"/>
        <w:spacing w:after="0" w:line="367" w:lineRule="auto"/>
        <w:rPr>
          <w:sz w:val="20"/>
          <w:szCs w:val="20"/>
          <w:color w:val="auto"/>
        </w:rPr>
      </w:pPr>
      <w:r>
        <w:rPr>
          <w:rFonts w:ascii="Times New Roman" w:cs="Times New Roman" w:eastAsia="Times New Roman" w:hAnsi="Times New Roman"/>
          <w:sz w:val="18"/>
          <w:szCs w:val="18"/>
          <w:color w:val="auto"/>
        </w:rPr>
        <w:t xml:space="preserve">NRG describes in detail its acquisitions in Item 15 — Note 4,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xml:space="preserve">, to the Consolidated Financial Statements. </w:t>
      </w:r>
      <w:r>
        <w:rPr>
          <w:rFonts w:ascii="Times New Roman" w:cs="Times New Roman" w:eastAsia="Times New Roman" w:hAnsi="Times New Roman"/>
          <w:sz w:val="18"/>
          <w:szCs w:val="18"/>
          <w:b w:val="1"/>
          <w:bCs w:val="1"/>
          <w:i w:val="1"/>
          <w:iCs w:val="1"/>
          <w:color w:val="auto"/>
        </w:rPr>
        <w:t>Contingencies</w:t>
      </w:r>
    </w:p>
    <w:p>
      <w:pPr>
        <w:spacing w:after="0" w:line="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 xml:space="preserve">NRG records reserves for estimated losses from contingencies when information available indicates that a loss is probable and the amount of the loss, or range of loss, can be reasonably estimated. Gain contingencies are not recorded until management determines it is certain that the future event will become or does become a reality. Such determinations are subject to interpretations of current facts and circumstances, forecasts of future events, and estimates of the financial impacts of such events. NRG describes in detail its contingencies in Item 15 — Note 22,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Note 23, </w:t>
      </w:r>
      <w:r>
        <w:rPr>
          <w:rFonts w:ascii="Times New Roman" w:cs="Times New Roman" w:eastAsia="Times New Roman" w:hAnsi="Times New Roman"/>
          <w:sz w:val="18"/>
          <w:szCs w:val="18"/>
          <w:i w:val="1"/>
          <w:iCs w:val="1"/>
          <w:color w:val="auto"/>
        </w:rPr>
        <w:t>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Matters</w:t>
      </w:r>
      <w:r>
        <w:rPr>
          <w:rFonts w:ascii="Times New Roman" w:cs="Times New Roman" w:eastAsia="Times New Roman" w:hAnsi="Times New Roman"/>
          <w:sz w:val="18"/>
          <w:szCs w:val="18"/>
          <w:color w:val="auto"/>
        </w:rPr>
        <w:t>, and Note 24,</w:t>
      </w:r>
      <w:r>
        <w:rPr>
          <w:rFonts w:ascii="Times New Roman" w:cs="Times New Roman" w:eastAsia="Times New Roman" w:hAnsi="Times New Roman"/>
          <w:sz w:val="18"/>
          <w:szCs w:val="18"/>
          <w:i w:val="1"/>
          <w:iCs w:val="1"/>
          <w:color w:val="auto"/>
        </w:rPr>
        <w:t xml:space="preserve"> Environmental Matters </w:t>
      </w:r>
      <w:r>
        <w:rPr>
          <w:rFonts w:ascii="Times New Roman" w:cs="Times New Roman" w:eastAsia="Times New Roman" w:hAnsi="Times New Roman"/>
          <w:sz w:val="18"/>
          <w:szCs w:val="18"/>
          <w:color w:val="auto"/>
        </w:rPr>
        <w:t>to the Consolidated Financial Statements.</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Developments</w:t>
      </w:r>
    </w:p>
    <w:p>
      <w:pPr>
        <w:spacing w:after="0" w:line="111"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color w:val="auto"/>
        </w:rPr>
        <w:t xml:space="preserve">See Item 15 —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to the Consolidated Financial Statements for a discussion of recent accounting developments.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 Quantitative and Qualitative Disclosures About Market Risk</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NRG is exposed to several market risks in the Company's normal business activities. Market risk is the potential loss that may result from market changes associated with the Company's retail operations, merchant power generation, or with an existing or forecasted financial or commodity transactions. The types of market risks the Company is exposed to are commodity price risk, credit risk, liquidity risk, interest rate risk and currency exchange risk. In order to manage these risks, the Company uses various fixed-price forward purchase and sales contracts, futures and option contracts traded on NYMEX and other exchanges, and swaps and options traded in the over-the-counter financial markets to:</w:t>
      </w:r>
    </w:p>
    <w:p>
      <w:pPr>
        <w:spacing w:after="0" w:line="80" w:lineRule="exact"/>
        <w:rPr>
          <w:sz w:val="20"/>
          <w:szCs w:val="20"/>
          <w:color w:val="auto"/>
        </w:rPr>
      </w:pPr>
    </w:p>
    <w:p>
      <w:pPr>
        <w:ind w:left="640" w:hanging="319"/>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and hedge fixed-price purchase and sales commitments;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exposure to the volatility of cash market prices; and</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 fuel requirements for the Company's generating facilities.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73" w:name="page74"/>
    <w:bookmarkEnd w:id="73"/>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13"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Commodity price risks result from exposures to changes in spot prices, forward prices, volatilities, and correlations between various commodities, such as natural gas, electricity, coal, oil, and emissions credits. NRG manages the commodity price risk of the Company's load servicing obligations and merchant generation operations by entering into various derivative or non-derivative instruments to hedge the variability in future cash flows from forecasted sales and purchases of power and fuel. NRG measures the risk of the Company's portfolio using several analytical methods, including sensitivity tests, scenario tests, stress tests, position reports and VaR. NRG uses a Monte Carlo simulation based VaR model to estimate the potential loss in the fair value of its energy assets and liabilities, which includes generation assets, gas transportation and storage assets, load obligations and bilateral physical and financial transactions, based on historical and forward values for factors such as customer demand, weather, commodity availability and commodity prices. The Company's VaR model is based on a one-day holding period at a 95% confidence interval for the forward 36 months, not including the spot month. The VaR model is not a complete picture of all risks that may affect the Company's results. Certain events such as counterparty defaults, regulatory changes, and extreme weather and prices that deviate significantly from historically observed values are not reflected in the model.</w:t>
      </w:r>
    </w:p>
    <w:p>
      <w:pPr>
        <w:spacing w:after="0" w:line="8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average, maximum and minimum VaR for NRG's commodity portfolio, calculated using the VaR model for the years ended December 31, 2025 and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VaR as of December 31,</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04"/>
        </w:trPr>
        <w:tc>
          <w:tcPr>
            <w:tcW w:w="834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For the year ended December 31,</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4"/>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Average</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4"/>
        </w:trPr>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Maximum</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4"/>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Minimum</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bl>
    <w:p>
      <w:pPr>
        <w:spacing w:after="0" w:line="3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also uses VaR to estimate the potential loss of derivative financial instruments that are subject to mark-to-market accounting. These derivative instruments include transactions that were entered into for both asset management and trading purposes. The VaR for the derivative financial instruments calculated using the diversified VaR model for the entire term of these instruments entered into for both asset management and trading was $145 million as of December 31, 2025, primarily driven by asset-backed transactions.</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13"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 xml:space="preserve">Credit risk relates to the risk of loss resulting from non-performance or non-payment by counterparties pursuant to the terms of their contractual obligations. NRG is exposed to counterparty credit risk through various activities including wholesale sales, fuel purchases and retail supply arrangements, and retail customer credit risk through its retail load activities. Counterparty credit risk and retail customer credit risk are discussed below. See Item 15 — Note 6, </w:t>
      </w:r>
      <w:r>
        <w:rPr>
          <w:rFonts w:ascii="Times New Roman" w:cs="Times New Roman" w:eastAsia="Times New Roman" w:hAnsi="Times New Roman"/>
          <w:sz w:val="16"/>
          <w:szCs w:val="16"/>
          <w:i w:val="1"/>
          <w:iCs w:val="1"/>
          <w:color w:val="auto"/>
        </w:rPr>
        <w:t>Accounting for Derivative Instruments and Hedging Activities</w:t>
      </w:r>
      <w:r>
        <w:rPr>
          <w:rFonts w:ascii="Times New Roman" w:cs="Times New Roman" w:eastAsia="Times New Roman" w:hAnsi="Times New Roman"/>
          <w:sz w:val="16"/>
          <w:szCs w:val="16"/>
          <w:color w:val="auto"/>
        </w:rPr>
        <w:t>, to this Annual Report on Form 10-K for discussion regarding credit risk contingent features.</w:t>
      </w:r>
    </w:p>
    <w:p>
      <w:pPr>
        <w:spacing w:after="0" w:line="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Counterparty Credit Risk</w:t>
      </w:r>
    </w:p>
    <w:p>
      <w:pPr>
        <w:spacing w:after="0" w:line="113" w:lineRule="exact"/>
        <w:rPr>
          <w:sz w:val="20"/>
          <w:szCs w:val="20"/>
          <w:color w:val="auto"/>
        </w:rPr>
      </w:pPr>
    </w:p>
    <w:p>
      <w:pPr>
        <w:jc w:val="both"/>
        <w:ind w:firstLine="395"/>
        <w:spacing w:after="0" w:line="282" w:lineRule="auto"/>
        <w:rPr>
          <w:sz w:val="20"/>
          <w:szCs w:val="20"/>
          <w:color w:val="auto"/>
        </w:rPr>
      </w:pPr>
      <w:r>
        <w:rPr>
          <w:rFonts w:ascii="Times New Roman" w:cs="Times New Roman" w:eastAsia="Times New Roman" w:hAnsi="Times New Roman"/>
          <w:sz w:val="16"/>
          <w:szCs w:val="16"/>
          <w:color w:val="auto"/>
        </w:rPr>
        <w:t>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a daily monitoring of counterparties' credit limits; (iii) the use of credit mitigation measures such as margin, collateral, prepayment arrangements, or volumetric limits;</w:t>
      </w:r>
    </w:p>
    <w:p>
      <w:pPr>
        <w:spacing w:after="0" w:line="1" w:lineRule="exact"/>
        <w:rPr>
          <w:sz w:val="20"/>
          <w:szCs w:val="20"/>
          <w:color w:val="auto"/>
        </w:rPr>
      </w:pPr>
    </w:p>
    <w:p>
      <w:pPr>
        <w:jc w:val="both"/>
        <w:ind w:firstLine="5"/>
        <w:spacing w:after="0" w:line="245" w:lineRule="auto"/>
        <w:tabs>
          <w:tab w:leader="none" w:pos="29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 The Company also has credit protection within various agreements to call on additional collateral support if and when necessary. Cash margin is collected and held at the Company to cover the credit risk of the counterparty until positions settle.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74" w:name="page75"/>
    <w:bookmarkEnd w:id="74"/>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As of December 31, 2025, counterparty credit exposure, excluding credit exposure from RTOs, ISOs, registered commodity exchanges and certain long-term agreements, was $1.7 billion, of which the Company held collateral (cash and letters of credit) against those positions of $408 million resulting in a net exposure of $1.3 billion. NRG periodically receives collateral from counterparties in excess of their exposure. Collateral amounts shown include such excess while net exposure shown excludes excess collateral received. Approximately 66% of the Company's exposure before collateral is expected to roll off by the end of 2027. The following table highlights the net counterparty credit exposure by industry sector and by counterparty credit quality. Net counterparty credit exposure is defined as the aggregate net asset position for NRG with counterparties where netting is permitted under the enabling agreement and includes all cash flow, mark-to-market, NPNS, and non-derivative transactions. As of December 31, 2025, the aggregate credit exposure is shown net of collateral held, and includes amounts net of receivables or payables.</w:t>
      </w:r>
    </w:p>
    <w:p>
      <w:pPr>
        <w:ind w:left="9760"/>
        <w:spacing w:after="0" w:line="189" w:lineRule="auto"/>
        <w:rPr>
          <w:sz w:val="20"/>
          <w:szCs w:val="20"/>
          <w:color w:val="auto"/>
        </w:rPr>
      </w:pPr>
      <w:r>
        <w:rPr>
          <w:rFonts w:ascii="Times New Roman" w:cs="Times New Roman" w:eastAsia="Times New Roman" w:hAnsi="Times New Roman"/>
          <w:sz w:val="14"/>
          <w:szCs w:val="14"/>
          <w:b w:val="1"/>
          <w:bCs w:val="1"/>
          <w:color w:val="auto"/>
        </w:rPr>
        <w:t xml:space="preserve">Net Exposure </w:t>
      </w:r>
      <w:r>
        <w:rPr>
          <w:rFonts w:ascii="Times New Roman" w:cs="Times New Roman" w:eastAsia="Times New Roman" w:hAnsi="Times New Roman"/>
          <w:sz w:val="18"/>
          <w:szCs w:val="18"/>
          <w:b w:val="1"/>
          <w:bCs w:val="1"/>
          <w:color w:val="auto"/>
          <w:vertAlign w:val="superscript"/>
        </w:rPr>
        <w:t>(a) (b)</w:t>
      </w:r>
    </w:p>
    <w:p>
      <w:pPr>
        <w:ind w:left="20"/>
        <w:spacing w:after="0"/>
        <w:tabs>
          <w:tab w:leader="none" w:pos="9920" w:val="left"/>
        </w:tabs>
        <w:rPr>
          <w:sz w:val="20"/>
          <w:szCs w:val="20"/>
          <w:color w:val="auto"/>
        </w:rPr>
      </w:pPr>
      <w:r>
        <w:rPr>
          <w:rFonts w:ascii="Times New Roman" w:cs="Times New Roman" w:eastAsia="Times New Roman" w:hAnsi="Times New Roman"/>
          <w:sz w:val="14"/>
          <w:szCs w:val="14"/>
          <w:b w:val="1"/>
          <w:bCs w:val="1"/>
          <w:u w:val="single" w:color="auto"/>
          <w:color w:val="auto"/>
        </w:rPr>
        <w:t>Category</w:t>
      </w:r>
      <w:r>
        <w:rPr>
          <w:sz w:val="20"/>
          <w:szCs w:val="20"/>
          <w:color w:val="auto"/>
        </w:rPr>
        <w:tab/>
      </w:r>
      <w:r>
        <w:rPr>
          <w:rFonts w:ascii="Times New Roman" w:cs="Times New Roman" w:eastAsia="Times New Roman" w:hAnsi="Times New Roman"/>
          <w:sz w:val="14"/>
          <w:szCs w:val="14"/>
          <w:b w:val="1"/>
          <w:bCs w:val="1"/>
          <w:color w:val="auto"/>
        </w:rPr>
        <w:t>(% of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110730" cy="1504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10730" cy="15049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Utilities, energy merchants, marketers and other</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Financial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10730" cy="1670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10730" cy="167005"/>
                    </a:xfrm>
                    <a:prstGeom prst="rect">
                      <a:avLst/>
                    </a:prstGeom>
                    <a:noFill/>
                  </pic:spPr>
                </pic:pic>
              </a:graphicData>
            </a:graphic>
          </wp:anchor>
        </w:drawing>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320" w:hanging="227"/>
        <w:spacing w:after="0"/>
        <w:tabs>
          <w:tab w:leader="none" w:pos="3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44" w:lineRule="exact"/>
        <w:rPr>
          <w:rFonts w:ascii="Times New Roman" w:cs="Times New Roman" w:eastAsia="Times New Roman" w:hAnsi="Times New Roman"/>
          <w:sz w:val="16"/>
          <w:szCs w:val="16"/>
          <w:color w:val="auto"/>
        </w:rPr>
      </w:pPr>
    </w:p>
    <w:p>
      <w:pPr>
        <w:spacing w:after="0"/>
        <w:tabs>
          <w:tab w:leader="none" w:pos="0" w:val="left"/>
        </w:tabs>
        <w:numPr>
          <w:ilvl w:val="0"/>
          <w:numId w:val="50"/>
        </w:numPr>
        <w:rPr>
          <w:rFonts w:ascii="Times New Roman" w:cs="Times New Roman" w:eastAsia="Times New Roman" w:hAnsi="Times New Roman"/>
          <w:sz w:val="18"/>
          <w:szCs w:val="18"/>
          <w:color w:val="auto"/>
        </w:r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53340</wp:posOffset>
            </wp:positionV>
            <wp:extent cx="11449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44905" cy="8255"/>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10000" w:space="720"/>
            <w:col w:w="520"/>
          </w:cols>
          <w:pgMar w:left="320" w:top="87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180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 xml:space="preserve">Net Exposure </w:t>
            </w:r>
            <w:r>
              <w:rPr>
                <w:rFonts w:ascii="Times New Roman" w:cs="Times New Roman" w:eastAsia="Times New Roman" w:hAnsi="Times New Roman"/>
                <w:sz w:val="18"/>
                <w:szCs w:val="18"/>
                <w:b w:val="1"/>
                <w:bCs w:val="1"/>
                <w:color w:val="auto"/>
                <w:vertAlign w:val="superscript"/>
              </w:rPr>
              <w:t>(a) (b)</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380" w:type="dxa"/>
            <w:vAlign w:val="bottom"/>
            <w:gridSpan w:val="2"/>
            <w:vMerge w:val="continue"/>
          </w:tcPr>
          <w:p>
            <w:pPr>
              <w:spacing w:after="0"/>
              <w:rPr>
                <w:sz w:val="12"/>
                <w:szCs w:val="12"/>
                <w:color w:val="auto"/>
              </w:rPr>
            </w:pPr>
          </w:p>
        </w:tc>
        <w:tc>
          <w:tcPr>
            <w:tcW w:w="1800" w:type="dxa"/>
            <w:vAlign w:val="bottom"/>
          </w:tcPr>
          <w:p>
            <w:pPr>
              <w:jc w:val="right"/>
              <w:ind w:right="459"/>
              <w:spacing w:after="0" w:line="145"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560" w:type="dxa"/>
            <w:vAlign w:val="bottom"/>
            <w:tcBorders>
              <w:top w:val="single" w:sz="8" w:color="auto"/>
              <w:bottom w:val="single" w:sz="8" w:color="CCEEFF"/>
            </w:tcBorders>
          </w:tcPr>
          <w:p>
            <w:pPr>
              <w:spacing w:after="0"/>
              <w:rPr>
                <w:sz w:val="2"/>
                <w:szCs w:val="2"/>
                <w:color w:val="auto"/>
              </w:rPr>
            </w:pPr>
          </w:p>
        </w:tc>
        <w:tc>
          <w:tcPr>
            <w:tcW w:w="88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grade</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tcPr>
          <w:p>
            <w:pPr>
              <w:spacing w:after="0"/>
              <w:rPr>
                <w:sz w:val="19"/>
                <w:szCs w:val="19"/>
                <w:color w:val="auto"/>
              </w:rPr>
            </w:pPr>
          </w:p>
        </w:tc>
        <w:tc>
          <w:tcPr>
            <w:tcW w:w="9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Non-Investment grade/Non-Rated</w:t>
            </w:r>
          </w:p>
        </w:tc>
        <w:tc>
          <w:tcPr>
            <w:tcW w:w="18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93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8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320" w:hanging="315"/>
        <w:spacing w:after="0"/>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Counterparty credit exposure excludes coal transportation contracts because of the unavailability of market prices</w:t>
      </w:r>
    </w:p>
    <w:p>
      <w:pPr>
        <w:spacing w:after="0" w:line="21"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figures in the tables above exclude potential counterparty credit exposure related to RTOs, ISOs, registered commodity exchanges and certain long-term contracts</w:t>
      </w:r>
    </w:p>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had no exposure to wholesale counterparties in excess of 10% of the total Net Exposure discussed above as of December 31, 2025.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hedge positions and market prices will affect credit exposure and counterparty concentration.</w:t>
      </w:r>
    </w:p>
    <w:p>
      <w:pPr>
        <w:spacing w:after="0" w:line="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RTOs and ISOs</w:t>
      </w:r>
    </w:p>
    <w:p>
      <w:pPr>
        <w:spacing w:after="0" w:line="11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Company participates in the organized markets of CAISO, ERCOT, AESO, IESO, ISO-NE, MISO, NYISO and PJM, known as RTOs or ISOs. Trading in the majority of these markets is approved by FERC, whereas in the case of ERCOT, it is approved by the PUCT, and whereas in the case of AESO and IESO, both exist provincially with AESO primarily subject to Alberta Utilities Commission and the IESO subject to the Ontario Energy Board. These ISOs may include credit policies that, under certain circumstances, require that losses arising from the default of one member on spot market transactions be shared by the remaining participants. As a result, the counterparty credit risk to these markets is limited to NRG’s share of the overall market and are excluded from the above exposures.</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Exchange Traded Transactions</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 enters into commodity transactions on registered exchanges, notably ICE, NYMEX and Nodal. These clearinghouses act as the counterparty and transactions are subject to extensive collateral and margining requirements. As a result, these commodity transactions have limited counterparty credit risk.</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Long-Term Contracts</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Counterparty credit exposure described above excludes credit risk exposure under certain long-term contracts, primarily solar under Renewable PPAs. As external sources or observable market quotes are not available to estimate such exposure, the Company values these contracts based on various techniques including, but not limited to, internal models based on a fundamental analysis of the market and extrapolation of observable market data with similar characteristics. Based on these valuation techniques, as of December 31, 2025, aggregate credit risk exposure managed by NRG to these counterparties was approximately $789 million for the next five years.</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Retail Customer Credit Risk</w:t>
      </w:r>
    </w:p>
    <w:p>
      <w:pPr>
        <w:spacing w:after="0" w:line="1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NRG is exposed to retail credit risk through the Company's retail electricity and gas providers as well as through Vivint Smart Home. Retail credit risk results in losses when a customer fails to pay for services rendered. The losses may result from both nonpayment of customer accounts receivable and the loss of in-the-money forward value. The Company manages retail credit risk through the use of established credit policies, which include monitoring of the portfolio and the use of credit mitigation measures such as deposits or prepayment arrangements.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type w:val="continuous"/>
        </w:sectPr>
      </w:pPr>
    </w:p>
    <w:bookmarkStart w:id="75" w:name="page76"/>
    <w:bookmarkEnd w:id="75"/>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As of December 31, 2025, the Company's retail customer credit exposure to Home and Business customers was diversified across many customers and various industries, as well as government entities. Current economic conditions may affect the Company's customers' ability to pay bills in a timely manner, which could increase customer delinquencies and may lead to an increase in credit losses. The Company's provision for credit losses resulting from credit risk was $272 million, $314 million and $251 million for the years ended December 31, 2025, 2024 and 2023, respectively.</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Liquidity risk arises from the general funding needs of the Company's activities and the management of the Company's assets and liabilities. The Company is currently exposed to additional collateral posting if natural gas prices decline, primarily due to the long natural gas equivalent position at various exchanges used to hedge NRG's retail supply load obligations.</w:t>
      </w:r>
    </w:p>
    <w:p>
      <w:pPr>
        <w:spacing w:after="0" w:line="7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Based on a sensitivity analysis for power and gas positions under marginable contracts as of December 31, 2025, a $0.50 per MMBtu decrease in natural gas prices across the term of the marginable contracts would cause an increase in margin collateral posted of approximately $1.4 billion and a 1.00 MMBtu/MWh decrease in heat rates for heat rate positions would result in an increase in margin collateral posted of approximately $503 million. This analysis uses simplified assumptions and is calculated based on portfolio composition and margin-related contract provisions as of December 31, 2025.</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1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NRG is exposed to fluctuations in interest rates through its issuance of debt. Exposures to interest rate fluctuations may be mitigated by entering into derivative instruments known as interest rate swaps, treasury locks, caps, collars and put or call options. These contracts reduce exposure to interest rate volatility when taking into account the combinations of the debt and the interest rate derivative instrument. NRG's risk management policies allow the Company to reduce interest rate exposure. As of December 31, 2025, the Company had $700 million of interest rate swaps extending through 2029 to mitigate the risk of the floating rate of the Term Loan B.</w:t>
      </w:r>
    </w:p>
    <w:p>
      <w:pPr>
        <w:spacing w:after="0" w:line="8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NRG has both short and long-term debt instruments that subject the Company to the risk of loss associated with movements in market interest rates. As of December 31, 2025, a 1% change in variable interest rates would result in a $16 million change in interest expense on a rolling twelve-month basis.</w:t>
      </w:r>
    </w:p>
    <w:p>
      <w:pPr>
        <w:spacing w:after="0" w:line="6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As of December 31, 2025, the Company's debt fair value was $16.4 billion and carrying value was $16.6 billion. NRG estimates that a 1% decrease in market interest rates would have increased the fair value of the Company's long-term debt by $843 million.</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Risk</w:t>
      </w:r>
    </w:p>
    <w:p>
      <w:pPr>
        <w:spacing w:after="0" w:line="113"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NRG is subject to transactional exchange rate risk from transactions with customers in countries outside of the U.S., primarily within Canada, as well as from intercompany transactions between affiliates. Transactional exchange rate risk arises from the purchase and sale of goods and services in currencies other than the Company's functional currency or the functional currency of an applicable subsidiary. NRG hedges a portion of its forecasted currency transactions with foreign exchange forward contracts. As of December 31, 2025, NRG is exposed to changes in foreign currency primarily associated with the purchase of U.S. dollar denominated natural gas for its Canadian business and entered into foreign exchange contracts with a notional amount of $437 million.</w:t>
      </w:r>
    </w:p>
    <w:p>
      <w:pPr>
        <w:spacing w:after="0" w:line="5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Company is subject to translation exchange rate risk related to the translation of the financial statements of its foreign operations into U.S. dollars. Costs incurred and sales recorded by subsidiaries operating outside of the U.S. are translated into U.S. dollars using exchange rates effective during the respective period. As a result, the Company is exposed to movements in the exchange rates of various currencies against the U.S. dollar, primarily the Canadian and Australian dollars. A hypothetical 10% appreciation in major currencies relative to the U.S. dollar as of December 31, 2025, would have resulted in a decrease of $3 million to net income within the Consolidated Statement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 Financial Statements and Supplementary Data</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financial statements and schedules are included in Part IV, Item 15 of this Annual Report on Form 10-K.</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 Changes in and Disagreements With Accountants on Accounting and Financial Disclosure</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Item 9A — Controls and Procedures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 and Internal Control Over Financial Reporting</w:t>
      </w:r>
    </w:p>
    <w:p>
      <w:pPr>
        <w:spacing w:after="0" w:line="111"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Under the supervision and with the participation of NRG's management, including its principal executive officer, principal financial officer and principal accounting officer, NRG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Annual Report on Form 10-K. Management's report on the Company's internal control over financial reporting and the report of the Company's independent registered public accounting firm are incorporated under the caption "Management's Report on Internal Control over Financial Reporting" and under the caption "Report of Independent Registered Public Accounting Firm" in this Annual Report on Form 10-K for the fiscal year ended December 31, 2025.</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There were no changes in NRG’s internal control over financial reporting (as such term is defined in Rule 13a-15(f) under the Exchange Act) that occurred in the fourth quarter of 2025 that materially affected, or are reasonably likely to materially affect, NRG’s internal control over financial reporting.</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over Internal Controls</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NRG's internal control over financial reporting is designed to provide reasonable assurance regarding the reliability of financial reporting and the preparation of consolidated financial statements for external purposes in accordance with GAAP. The Company's internal control over financial reporting includes those policies and procedures that:</w:t>
      </w:r>
    </w:p>
    <w:p>
      <w:pPr>
        <w:spacing w:after="0" w:line="75" w:lineRule="exact"/>
        <w:rPr>
          <w:sz w:val="20"/>
          <w:szCs w:val="20"/>
          <w:color w:val="auto"/>
        </w:rPr>
      </w:pPr>
    </w:p>
    <w:p>
      <w:pPr>
        <w:ind w:left="640" w:hanging="319"/>
        <w:spacing w:after="0"/>
        <w:tabs>
          <w:tab w:leader="none" w:pos="64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Pertain to the maintenance of records that, in reasonable detail, accurately and fairly reflect the transactions and dispositions of the Company's assets;</w:t>
      </w:r>
    </w:p>
    <w:p>
      <w:pPr>
        <w:spacing w:after="0" w:line="79" w:lineRule="exact"/>
        <w:rPr>
          <w:rFonts w:ascii="Times New Roman" w:cs="Times New Roman" w:eastAsia="Times New Roman" w:hAnsi="Times New Roman"/>
          <w:sz w:val="16"/>
          <w:szCs w:val="16"/>
          <w:color w:val="auto"/>
        </w:rPr>
      </w:pPr>
    </w:p>
    <w:p>
      <w:pPr>
        <w:ind w:left="640" w:hanging="319"/>
        <w:spacing w:after="0" w:line="308" w:lineRule="auto"/>
        <w:tabs>
          <w:tab w:leader="none" w:pos="64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reasonable assurance that transactions are recorded as necessary to permit preparation of consolidated financial statements in accordance with GAAP, and that the Company's receipts and expenditures are being made only in accordance with authorizations of its management and directors; and</w:t>
      </w:r>
    </w:p>
    <w:p>
      <w:pPr>
        <w:spacing w:after="0" w:line="1" w:lineRule="exact"/>
        <w:rPr>
          <w:rFonts w:ascii="Times New Roman" w:cs="Times New Roman" w:eastAsia="Times New Roman" w:hAnsi="Times New Roman"/>
          <w:sz w:val="16"/>
          <w:szCs w:val="16"/>
          <w:color w:val="auto"/>
        </w:rPr>
      </w:pPr>
    </w:p>
    <w:p>
      <w:pPr>
        <w:ind w:left="640" w:hanging="319"/>
        <w:spacing w:after="0" w:line="268"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consolidated financial statements.</w:t>
      </w:r>
    </w:p>
    <w:p>
      <w:pPr>
        <w:spacing w:after="0" w:line="11"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Internal control over financial reporting cannot provide absolute assurance of achieving financial reporting objectives because of its inherent limitations, including the possibility of human error and circumvention by collusion or overriding of controls. Accordingly, even an effective internal control system may not prevent or detect material misstatements on a timely basis.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1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establishing and maintaining adequate internal control over financial reporting, as such term is defined in Exchange Act Rule 13a-15(f). Under the supervision and with the participation of the Company's management, including its principal executive officer, principal financial officer and principal accounting officer, the Company conducted an evaluation of the effectiveness of its internal control over financial reporting based on the framework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the Company's evaluation under the framework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the Company's management concluded that its internal control over financial reporting was effective as of December 31, 2025.</w:t>
      </w:r>
    </w:p>
    <w:p>
      <w:pPr>
        <w:spacing w:after="0" w:line="8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2025 has been audited by KPMG LLP, the Company's independent registered public accounting firm, as stated in its report which is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77" w:name="page78"/>
    <w:bookmarkEnd w:id="77"/>
    <w:p>
      <w:pPr>
        <w:ind w:left="26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NRG Energy, Inc.:</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have audited NRG Energy, Inc. and subsidiaries' (the Company)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income/(loss), stockholders’ equity, and cash flows for each of the years in the three-year period ended December 31, 2025, and the related notes and financial statement schedule II (collectively, the consolidated financial statements), and our report dated February 24, 2026 expressed an unqualified opinion on those consolidated financial statements.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1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Item 9B — Other Information</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Trading Arrangements</w:t>
      </w:r>
    </w:p>
    <w:p>
      <w:pPr>
        <w:spacing w:after="0" w:line="113"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During the three months ended December 31, 2025, no director or officer of the Company adopted or terminated a 'Rule 10b5-1 trading arrangement' or 'non-Rule 10b5-1 trading arrangement,' as each term is defined in Item 408(a) of Regulation S-K.</w:t>
      </w:r>
    </w:p>
    <w:p>
      <w:pPr>
        <w:spacing w:after="0" w:line="62" w:lineRule="exact"/>
        <w:rPr>
          <w:sz w:val="20"/>
          <w:szCs w:val="20"/>
          <w:color w:val="auto"/>
        </w:rPr>
      </w:pPr>
    </w:p>
    <w:p>
      <w:pPr>
        <w:ind w:right="5260"/>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Item 9C —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 Directors, Executive Officers and Corporate Governance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the similarly named section of NRG's Definitive Proxy Statement for its 2026 Annual Meeting of Stockholders.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NRG has adopted a code of ethics entitled "NRG Code of Conduct" that applies to directors, officers and employees, including the chief executive officer and senior financial officers of NRG. It may be accessed through the "Governance" section of the Company's website at www.nrg.com. NRG also elects to disclose the information required by Form 8-K, Item 5.05, "Amendments to the Registrant's Code of Ethics, or Waiver of a Provision of the Code of Ethics," through the Company's website, and such information will remain available on this website for at least a 12-month period. A copy of the "NRG Code of Conduct" is available in print to any stockholder who requests it.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 and Policies</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Company has adopted a Securities Trading and Non-Disclosure Policy (the “Insider Trading Policy”) governing the purchase, sale, and other dispositions of its securities by its directors, officers, employees, and other covered personnel. It also follows procedures for the repurchase of its securities. NRG believes that its Insider Trading Policy and repurchase procedures are reasonably designed to promote compliance with insider trading laws, rules and regulations, and the exchange listing standards applicable to the Company. A copy of NRG’s Insider Trading Policy, including any amendments thereto, is filed as Exhibit 19.1 to this Annual Report on Form 10-K.</w:t>
      </w:r>
    </w:p>
    <w:p>
      <w:pPr>
        <w:spacing w:after="0" w:line="80" w:lineRule="exact"/>
        <w:rPr>
          <w:sz w:val="20"/>
          <w:szCs w:val="20"/>
          <w:color w:val="auto"/>
        </w:rPr>
      </w:pPr>
    </w:p>
    <w:p>
      <w:pPr>
        <w:jc w:val="both"/>
        <w:ind w:firstLine="395"/>
        <w:spacing w:after="0" w:line="254" w:lineRule="auto"/>
        <w:rPr>
          <w:sz w:val="20"/>
          <w:szCs w:val="20"/>
          <w:color w:val="auto"/>
        </w:rPr>
      </w:pPr>
      <w:r>
        <w:rPr>
          <w:rFonts w:ascii="Times New Roman" w:cs="Times New Roman" w:eastAsia="Times New Roman" w:hAnsi="Times New Roman"/>
          <w:sz w:val="18"/>
          <w:szCs w:val="18"/>
          <w:color w:val="auto"/>
        </w:rPr>
        <w:t>Other information required by this Item is incorporated by reference to the similarly named section of NRG's Definitive Proxy Statement for its 2026 Annual Meeting of Stockholders.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 Executive Compensation</w:t>
      </w:r>
    </w:p>
    <w:p>
      <w:pPr>
        <w:spacing w:after="0" w:line="91" w:lineRule="exact"/>
        <w:rPr>
          <w:sz w:val="20"/>
          <w:szCs w:val="20"/>
          <w:color w:val="auto"/>
        </w:rPr>
      </w:pPr>
    </w:p>
    <w:p>
      <w:pPr>
        <w:jc w:val="both"/>
        <w:ind w:firstLine="395"/>
        <w:spacing w:after="0" w:line="254"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the similarly named section of NRG's Definitive Proxy Statement for its 2026 Annual Meeting of Stockholders.</w:t>
      </w:r>
    </w:p>
    <w:p>
      <w:pPr>
        <w:spacing w:after="0" w:line="1" w:lineRule="exact"/>
        <w:rPr>
          <w:sz w:val="20"/>
          <w:szCs w:val="20"/>
          <w:color w:val="auto"/>
        </w:rPr>
      </w:pPr>
    </w:p>
    <w:p>
      <w:pPr>
        <w:ind w:right="2800"/>
        <w:spacing w:after="0" w:line="344" w:lineRule="auto"/>
        <w:rPr>
          <w:sz w:val="20"/>
          <w:szCs w:val="20"/>
          <w:color w:val="auto"/>
        </w:rPr>
      </w:pPr>
      <w:r>
        <w:rPr>
          <w:rFonts w:ascii="Times New Roman" w:cs="Times New Roman" w:eastAsia="Times New Roman" w:hAnsi="Times New Roman"/>
          <w:sz w:val="18"/>
          <w:szCs w:val="18"/>
          <w:b w:val="1"/>
          <w:bCs w:val="1"/>
          <w:color w:val="auto"/>
        </w:rPr>
        <w:t>Item 12 — Security Ownership of Certain Beneficial Owners and Management and Related Stockholder Matters Securities Authorized for Issuance under Equity Compensation Plans</w:t>
      </w: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gridSpan w:val="2"/>
          </w:tcPr>
          <w:p>
            <w:pPr>
              <w:jc w:val="center"/>
              <w:ind w:right="272"/>
              <w:spacing w:after="0" w:line="146" w:lineRule="exact"/>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gridSpan w:val="2"/>
          </w:tcPr>
          <w:p>
            <w:pPr>
              <w:jc w:val="center"/>
              <w:ind w:right="252"/>
              <w:spacing w:after="0" w:line="143" w:lineRule="exact"/>
              <w:rPr>
                <w:sz w:val="20"/>
                <w:szCs w:val="20"/>
                <w:color w:val="auto"/>
              </w:rPr>
            </w:pPr>
            <w:r>
              <w:rPr>
                <w:rFonts w:ascii="Times New Roman" w:cs="Times New Roman" w:eastAsia="Times New Roman" w:hAnsi="Times New Roman"/>
                <w:sz w:val="14"/>
                <w:szCs w:val="14"/>
                <w:b w:val="1"/>
                <w:bCs w:val="1"/>
                <w:color w:val="auto"/>
                <w:w w:val="99"/>
              </w:rPr>
              <w:t>Number of Securities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8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2240" w:type="dxa"/>
            <w:vAlign w:val="bottom"/>
            <w:gridSpan w:val="2"/>
          </w:tcPr>
          <w:p>
            <w:pPr>
              <w:jc w:val="center"/>
              <w:ind w:right="252"/>
              <w:spacing w:after="0" w:line="133"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8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2240" w:type="dxa"/>
            <w:vAlign w:val="bottom"/>
            <w:gridSpan w:val="2"/>
          </w:tcPr>
          <w:p>
            <w:pPr>
              <w:jc w:val="center"/>
              <w:ind w:right="252"/>
              <w:spacing w:after="0" w:line="143"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8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2"/>
          </w:tcPr>
          <w:p>
            <w:pPr>
              <w:jc w:val="center"/>
              <w:ind w:right="4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Weighted-Average Exercise</w:t>
            </w:r>
          </w:p>
        </w:tc>
        <w:tc>
          <w:tcPr>
            <w:tcW w:w="2240" w:type="dxa"/>
            <w:vAlign w:val="bottom"/>
            <w:gridSpan w:val="2"/>
          </w:tcPr>
          <w:p>
            <w:pPr>
              <w:jc w:val="center"/>
              <w:ind w:right="272"/>
              <w:spacing w:after="0" w:line="145" w:lineRule="exact"/>
              <w:rPr>
                <w:sz w:val="20"/>
                <w:szCs w:val="20"/>
                <w:color w:val="auto"/>
              </w:rPr>
            </w:pPr>
            <w:r>
              <w:rPr>
                <w:rFonts w:ascii="Times New Roman" w:cs="Times New Roman" w:eastAsia="Times New Roman" w:hAnsi="Times New Roman"/>
                <w:sz w:val="14"/>
                <w:szCs w:val="14"/>
                <w:b w:val="1"/>
                <w:bCs w:val="1"/>
                <w:color w:val="auto"/>
              </w:rPr>
              <w:t>Under Equity Compensation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8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7"/>
              </w:rPr>
              <w:t>Exercise of</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gridSpan w:val="2"/>
          </w:tcPr>
          <w:p>
            <w:pPr>
              <w:jc w:val="center"/>
              <w:ind w:right="460"/>
              <w:spacing w:after="0" w:line="133" w:lineRule="exact"/>
              <w:rPr>
                <w:sz w:val="20"/>
                <w:szCs w:val="20"/>
                <w:color w:val="auto"/>
              </w:rPr>
            </w:pPr>
            <w:r>
              <w:rPr>
                <w:rFonts w:ascii="Times New Roman" w:cs="Times New Roman" w:eastAsia="Times New Roman" w:hAnsi="Times New Roman"/>
                <w:sz w:val="14"/>
                <w:szCs w:val="14"/>
                <w:b w:val="1"/>
                <w:bCs w:val="1"/>
                <w:color w:val="auto"/>
                <w:w w:val="99"/>
              </w:rPr>
              <w:t>Price of Outstanding</w:t>
            </w:r>
          </w:p>
        </w:tc>
        <w:tc>
          <w:tcPr>
            <w:tcW w:w="2240" w:type="dxa"/>
            <w:vAlign w:val="bottom"/>
            <w:gridSpan w:val="2"/>
          </w:tcPr>
          <w:p>
            <w:pPr>
              <w:jc w:val="center"/>
              <w:ind w:right="252"/>
              <w:spacing w:after="0" w:line="133"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8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Outstanding Options,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2"/>
          </w:tcPr>
          <w:p>
            <w:pPr>
              <w:jc w:val="center"/>
              <w:ind w:right="480"/>
              <w:spacing w:after="0" w:line="143" w:lineRule="exact"/>
              <w:rPr>
                <w:sz w:val="20"/>
                <w:szCs w:val="20"/>
                <w:color w:val="auto"/>
              </w:rPr>
            </w:pPr>
            <w:r>
              <w:rPr>
                <w:rFonts w:ascii="Times New Roman" w:cs="Times New Roman" w:eastAsia="Times New Roman" w:hAnsi="Times New Roman"/>
                <w:sz w:val="14"/>
                <w:szCs w:val="14"/>
                <w:b w:val="1"/>
                <w:bCs w:val="1"/>
                <w:color w:val="auto"/>
                <w:w w:val="99"/>
              </w:rPr>
              <w:t>Options, Warrants and</w:t>
            </w:r>
          </w:p>
        </w:tc>
        <w:tc>
          <w:tcPr>
            <w:tcW w:w="2240" w:type="dxa"/>
            <w:vAlign w:val="bottom"/>
            <w:gridSpan w:val="2"/>
          </w:tcPr>
          <w:p>
            <w:pPr>
              <w:jc w:val="center"/>
              <w:ind w:right="252"/>
              <w:spacing w:after="0" w:line="143"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480" w:type="dxa"/>
            <w:vAlign w:val="bottom"/>
            <w:gridSpan w:val="2"/>
            <w:vMerge w:val="continue"/>
          </w:tcPr>
          <w:p>
            <w:pPr>
              <w:spacing w:after="0"/>
              <w:rPr>
                <w:sz w:val="12"/>
                <w:szCs w:val="12"/>
                <w:color w:val="auto"/>
              </w:rPr>
            </w:pPr>
          </w:p>
        </w:tc>
        <w:tc>
          <w:tcPr>
            <w:tcW w:w="18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2"/>
          </w:tcPr>
          <w:p>
            <w:pPr>
              <w:jc w:val="center"/>
              <w:ind w:right="460"/>
              <w:spacing w:after="0" w:line="125" w:lineRule="exact"/>
              <w:rPr>
                <w:sz w:val="20"/>
                <w:szCs w:val="20"/>
                <w:color w:val="auto"/>
              </w:rPr>
            </w:pPr>
            <w:r>
              <w:rPr>
                <w:rFonts w:ascii="Times New Roman" w:cs="Times New Roman" w:eastAsia="Times New Roman" w:hAnsi="Times New Roman"/>
                <w:sz w:val="14"/>
                <w:szCs w:val="14"/>
                <w:b w:val="1"/>
                <w:bCs w:val="1"/>
                <w:color w:val="auto"/>
              </w:rPr>
              <w:t>Rights</w:t>
            </w:r>
          </w:p>
        </w:tc>
        <w:tc>
          <w:tcPr>
            <w:tcW w:w="2240" w:type="dxa"/>
            <w:vAlign w:val="bottom"/>
            <w:gridSpan w:val="2"/>
          </w:tcPr>
          <w:p>
            <w:pPr>
              <w:jc w:val="center"/>
              <w:ind w:right="272"/>
              <w:spacing w:after="0" w:line="125" w:lineRule="exact"/>
              <w:rPr>
                <w:sz w:val="20"/>
                <w:szCs w:val="20"/>
                <w:color w:val="auto"/>
              </w:rPr>
            </w:pPr>
            <w:r>
              <w:rPr>
                <w:rFonts w:ascii="Times New Roman" w:cs="Times New Roman" w:eastAsia="Times New Roman" w:hAnsi="Times New Roman"/>
                <w:sz w:val="14"/>
                <w:szCs w:val="14"/>
                <w:b w:val="1"/>
                <w:bCs w:val="1"/>
                <w:color w:val="auto"/>
              </w:rPr>
              <w:t>in Column (a))</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860" w:type="dxa"/>
            <w:vAlign w:val="bottom"/>
            <w:tcBorders>
              <w:top w:val="single" w:sz="8" w:color="auto"/>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2,828,281</w:t>
            </w:r>
          </w:p>
        </w:tc>
        <w:tc>
          <w:tcPr>
            <w:tcW w:w="3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95"/>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12,932,953</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1,312,244</w:t>
            </w:r>
          </w:p>
        </w:tc>
        <w:tc>
          <w:tcPr>
            <w:tcW w:w="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5"/>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5"/>
              <w:spacing w:after="0"/>
              <w:rPr>
                <w:sz w:val="20"/>
                <w:szCs w:val="20"/>
                <w:color w:val="auto"/>
              </w:rPr>
            </w:pPr>
            <w:r>
              <w:rPr>
                <w:rFonts w:ascii="Times New Roman" w:cs="Times New Roman" w:eastAsia="Times New Roman" w:hAnsi="Times New Roman"/>
                <w:sz w:val="18"/>
                <w:szCs w:val="18"/>
                <w:color w:val="auto"/>
              </w:rPr>
              <w:t>12,893,481</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448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4,140,525</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25,826,434</w:t>
            </w:r>
          </w:p>
        </w:tc>
        <w:tc>
          <w:tcPr>
            <w:tcW w:w="340" w:type="dxa"/>
            <w:vAlign w:val="bottom"/>
            <w:tcBorders>
              <w:top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95"/>
              </w:rPr>
              <w:t>(3)</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20" w:hanging="315"/>
        <w:spacing w:after="0"/>
        <w:tabs>
          <w:tab w:leader="none" w:pos="3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Consists of shares issuable under the NRG LTIP. See Item 15 — Note 20, </w:t>
      </w:r>
      <w:r>
        <w:rPr>
          <w:rFonts w:ascii="Times New Roman" w:cs="Times New Roman" w:eastAsia="Times New Roman" w:hAnsi="Times New Roman"/>
          <w:sz w:val="14"/>
          <w:szCs w:val="14"/>
          <w:i w:val="1"/>
          <w:iCs w:val="1"/>
          <w:color w:val="auto"/>
        </w:rPr>
        <w:t>Stock-Based Compensation</w:t>
      </w:r>
      <w:r>
        <w:rPr>
          <w:rFonts w:ascii="Times New Roman" w:cs="Times New Roman" w:eastAsia="Times New Roman" w:hAnsi="Times New Roman"/>
          <w:sz w:val="14"/>
          <w:szCs w:val="14"/>
          <w:color w:val="auto"/>
        </w:rPr>
        <w:t xml:space="preserve"> for a discussion of the NRG LTIP</w:t>
      </w:r>
    </w:p>
    <w:p>
      <w:pPr>
        <w:spacing w:after="0" w:line="14" w:lineRule="exact"/>
        <w:rPr>
          <w:rFonts w:ascii="Times New Roman" w:cs="Times New Roman" w:eastAsia="Times New Roman" w:hAnsi="Times New Roman"/>
          <w:sz w:val="14"/>
          <w:szCs w:val="14"/>
          <w:color w:val="auto"/>
        </w:rPr>
      </w:pPr>
    </w:p>
    <w:p>
      <w:pPr>
        <w:jc w:val="both"/>
        <w:ind w:left="320" w:hanging="315"/>
        <w:spacing w:after="0" w:line="252" w:lineRule="auto"/>
        <w:tabs>
          <w:tab w:leader="none" w:pos="31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Consists of shares issuable under the Vivint LTIP. On March 10, 2023, in connection with the acquisition of Vivint Smart Home, NRG assumed the Vivint LTIP. While the Vivint LTIP was previously approved by stockholders of Vivint Smart Home, Inc., the plan is listed as "not approved" because it was assumed as part of the acquisition of Vivint Smart Home and not subject to approval by NRG stockholders. See Item 15 — Note 20, </w:t>
      </w:r>
      <w:r>
        <w:rPr>
          <w:rFonts w:ascii="Times New Roman" w:cs="Times New Roman" w:eastAsia="Times New Roman" w:hAnsi="Times New Roman"/>
          <w:sz w:val="14"/>
          <w:szCs w:val="14"/>
          <w:i w:val="1"/>
          <w:iCs w:val="1"/>
          <w:color w:val="auto"/>
        </w:rPr>
        <w:t>Stock-Based Compensation</w:t>
      </w:r>
      <w:r>
        <w:rPr>
          <w:rFonts w:ascii="Times New Roman" w:cs="Times New Roman" w:eastAsia="Times New Roman" w:hAnsi="Times New Roman"/>
          <w:sz w:val="14"/>
          <w:szCs w:val="14"/>
          <w:color w:val="auto"/>
        </w:rPr>
        <w:t xml:space="preserve"> for a discussion of the Vivint LTIP</w:t>
      </w:r>
    </w:p>
    <w:p>
      <w:pPr>
        <w:spacing w:after="0" w:line="2" w:lineRule="exact"/>
        <w:rPr>
          <w:rFonts w:ascii="Times New Roman" w:cs="Times New Roman" w:eastAsia="Times New Roman" w:hAnsi="Times New Roman"/>
          <w:sz w:val="14"/>
          <w:szCs w:val="14"/>
          <w:color w:val="auto"/>
        </w:rPr>
      </w:pPr>
    </w:p>
    <w:p>
      <w:pPr>
        <w:ind w:left="320" w:hanging="315"/>
        <w:spacing w:after="0" w:line="270" w:lineRule="auto"/>
        <w:tabs>
          <w:tab w:leader="none" w:pos="31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6,648,805 shares of common stock under the NRG LTIP, 12,893,481 shares of common stock under the Vivint LTIP and 6,284,148 shares of treasury stock reserved for issuance under the ESPP</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80" w:name="page81"/>
    <w:bookmarkEnd w:id="80"/>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LTIPs currently provides for grants of restricted stock units, relative performance stock units, deferred stock units and dividend equivalent rights. The Company's directors, officers and employees, as well as other individuals performing services for, or to whom an offer of employment has been extended by the Company, are eligible to receive grants under one or both of the LTIPs. The purpose of the LTIPs is to promote the Company's long-term growth and profitability by providing these individuals with incentives to maximize stockholder value and otherwise contribute to the Company's success and to enable the Company to attract, retain and reward the best available persons for positions of responsibility. The Compensation Committee of the Board of Directors administers the LTIPs.</w:t>
      </w:r>
    </w:p>
    <w:p>
      <w:pPr>
        <w:spacing w:after="0" w:line="8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Other information required by this Item is incorporated by reference to the similarly named section of NRG's Definitive Proxy Statement for its 2026 Annual Meeting of Stockholders.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 Certain Relationships and Related Transactions, and Director Independence</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the similarly named section of NRG's Definitive Proxy Statement for its 2026 Annual Meeting of Stockholders.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 Principal Accounting Fees and Services</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the similarly named section of NRG's Definitive Proxy Statement for its 2026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 Exhibits and Financial Statement Schedules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161" w:lineRule="exact"/>
        <w:rPr>
          <w:sz w:val="20"/>
          <w:szCs w:val="20"/>
          <w:color w:val="auto"/>
        </w:rPr>
      </w:pPr>
    </w:p>
    <w:p>
      <w:pPr>
        <w:ind w:left="960" w:hanging="236"/>
        <w:spacing w:after="0" w:line="268" w:lineRule="auto"/>
        <w:rPr>
          <w:sz w:val="20"/>
          <w:szCs w:val="20"/>
          <w:color w:val="auto"/>
        </w:rPr>
      </w:pPr>
      <w:r>
        <w:rPr>
          <w:rFonts w:ascii="Times New Roman" w:cs="Times New Roman" w:eastAsia="Times New Roman" w:hAnsi="Times New Roman"/>
          <w:sz w:val="18"/>
          <w:szCs w:val="18"/>
          <w:color w:val="auto"/>
        </w:rPr>
        <w:t>The following consolidated financial statements of NRG Energy, Inc. and related notes thereto, together with the reports thereon of KPMG LLP, Philadelphia, PA, Auditor Firm ID: 185, are included herein:</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Consolidated Statements of Operations — Years ended December 31, 2025, 2024, and 2023</w:t>
      </w:r>
    </w:p>
    <w:p>
      <w:pPr>
        <w:spacing w:after="0" w:line="16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Consolidated Statements of Comprehensive Income/(Loss) — Years ended December 31, 2025, 2024, and 2023</w:t>
      </w:r>
    </w:p>
    <w:p>
      <w:pPr>
        <w:spacing w:after="0" w:line="16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Consolidated Balance Sheets — As of December 31, 2025 and 2024</w:t>
      </w:r>
    </w:p>
    <w:p>
      <w:pPr>
        <w:spacing w:after="0" w:line="16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Consolidated Statements of Cash Flows — Years ended December 31, 2025, 2024, and 2023</w:t>
      </w:r>
    </w:p>
    <w:p>
      <w:pPr>
        <w:spacing w:after="0" w:line="16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Consolidated Statements of Stockholders' Equity — Years ended December 31, 2025, 2024, and 2023</w:t>
      </w:r>
    </w:p>
    <w:p>
      <w:pPr>
        <w:spacing w:after="0" w:line="16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(a)(2) Financial Statement Schedule</w:t>
      </w:r>
    </w:p>
    <w:p>
      <w:pPr>
        <w:spacing w:after="0" w:line="161" w:lineRule="exact"/>
        <w:rPr>
          <w:sz w:val="20"/>
          <w:szCs w:val="20"/>
          <w:color w:val="auto"/>
        </w:rPr>
      </w:pPr>
    </w:p>
    <w:p>
      <w:pPr>
        <w:ind w:left="960" w:hanging="236"/>
        <w:spacing w:after="0" w:line="268" w:lineRule="auto"/>
        <w:rPr>
          <w:sz w:val="20"/>
          <w:szCs w:val="20"/>
          <w:color w:val="auto"/>
        </w:rPr>
      </w:pPr>
      <w:r>
        <w:rPr>
          <w:rFonts w:ascii="Times New Roman" w:cs="Times New Roman" w:eastAsia="Times New Roman" w:hAnsi="Times New Roman"/>
          <w:sz w:val="18"/>
          <w:szCs w:val="18"/>
          <w:color w:val="auto"/>
        </w:rPr>
        <w:t>The following Consolidated Financial Statement Schedule of NRG Energy, Inc. is filed as part of Item 15 of this report and should be read in conjunction with the Consolidated Financial Statements.</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Schedule II — Valuation and Qualifying Accounts</w:t>
      </w:r>
    </w:p>
    <w:p>
      <w:pPr>
        <w:spacing w:after="0" w:line="161" w:lineRule="exact"/>
        <w:rPr>
          <w:sz w:val="20"/>
          <w:szCs w:val="20"/>
          <w:color w:val="auto"/>
        </w:rPr>
      </w:pPr>
    </w:p>
    <w:p>
      <w:pPr>
        <w:ind w:left="960" w:hanging="236"/>
        <w:spacing w:after="0" w:line="268" w:lineRule="auto"/>
        <w:rPr>
          <w:sz w:val="20"/>
          <w:szCs w:val="20"/>
          <w:color w:val="auto"/>
        </w:rPr>
      </w:pPr>
      <w:r>
        <w:rPr>
          <w:rFonts w:ascii="Times New Roman" w:cs="Times New Roman" w:eastAsia="Times New Roman" w:hAnsi="Times New Roman"/>
          <w:sz w:val="18"/>
          <w:szCs w:val="18"/>
          <w:color w:val="auto"/>
        </w:rPr>
        <w:t>All other schedules for which provision is made in the applicable accounting regulation of the Securities and Exchange Commission are not required under the related instructions or are inapplicable, and therefore, have been omitted.</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(a)(3) Exhibits: See Exhibit Index submitted as a separate section of this report.</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 Exhibits</w:t>
      </w:r>
    </w:p>
    <w:p>
      <w:pPr>
        <w:spacing w:after="0" w:line="16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See Exhibit Index submitted as a separate section of this report.</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 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NRG Energy, Inc.:</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5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NRG Energy, Inc. and subsidiaries (the Company) as of December 31, 2025 and 2024, the related consolidated statements of operations, comprehensive income/(loss), stockholders' equity, and cash flows for each of the years in the three-year period ended December 31, 2025, and the related notes and financial statement schedule II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24, 2026 expressed an unqualified opinion on the effectiveness of the Company's internal control over financial reporting.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Evaluation of the sufficiency of audit evidence over revenues</w:t>
      </w:r>
    </w:p>
    <w:p>
      <w:pPr>
        <w:spacing w:after="0" w:line="137"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18"/>
          <w:szCs w:val="18"/>
          <w:color w:val="auto"/>
        </w:rPr>
        <w:t>As discussed in Note 3 to the consolidated financial statements, the Company had $30,713 million of revenues. Revenue is derived from various revenue streams in different geographic markets and the Company’s processes and related information technology (IT) systems used to record revenue differ for each of these revenue streams.</w:t>
      </w:r>
    </w:p>
    <w:p>
      <w:pPr>
        <w:spacing w:after="0" w:line="114"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18"/>
          <w:szCs w:val="18"/>
          <w:color w:val="auto"/>
        </w:rPr>
        <w:t>We identified the evaluation of the sufficiency of audit evidence over revenues as a critical audit matter which required a high degree of auditor judgment due to the number of revenue streams and IT systems involved in the revenue recognition process. This included determining the revenue streams over which procedures were to be performed and evaluating the nature and extent of evidence obtained over the individual revenue streams as well as revenue in the aggregate. It also included the involvement of IT professionals with specialized skills and knowledge to assist in the performance of certain procedures.</w:t>
      </w:r>
    </w:p>
    <w:p>
      <w:pPr>
        <w:spacing w:after="0" w:line="119"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with the assistance of IT professionals, applied auditor judgment to determine the revenue streams over which procedures were performed as well as the nature and extent of such procedures. For certain revenue streams over which procedures were performed,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83" w:name="page84"/>
    <w:bookmarkEnd w:id="83"/>
    <w:p>
      <w:pPr>
        <w:jc w:val="both"/>
        <w:ind w:left="640"/>
        <w:spacing w:after="0" w:line="249" w:lineRule="auto"/>
        <w:rPr>
          <w:sz w:val="20"/>
          <w:szCs w:val="20"/>
          <w:color w:val="auto"/>
        </w:rPr>
      </w:pPr>
      <w:r>
        <w:rPr>
          <w:rFonts w:ascii="Times New Roman" w:cs="Times New Roman" w:eastAsia="Times New Roman" w:hAnsi="Times New Roman"/>
          <w:sz w:val="18"/>
          <w:szCs w:val="18"/>
          <w:color w:val="auto"/>
        </w:rPr>
        <w:t>we evaluated the design and tested the operating effectiveness of certain internal controls over the Company’s revenue recognition processes. For certain revenue streams, we involved IT professionals, who assisted in testing certain IT applications used by the Company in its revenue recognition processes. In addition, we assessed recorded revenue for a selection of transactions by comparing the amounts recognized to underlying documentation, including contracts with customers, and for certain revenue streams, we performed a software-assisted data analysis to assess certain relationships among revenue transactions. In addition, we evaluated the sufficiency of audit evidence obtained over revenues by assessing the results of procedures performed, including the appropriateness of such evidence.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2004.</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NRG ENERGY, INC. AND SUBSIDIARIES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6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28,823</w:t>
            </w:r>
          </w:p>
        </w:tc>
        <w:tc>
          <w:tcPr>
            <w:tcW w:w="0" w:type="dxa"/>
            <w:vAlign w:val="bottom"/>
          </w:tcPr>
          <w:p>
            <w:pPr>
              <w:spacing w:after="0"/>
              <w:rPr>
                <w:sz w:val="1"/>
                <w:szCs w:val="1"/>
                <w:color w:val="auto"/>
              </w:rPr>
            </w:pPr>
          </w:p>
        </w:tc>
      </w:tr>
      <w:tr>
        <w:trPr>
          <w:trHeight w:val="204"/>
        </w:trPr>
        <w:tc>
          <w:tcPr>
            <w:tcW w:w="768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operations (excluding depreciation and amortization shown below)</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26,483</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24"/>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losses</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71"/>
        </w:trPr>
        <w:tc>
          <w:tcPr>
            <w:tcW w:w="7680" w:type="dxa"/>
            <w:vAlign w:val="bottom"/>
            <w:shd w:val="clear" w:color="auto" w:fill="CCEEFF"/>
          </w:tcPr>
          <w:p>
            <w:pPr>
              <w:ind w:left="220"/>
              <w:spacing w:after="0" w:line="171" w:lineRule="exact"/>
              <w:rPr>
                <w:sz w:val="20"/>
                <w:szCs w:val="20"/>
                <w:color w:val="auto"/>
              </w:rPr>
            </w:pPr>
            <w:r>
              <w:rPr>
                <w:rFonts w:ascii="Times New Roman" w:cs="Times New Roman" w:eastAsia="Times New Roman" w:hAnsi="Times New Roman"/>
                <w:sz w:val="18"/>
                <w:szCs w:val="18"/>
                <w:color w:val="auto"/>
                <w:w w:val="99"/>
              </w:rPr>
              <w:t>Selling, general and administrative costs (excluding amortization of customer acquisition costs of $295,</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680" w:type="dxa"/>
            <w:vAlign w:val="bottom"/>
            <w:shd w:val="clear" w:color="auto" w:fill="CCEEFF"/>
          </w:tcPr>
          <w:p>
            <w:pPr>
              <w:ind w:left="220"/>
              <w:spacing w:after="0" w:line="179" w:lineRule="exact"/>
              <w:rPr>
                <w:sz w:val="20"/>
                <w:szCs w:val="20"/>
                <w:color w:val="auto"/>
              </w:rPr>
            </w:pPr>
            <w:r>
              <w:rPr>
                <w:rFonts w:ascii="Times New Roman" w:cs="Times New Roman" w:eastAsia="Times New Roman" w:hAnsi="Times New Roman"/>
                <w:sz w:val="18"/>
                <w:szCs w:val="18"/>
                <w:color w:val="auto"/>
              </w:rPr>
              <w:t>$204 and $125, respectively, which are included in depreciation and amortization shown separately</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above)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0" w:type="dxa"/>
            <w:vAlign w:val="bottom"/>
          </w:tcPr>
          <w:p>
            <w:pPr>
              <w:spacing w:after="0"/>
              <w:rPr>
                <w:sz w:val="1"/>
                <w:szCs w:val="1"/>
                <w:color w:val="auto"/>
              </w:rPr>
            </w:pPr>
          </w:p>
        </w:tc>
      </w:tr>
      <w:tr>
        <w:trPr>
          <w:trHeight w:val="224"/>
        </w:trPr>
        <w:tc>
          <w:tcPr>
            <w:tcW w:w="7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Acquisition-related transaction and integration costs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7"/>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30,017</w:t>
            </w:r>
          </w:p>
        </w:tc>
        <w:tc>
          <w:tcPr>
            <w:tcW w:w="0" w:type="dxa"/>
            <w:vAlign w:val="bottom"/>
          </w:tcPr>
          <w:p>
            <w:pPr>
              <w:spacing w:after="0"/>
              <w:rPr>
                <w:sz w:val="1"/>
                <w:szCs w:val="1"/>
                <w:color w:val="auto"/>
              </w:rPr>
            </w:pPr>
          </w:p>
        </w:tc>
      </w:tr>
      <w:tr>
        <w:trPr>
          <w:trHeight w:val="217"/>
        </w:trPr>
        <w:tc>
          <w:tcPr>
            <w:tcW w:w="76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(Loss)/Gain on sale of assets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0" w:type="dxa"/>
            <w:vAlign w:val="bottom"/>
          </w:tcPr>
          <w:p>
            <w:pPr>
              <w:spacing w:after="0"/>
              <w:rPr>
                <w:sz w:val="1"/>
                <w:szCs w:val="1"/>
                <w:color w:val="auto"/>
              </w:rPr>
            </w:pPr>
          </w:p>
        </w:tc>
      </w:tr>
      <w:tr>
        <w:trPr>
          <w:trHeight w:val="21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04"/>
        </w:trPr>
        <w:tc>
          <w:tcPr>
            <w:tcW w:w="768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Other Income/(Expense)</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4"/>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losses on investments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4"/>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(Loss)/Gain on debt extinguishment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17"/>
        </w:trPr>
        <w:tc>
          <w:tcPr>
            <w:tcW w:w="76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other expense</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1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Income/(Loss) Before Income Taxes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4"/>
        </w:trPr>
        <w:tc>
          <w:tcPr>
            <w:tcW w:w="7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 expense/(benefit)</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24"/>
        </w:trPr>
        <w:tc>
          <w:tcPr>
            <w:tcW w:w="7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Cumulative dividends attributable to Series A Preferred Stock</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2"/>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Income/(Loss) Available for Common Stockholders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Income/(Loss)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Income/(Loss) per Weighted Average Common Share — Basic</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common shares outstanding — diluted</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Income/(Loss) per Weighted Average Common Share — Diluted</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67945</wp:posOffset>
            </wp:positionV>
            <wp:extent cx="716089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869" w:right="35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NRG ENERGY, INC. AND SUBSIDIARIES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INCOME/(LOSS)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6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Income/(Loss), net of tax</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4"/>
        </w:trPr>
        <w:tc>
          <w:tcPr>
            <w:tcW w:w="76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Defined benefit plans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7"/>
        </w:trPr>
        <w:tc>
          <w:tcPr>
            <w:tcW w:w="7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Income/(Loss)</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67945</wp:posOffset>
            </wp:positionV>
            <wp:extent cx="716089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869" w:right="359" w:bottom="1440" w:gutter="0" w:footer="0" w:header="0"/>
        </w:sectPr>
      </w:pPr>
    </w:p>
    <w:bookmarkStart w:id="86" w:name="page87"/>
    <w:bookmarkEnd w:id="8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NRG ENERGY, INC. AND SUBSIDIARIES</w:t>
      </w:r>
    </w:p>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0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36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24"/>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Funds deposited by counterparties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4"/>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4"/>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0" w:type="dxa"/>
            <w:vAlign w:val="bottom"/>
          </w:tcPr>
          <w:p>
            <w:pPr>
              <w:spacing w:after="0"/>
              <w:rPr>
                <w:sz w:val="1"/>
                <w:szCs w:val="1"/>
                <w:color w:val="auto"/>
              </w:rPr>
            </w:pPr>
          </w:p>
        </w:tc>
      </w:tr>
      <w:tr>
        <w:trPr>
          <w:trHeight w:val="224"/>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24"/>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instruments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0" w:type="dxa"/>
            <w:vAlign w:val="bottom"/>
          </w:tcPr>
          <w:p>
            <w:pPr>
              <w:spacing w:after="0"/>
              <w:rPr>
                <w:sz w:val="1"/>
                <w:szCs w:val="1"/>
                <w:color w:val="auto"/>
              </w:rPr>
            </w:pPr>
          </w:p>
        </w:tc>
      </w:tr>
      <w:tr>
        <w:trPr>
          <w:trHeight w:val="224"/>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collateral paid in support of energy risk management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4"/>
        </w:trPr>
        <w:tc>
          <w:tcPr>
            <w:tcW w:w="8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17"/>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13,147</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0" w:type="dxa"/>
            <w:vAlign w:val="bottom"/>
          </w:tcPr>
          <w:p>
            <w:pPr>
              <w:spacing w:after="0"/>
              <w:rPr>
                <w:sz w:val="1"/>
                <w:szCs w:val="1"/>
                <w:color w:val="auto"/>
              </w:rPr>
            </w:pPr>
          </w:p>
        </w:tc>
      </w:tr>
      <w:tr>
        <w:trPr>
          <w:trHeight w:val="217"/>
        </w:trPr>
        <w:tc>
          <w:tcPr>
            <w:tcW w:w="8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4"/>
        </w:trPr>
        <w:tc>
          <w:tcPr>
            <w:tcW w:w="804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Other Assets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investments in affiliates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4"/>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4"/>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0" w:type="dxa"/>
            <w:vAlign w:val="bottom"/>
          </w:tcPr>
          <w:p>
            <w:pPr>
              <w:spacing w:after="0"/>
              <w:rPr>
                <w:sz w:val="1"/>
                <w:szCs w:val="1"/>
                <w:color w:val="auto"/>
              </w:rPr>
            </w:pPr>
          </w:p>
        </w:tc>
      </w:tr>
      <w:tr>
        <w:trPr>
          <w:trHeight w:val="224"/>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Customer relationships,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0" w:type="dxa"/>
            <w:vAlign w:val="bottom"/>
          </w:tcPr>
          <w:p>
            <w:pPr>
              <w:spacing w:after="0"/>
              <w:rPr>
                <w:sz w:val="1"/>
                <w:szCs w:val="1"/>
                <w:color w:val="auto"/>
              </w:rPr>
            </w:pPr>
          </w:p>
        </w:tc>
      </w:tr>
      <w:tr>
        <w:trPr>
          <w:trHeight w:val="224"/>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0" w:type="dxa"/>
            <w:vAlign w:val="bottom"/>
          </w:tcPr>
          <w:p>
            <w:pPr>
              <w:spacing w:after="0"/>
              <w:rPr>
                <w:sz w:val="1"/>
                <w:szCs w:val="1"/>
                <w:color w:val="auto"/>
              </w:rPr>
            </w:pPr>
          </w:p>
        </w:tc>
      </w:tr>
      <w:tr>
        <w:trPr>
          <w:trHeight w:val="224"/>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instruments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0" w:type="dxa"/>
            <w:vAlign w:val="bottom"/>
          </w:tcPr>
          <w:p>
            <w:pPr>
              <w:spacing w:after="0"/>
              <w:rPr>
                <w:sz w:val="1"/>
                <w:szCs w:val="1"/>
                <w:color w:val="auto"/>
              </w:rPr>
            </w:pPr>
          </w:p>
        </w:tc>
      </w:tr>
      <w:tr>
        <w:trPr>
          <w:trHeight w:val="224"/>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0" w:type="dxa"/>
            <w:vAlign w:val="bottom"/>
          </w:tcPr>
          <w:p>
            <w:pPr>
              <w:spacing w:after="0"/>
              <w:rPr>
                <w:sz w:val="1"/>
                <w:szCs w:val="1"/>
                <w:color w:val="auto"/>
              </w:rPr>
            </w:pPr>
          </w:p>
        </w:tc>
      </w:tr>
      <w:tr>
        <w:trPr>
          <w:trHeight w:val="224"/>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0" w:type="dxa"/>
            <w:vAlign w:val="bottom"/>
          </w:tcPr>
          <w:p>
            <w:pPr>
              <w:spacing w:after="0"/>
              <w:rPr>
                <w:sz w:val="1"/>
                <w:szCs w:val="1"/>
                <w:color w:val="auto"/>
              </w:rPr>
            </w:pPr>
          </w:p>
        </w:tc>
      </w:tr>
      <w:tr>
        <w:trPr>
          <w:trHeight w:val="217"/>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assets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12,361</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13,037</w:t>
            </w:r>
          </w:p>
        </w:tc>
        <w:tc>
          <w:tcPr>
            <w:tcW w:w="0" w:type="dxa"/>
            <w:vAlign w:val="bottom"/>
          </w:tcPr>
          <w:p>
            <w:pPr>
              <w:spacing w:after="0"/>
              <w:rPr>
                <w:sz w:val="1"/>
                <w:szCs w:val="1"/>
                <w:color w:val="auto"/>
              </w:rPr>
            </w:pPr>
          </w:p>
        </w:tc>
      </w:tr>
      <w:tr>
        <w:trPr>
          <w:trHeight w:val="242"/>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24,022</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67945</wp:posOffset>
            </wp:positionV>
            <wp:extent cx="716089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869" w:right="359" w:bottom="1440" w:gutter="0" w:footer="0" w:header="0"/>
        </w:sectPr>
      </w:pPr>
    </w:p>
    <w:bookmarkStart w:id="87" w:name="page88"/>
    <w:bookmarkEnd w:id="8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NRG ENERGY, INC. AND SUBSIDIARIES</w:t>
      </w:r>
    </w:p>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share data)</w:t>
            </w: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0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1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 and finance leases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24"/>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4"/>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0" w:type="dxa"/>
            <w:vAlign w:val="bottom"/>
          </w:tcPr>
          <w:p>
            <w:pPr>
              <w:spacing w:after="0"/>
              <w:rPr>
                <w:sz w:val="1"/>
                <w:szCs w:val="1"/>
                <w:color w:val="auto"/>
              </w:rPr>
            </w:pPr>
          </w:p>
        </w:tc>
      </w:tr>
      <w:tr>
        <w:trPr>
          <w:trHeight w:val="224"/>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instruments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0" w:type="dxa"/>
            <w:vAlign w:val="bottom"/>
          </w:tcPr>
          <w:p>
            <w:pPr>
              <w:spacing w:after="0"/>
              <w:rPr>
                <w:sz w:val="1"/>
                <w:szCs w:val="1"/>
                <w:color w:val="auto"/>
              </w:rPr>
            </w:pPr>
          </w:p>
        </w:tc>
      </w:tr>
      <w:tr>
        <w:trPr>
          <w:trHeight w:val="224"/>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collateral received in support of energy risk management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4"/>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24"/>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217"/>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8,029</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8,813</w:t>
            </w:r>
          </w:p>
        </w:tc>
        <w:tc>
          <w:tcPr>
            <w:tcW w:w="0" w:type="dxa"/>
            <w:vAlign w:val="bottom"/>
          </w:tcPr>
          <w:p>
            <w:pPr>
              <w:spacing w:after="0"/>
              <w:rPr>
                <w:sz w:val="1"/>
                <w:szCs w:val="1"/>
                <w:color w:val="auto"/>
              </w:rPr>
            </w:pPr>
          </w:p>
        </w:tc>
      </w:tr>
      <w:tr>
        <w:trPr>
          <w:trHeight w:val="217"/>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debt and finance leases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9,812</w:t>
            </w:r>
          </w:p>
        </w:tc>
        <w:tc>
          <w:tcPr>
            <w:tcW w:w="0" w:type="dxa"/>
            <w:vAlign w:val="bottom"/>
          </w:tcPr>
          <w:p>
            <w:pPr>
              <w:spacing w:after="0"/>
              <w:rPr>
                <w:sz w:val="1"/>
                <w:szCs w:val="1"/>
                <w:color w:val="auto"/>
              </w:rPr>
            </w:pPr>
          </w:p>
        </w:tc>
      </w:tr>
      <w:tr>
        <w:trPr>
          <w:trHeight w:val="224"/>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4"/>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instruments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0" w:type="dxa"/>
            <w:vAlign w:val="bottom"/>
          </w:tcPr>
          <w:p>
            <w:pPr>
              <w:spacing w:after="0"/>
              <w:rPr>
                <w:sz w:val="1"/>
                <w:szCs w:val="1"/>
                <w:color w:val="auto"/>
              </w:rPr>
            </w:pPr>
          </w:p>
        </w:tc>
      </w:tr>
      <w:tr>
        <w:trPr>
          <w:trHeight w:val="224"/>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4"/>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24"/>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17"/>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liabilities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19,430</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12,731</w:t>
            </w:r>
          </w:p>
        </w:tc>
        <w:tc>
          <w:tcPr>
            <w:tcW w:w="0" w:type="dxa"/>
            <w:vAlign w:val="bottom"/>
          </w:tcPr>
          <w:p>
            <w:pPr>
              <w:spacing w:after="0"/>
              <w:rPr>
                <w:sz w:val="1"/>
                <w:szCs w:val="1"/>
                <w:color w:val="auto"/>
              </w:rPr>
            </w:pPr>
          </w:p>
        </w:tc>
      </w:tr>
      <w:tr>
        <w:trPr>
          <w:trHeight w:val="217"/>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27,459</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21,544</w:t>
            </w:r>
          </w:p>
        </w:tc>
        <w:tc>
          <w:tcPr>
            <w:tcW w:w="0" w:type="dxa"/>
            <w:vAlign w:val="bottom"/>
          </w:tcPr>
          <w:p>
            <w:pPr>
              <w:spacing w:after="0"/>
              <w:rPr>
                <w:sz w:val="1"/>
                <w:szCs w:val="1"/>
                <w:color w:val="auto"/>
              </w:rPr>
            </w:pPr>
          </w:p>
        </w:tc>
      </w:tr>
      <w:tr>
        <w:trPr>
          <w:trHeight w:val="204"/>
        </w:trPr>
        <w:tc>
          <w:tcPr>
            <w:tcW w:w="8040" w:type="dxa"/>
            <w:vAlign w:val="bottom"/>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8040" w:type="dxa"/>
            <w:vAlign w:val="bottom"/>
          </w:tcPr>
          <w:p>
            <w:pPr>
              <w:ind w:left="120"/>
              <w:spacing w:after="0" w:line="171" w:lineRule="exact"/>
              <w:rPr>
                <w:sz w:val="20"/>
                <w:szCs w:val="20"/>
                <w:color w:val="auto"/>
              </w:rPr>
            </w:pPr>
            <w:r>
              <w:rPr>
                <w:rFonts w:ascii="Times New Roman" w:cs="Times New Roman" w:eastAsia="Times New Roman" w:hAnsi="Times New Roman"/>
                <w:sz w:val="18"/>
                <w:szCs w:val="18"/>
                <w:color w:val="auto"/>
                <w:w w:val="98"/>
              </w:rPr>
              <w:t>Preferred stock; 10,000,000 shares authorized; 650,000 Series A shares issued and outstanding at December 31,</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2025 and 2024 (aggregate liquidation preference $650)</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171"/>
        </w:trPr>
        <w:tc>
          <w:tcPr>
            <w:tcW w:w="8040" w:type="dxa"/>
            <w:vAlign w:val="bottom"/>
            <w:shd w:val="clear" w:color="auto" w:fill="CCEEFF"/>
          </w:tcPr>
          <w:p>
            <w:pPr>
              <w:ind w:left="120"/>
              <w:spacing w:after="0" w:line="171" w:lineRule="exact"/>
              <w:rPr>
                <w:sz w:val="20"/>
                <w:szCs w:val="20"/>
                <w:color w:val="auto"/>
              </w:rPr>
            </w:pPr>
            <w:r>
              <w:rPr>
                <w:rFonts w:ascii="Times New Roman" w:cs="Times New Roman" w:eastAsia="Times New Roman" w:hAnsi="Times New Roman"/>
                <w:sz w:val="18"/>
                <w:szCs w:val="18"/>
                <w:color w:val="auto"/>
              </w:rPr>
              <w:t>Common stock; $0.01 par value; 500,000,000 shares authorized; 199,828,615 and 205,064,058 shares issued;</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and 190,376,607 and 198,604,003 shares outstanding at December 31, 2025 and 2024, respectively</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4"/>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24"/>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0" w:type="dxa"/>
            <w:vAlign w:val="bottom"/>
          </w:tcPr>
          <w:p>
            <w:pPr>
              <w:spacing w:after="0"/>
              <w:rPr>
                <w:sz w:val="1"/>
                <w:szCs w:val="1"/>
                <w:color w:val="auto"/>
              </w:rPr>
            </w:pPr>
          </w:p>
        </w:tc>
      </w:tr>
      <w:tr>
        <w:trPr>
          <w:trHeight w:val="224"/>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 stock, at cost; 9,452,008 and 6,460,055 shares at December 31, 2025 and 2024, respectively</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24"/>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7"/>
        </w:trPr>
        <w:tc>
          <w:tcPr>
            <w:tcW w:w="80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0" w:type="dxa"/>
            <w:vAlign w:val="bottom"/>
          </w:tcPr>
          <w:p>
            <w:pPr>
              <w:spacing w:after="0"/>
              <w:rPr>
                <w:sz w:val="1"/>
                <w:szCs w:val="1"/>
                <w:color w:val="auto"/>
              </w:rPr>
            </w:pPr>
          </w:p>
        </w:tc>
      </w:tr>
      <w:tr>
        <w:trPr>
          <w:trHeight w:val="242"/>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24,022</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67945</wp:posOffset>
            </wp:positionV>
            <wp:extent cx="716089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869" w:right="35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6"/>
          <w:szCs w:val="16"/>
          <w:b w:val="1"/>
          <w:bCs w:val="1"/>
          <w:color w:val="auto"/>
        </w:rPr>
        <w:t>NRG ENERGY, INC. AND SUBSIDIARIES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8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gridSpan w:val="8"/>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2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Income/(Loss)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income/(loss) to cash provided by operating activities: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80" w:type="dxa"/>
            <w:vAlign w:val="bottom"/>
          </w:tcPr>
          <w:p>
            <w:pPr>
              <w:ind w:left="340"/>
              <w:spacing w:after="0" w:line="171" w:lineRule="exact"/>
              <w:rPr>
                <w:sz w:val="20"/>
                <w:szCs w:val="20"/>
                <w:color w:val="auto"/>
              </w:rPr>
            </w:pPr>
            <w:r>
              <w:rPr>
                <w:rFonts w:ascii="Times New Roman" w:cs="Times New Roman" w:eastAsia="Times New Roman" w:hAnsi="Times New Roman"/>
                <w:sz w:val="18"/>
                <w:szCs w:val="18"/>
                <w:color w:val="auto"/>
                <w:w w:val="99"/>
              </w:rPr>
              <w:t>Depreciation of property, plant and equipment and amortization of customer relationships and other intangible</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capitalized contract costs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Accretion of asset retirement obligations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nuclear fuel</w:t>
            </w:r>
          </w:p>
        </w:tc>
        <w:tc>
          <w:tcPr>
            <w:tcW w:w="2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financing costs and debt discounts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Loss/(gain) on debt extinguishment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in-the-money contracts and emissions allowances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unearned equity compensation</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loss/(gain) on sale of assets and disposal of assets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proceeds from insurance recoveries for property, plant and equipment, net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losses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derivative instruments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current and deferred income taxes and liability for uncertain tax benefits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collateral deposits in support of risk management activities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in and distributions from earnings of unconsolidated affiliates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(used)/provided by changes in other working capital:</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 trade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provided/(used) by operating activities</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8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for acquisitions of businesses and assets, net of cash acquired</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sales of assets, net of cash disposed</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purchases of emissions allowances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insurance recoveries for property, plant and equipment, net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Investments in nuclear decommissioning trust fund securities</w:t>
            </w:r>
          </w:p>
        </w:tc>
        <w:tc>
          <w:tcPr>
            <w:tcW w:w="2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the sale of nuclear decommissioning trust fund securities</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by investing activities</w:t>
            </w:r>
          </w:p>
        </w:tc>
        <w:tc>
          <w:tcPr>
            <w:tcW w:w="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4"/>
        </w:trPr>
        <w:tc>
          <w:tcPr>
            <w:tcW w:w="8300" w:type="dxa"/>
            <w:vAlign w:val="bottom"/>
            <w:gridSpan w:val="2"/>
          </w:tcPr>
          <w:p>
            <w:pPr>
              <w:jc w:val="right"/>
              <w:ind w:right="2493"/>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82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9" w:name="page90"/>
    <w:bookmarkEnd w:id="89"/>
    <w:tbl>
      <w:tblPr>
        <w:tblLayout w:type="fixed"/>
        <w:tblInd w:w="20" w:type="dxa"/>
        <w:tblCellMar>
          <w:top w:w="0" w:type="dxa"/>
          <w:left w:w="0" w:type="dxa"/>
          <w:bottom w:w="0" w:type="dxa"/>
          <w:right w:w="0" w:type="dxa"/>
        </w:tblCellMar>
      </w:tblPr>
      <w:tr>
        <w:trPr>
          <w:trHeight w:val="185"/>
        </w:trPr>
        <w:tc>
          <w:tcPr>
            <w:tcW w:w="8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7"/>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24"/>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2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issuance of preferred stock, net of fees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Equivalent shares purchased in lieu of tax withholdings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4"/>
        </w:trPr>
        <w:tc>
          <w:tcPr>
            <w:tcW w:w="8280" w:type="dxa"/>
            <w:vAlign w:val="bottom"/>
          </w:tcPr>
          <w:p>
            <w:pPr>
              <w:ind w:left="340"/>
              <w:spacing w:after="0" w:line="224" w:lineRule="exact"/>
              <w:rPr>
                <w:sz w:val="20"/>
                <w:szCs w:val="20"/>
                <w:color w:val="auto"/>
              </w:rPr>
            </w:pPr>
            <w:r>
              <w:rPr>
                <w:rFonts w:ascii="Times New Roman" w:cs="Times New Roman" w:eastAsia="Times New Roman" w:hAnsi="Times New Roman"/>
                <w:sz w:val="18"/>
                <w:szCs w:val="18"/>
                <w:color w:val="auto"/>
              </w:rPr>
              <w:t>Payments for share repurchase activity and excise tax</w:t>
            </w:r>
            <w:r>
              <w:rPr>
                <w:rFonts w:ascii="Times New Roman" w:cs="Times New Roman" w:eastAsia="Times New Roman" w:hAnsi="Times New Roman"/>
                <w:sz w:val="22"/>
                <w:szCs w:val="22"/>
                <w:color w:val="auto"/>
                <w:vertAlign w:val="superscript"/>
              </w:rPr>
              <w:t>(a)</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340"/>
              <w:spacing w:after="0" w:line="224" w:lineRule="exact"/>
              <w:rPr>
                <w:sz w:val="20"/>
                <w:szCs w:val="20"/>
                <w:color w:val="auto"/>
              </w:rPr>
            </w:pPr>
            <w:r>
              <w:rPr>
                <w:rFonts w:ascii="Times New Roman" w:cs="Times New Roman" w:eastAsia="Times New Roman" w:hAnsi="Times New Roman"/>
                <w:sz w:val="18"/>
                <w:szCs w:val="18"/>
                <w:color w:val="auto"/>
              </w:rPr>
              <w:t>Payment for settlement of capped call options</w:t>
            </w:r>
            <w:r>
              <w:rPr>
                <w:rFonts w:ascii="Times New Roman" w:cs="Times New Roman" w:eastAsia="Times New Roman" w:hAnsi="Times New Roman"/>
                <w:sz w:val="22"/>
                <w:szCs w:val="22"/>
                <w:color w:val="auto"/>
                <w:vertAlign w:val="superscript"/>
              </w:rPr>
              <w:t>(b)</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of dividends to preferred and common stockholders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24"/>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Repayments of long-term debt and finance leases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for debt extinguishment costs</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of deferred financing costs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receipts/(payments) from settlement of acquired derivatives that include financing elements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24"/>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credit facilities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Repayments to credit facilities</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0" w:type="dxa"/>
            <w:vAlign w:val="bottom"/>
          </w:tcPr>
          <w:p>
            <w:pPr>
              <w:spacing w:after="0"/>
              <w:rPr>
                <w:sz w:val="1"/>
                <w:szCs w:val="1"/>
                <w:color w:val="auto"/>
              </w:rPr>
            </w:pPr>
          </w:p>
        </w:tc>
      </w:tr>
      <w:tr>
        <w:trPr>
          <w:trHeight w:val="217"/>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provided/(used) by financing activities</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7"/>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51"/>
        </w:trPr>
        <w:tc>
          <w:tcPr>
            <w:tcW w:w="828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Net Increase/(Decrease) in Cash and Cash Equivalents, Funds Deposited by Counterparties and Restricted</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Cash and Cash Equivalents, Funds Deposited by Counterparties and Restricted Cash at Beginning of Period</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0" w:type="dxa"/>
            <w:vAlign w:val="bottom"/>
          </w:tcPr>
          <w:p>
            <w:pPr>
              <w:spacing w:after="0"/>
              <w:rPr>
                <w:sz w:val="1"/>
                <w:szCs w:val="1"/>
                <w:color w:val="auto"/>
              </w:rPr>
            </w:pPr>
          </w:p>
        </w:tc>
      </w:tr>
      <w:tr>
        <w:trPr>
          <w:trHeight w:val="21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Funds Deposited by Counterparties and Restricted Cash at End of Period</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400" w:hanging="395"/>
        <w:spacing w:after="0"/>
        <w:tabs>
          <w:tab w:leader="none" w:pos="4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excise tax paid of $9 million during the year ended December 31, 2025</w:t>
      </w:r>
    </w:p>
    <w:p>
      <w:pPr>
        <w:spacing w:after="0" w:line="12"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Includes $16 million of payments for shares received from the exercise of the Capped Call Options. For further discussion, see Note 15, </w:t>
      </w:r>
      <w:r>
        <w:rPr>
          <w:rFonts w:ascii="Times New Roman" w:cs="Times New Roman" w:eastAsia="Times New Roman" w:hAnsi="Times New Roman"/>
          <w:sz w:val="14"/>
          <w:szCs w:val="14"/>
          <w:i w:val="1"/>
          <w:iCs w:val="1"/>
          <w:color w:val="auto"/>
        </w:rPr>
        <w:t>Capital Structure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further discussion of supplemental cash flow information see Note 25, </w:t>
      </w:r>
      <w:r>
        <w:rPr>
          <w:rFonts w:ascii="Times New Roman" w:cs="Times New Roman" w:eastAsia="Times New Roman" w:hAnsi="Times New Roman"/>
          <w:sz w:val="18"/>
          <w:szCs w:val="18"/>
          <w:i w:val="1"/>
          <w:iCs w:val="1"/>
          <w:color w:val="auto"/>
        </w:rPr>
        <w:t>Cash Flow Information</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90" w:name="page91"/>
    <w:bookmarkEnd w:id="90"/>
    <w:p>
      <w:pPr>
        <w:jc w:val="center"/>
        <w:ind w:right="-134"/>
        <w:spacing w:after="0"/>
        <w:rPr>
          <w:sz w:val="20"/>
          <w:szCs w:val="20"/>
          <w:color w:val="auto"/>
        </w:rPr>
      </w:pPr>
      <w:r>
        <w:rPr>
          <w:rFonts w:ascii="Times New Roman" w:cs="Times New Roman" w:eastAsia="Times New Roman" w:hAnsi="Times New Roman"/>
          <w:sz w:val="18"/>
          <w:szCs w:val="18"/>
          <w:b w:val="1"/>
          <w:bCs w:val="1"/>
          <w:color w:val="auto"/>
        </w:rPr>
        <w:t>NRG ENERGY, INC. AND SUBSIDIARIES</w:t>
      </w:r>
    </w:p>
    <w:p>
      <w:pPr>
        <w:spacing w:after="0" w:line="113" w:lineRule="exact"/>
        <w:rPr>
          <w:sz w:val="20"/>
          <w:szCs w:val="20"/>
          <w:color w:val="auto"/>
        </w:rPr>
      </w:pPr>
    </w:p>
    <w:p>
      <w:pPr>
        <w:jc w:val="center"/>
        <w:ind w:right="-134"/>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15" w:lineRule="exact"/>
        <w:rPr>
          <w:sz w:val="20"/>
          <w:szCs w:val="20"/>
          <w:color w:val="auto"/>
        </w:rPr>
      </w:pPr>
    </w:p>
    <w:tbl>
      <w:tblPr>
        <w:tblLayout w:type="fixed"/>
        <w:tblInd w:w="155"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7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5"/>
        </w:trPr>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120" w:type="dxa"/>
            <w:vAlign w:val="bottom"/>
          </w:tcPr>
          <w:p>
            <w:pPr>
              <w:spacing w:after="0"/>
              <w:rPr>
                <w:sz w:val="12"/>
                <w:szCs w:val="12"/>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40" w:type="dxa"/>
            <w:vAlign w:val="bottom"/>
          </w:tcPr>
          <w:p>
            <w:pPr>
              <w:jc w:val="center"/>
              <w:ind w:right="74"/>
              <w:spacing w:after="0" w:line="145" w:lineRule="exact"/>
              <w:rPr>
                <w:sz w:val="20"/>
                <w:szCs w:val="20"/>
                <w:color w:val="auto"/>
              </w:rPr>
            </w:pPr>
            <w:r>
              <w:rPr>
                <w:rFonts w:ascii="Times New Roman" w:cs="Times New Roman" w:eastAsia="Times New Roman" w:hAnsi="Times New Roman"/>
                <w:sz w:val="14"/>
                <w:szCs w:val="14"/>
                <w:b w:val="1"/>
                <w:bCs w:val="1"/>
                <w:color w:val="auto"/>
                <w:w w:val="99"/>
              </w:rPr>
              <w:t>Stock-</w:t>
            </w:r>
          </w:p>
        </w:tc>
        <w:tc>
          <w:tcPr>
            <w:tcW w:w="0" w:type="dxa"/>
            <w:vAlign w:val="bottom"/>
          </w:tcPr>
          <w:p>
            <w:pPr>
              <w:spacing w:after="0"/>
              <w:rPr>
                <w:sz w:val="1"/>
                <w:szCs w:val="1"/>
                <w:color w:val="auto"/>
              </w:rPr>
            </w:pPr>
          </w:p>
        </w:tc>
      </w:tr>
      <w:tr>
        <w:trPr>
          <w:trHeight w:val="143"/>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60" w:type="dxa"/>
            <w:vAlign w:val="bottom"/>
          </w:tcPr>
          <w:p>
            <w:pPr>
              <w:spacing w:after="0"/>
              <w:rPr>
                <w:sz w:val="12"/>
                <w:szCs w:val="12"/>
                <w:color w:val="auto"/>
              </w:rPr>
            </w:pPr>
          </w:p>
        </w:tc>
        <w:tc>
          <w:tcPr>
            <w:tcW w:w="740" w:type="dxa"/>
            <w:vAlign w:val="bottom"/>
          </w:tcPr>
          <w:p>
            <w:pPr>
              <w:jc w:val="center"/>
              <w:ind w:right="94"/>
              <w:spacing w:after="0" w:line="143" w:lineRule="exact"/>
              <w:rPr>
                <w:sz w:val="20"/>
                <w:szCs w:val="20"/>
                <w:color w:val="auto"/>
              </w:rPr>
            </w:pPr>
            <w:r>
              <w:rPr>
                <w:rFonts w:ascii="Times New Roman" w:cs="Times New Roman" w:eastAsia="Times New Roman" w:hAnsi="Times New Roman"/>
                <w:sz w:val="14"/>
                <w:szCs w:val="14"/>
                <w:b w:val="1"/>
                <w:bCs w:val="1"/>
                <w:color w:val="auto"/>
                <w:w w:val="99"/>
              </w:rPr>
              <w:t>holders'</w:t>
            </w:r>
          </w:p>
        </w:tc>
        <w:tc>
          <w:tcPr>
            <w:tcW w:w="0" w:type="dxa"/>
            <w:vAlign w:val="bottom"/>
          </w:tcPr>
          <w:p>
            <w:pPr>
              <w:spacing w:after="0"/>
              <w:rPr>
                <w:sz w:val="1"/>
                <w:szCs w:val="1"/>
                <w:color w:val="auto"/>
              </w:rPr>
            </w:pPr>
          </w:p>
        </w:tc>
      </w:tr>
      <w:tr>
        <w:trPr>
          <w:trHeight w:val="192"/>
        </w:trPr>
        <w:tc>
          <w:tcPr>
            <w:tcW w:w="34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6"/>
                <w:szCs w:val="16"/>
                <w:color w:val="auto"/>
              </w:rPr>
            </w:pPr>
          </w:p>
        </w:tc>
        <w:tc>
          <w:tcPr>
            <w:tcW w:w="7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2"/>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center"/>
              <w:ind w:left="417"/>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0" w:type="dxa"/>
            <w:vAlign w:val="bottom"/>
          </w:tcPr>
          <w:p>
            <w:pPr>
              <w:spacing w:after="0"/>
              <w:rPr>
                <w:sz w:val="1"/>
                <w:szCs w:val="1"/>
                <w:color w:val="auto"/>
              </w:rPr>
            </w:pPr>
          </w:p>
        </w:tc>
      </w:tr>
      <w:tr>
        <w:trPr>
          <w:trHeight w:val="224"/>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24"/>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Series A Preferred Stock</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24"/>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4"/>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reissuance for ESPP</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4"/>
        </w:trPr>
        <w:tc>
          <w:tcPr>
            <w:tcW w:w="3460" w:type="dxa"/>
            <w:vAlign w:val="bottom"/>
          </w:tcPr>
          <w:p>
            <w:pPr>
              <w:ind w:left="140"/>
              <w:spacing w:after="0" w:line="224" w:lineRule="exact"/>
              <w:rPr>
                <w:sz w:val="20"/>
                <w:szCs w:val="20"/>
                <w:color w:val="auto"/>
              </w:rPr>
            </w:pPr>
            <w:r>
              <w:rPr>
                <w:rFonts w:ascii="Times New Roman" w:cs="Times New Roman" w:eastAsia="Times New Roman" w:hAnsi="Times New Roman"/>
                <w:sz w:val="18"/>
                <w:szCs w:val="18"/>
                <w:color w:val="auto"/>
              </w:rPr>
              <w:t>Share repurchases</w:t>
            </w:r>
            <w:r>
              <w:rPr>
                <w:rFonts w:ascii="Times New Roman" w:cs="Times New Roman" w:eastAsia="Times New Roman" w:hAnsi="Times New Roman"/>
                <w:sz w:val="22"/>
                <w:szCs w:val="22"/>
                <w:color w:val="auto"/>
                <w:vertAlign w:val="superscript"/>
              </w:rPr>
              <w:t>(a)</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24"/>
        </w:trPr>
        <w:tc>
          <w:tcPr>
            <w:tcW w:w="346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Retirement of treasury stock</w:t>
            </w:r>
            <w:r>
              <w:rPr>
                <w:rFonts w:ascii="Times New Roman" w:cs="Times New Roman" w:eastAsia="Times New Roman" w:hAnsi="Times New Roman"/>
                <w:sz w:val="22"/>
                <w:szCs w:val="22"/>
                <w:color w:val="auto"/>
                <w:vertAlign w:val="superscript"/>
              </w:rPr>
              <w:t>(b)</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377"/>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460" w:type="dxa"/>
            <w:vAlign w:val="bottom"/>
          </w:tcPr>
          <w:p>
            <w:pPr>
              <w:ind w:left="140"/>
              <w:spacing w:after="0" w:line="224" w:lineRule="exact"/>
              <w:rPr>
                <w:sz w:val="20"/>
                <w:szCs w:val="20"/>
                <w:color w:val="auto"/>
              </w:rPr>
            </w:pPr>
            <w:r>
              <w:rPr>
                <w:rFonts w:ascii="Times New Roman" w:cs="Times New Roman" w:eastAsia="Times New Roman" w:hAnsi="Times New Roman"/>
                <w:sz w:val="18"/>
                <w:szCs w:val="18"/>
                <w:color w:val="auto"/>
              </w:rPr>
              <w:t>Equity-based awards activity, net</w:t>
            </w:r>
            <w:r>
              <w:rPr>
                <w:rFonts w:ascii="Times New Roman" w:cs="Times New Roman" w:eastAsia="Times New Roman" w:hAnsi="Times New Roman"/>
                <w:sz w:val="22"/>
                <w:szCs w:val="22"/>
                <w:color w:val="auto"/>
                <w:vertAlign w:val="superscript"/>
              </w:rPr>
              <w:t>(c)</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76"/>
        </w:trPr>
        <w:tc>
          <w:tcPr>
            <w:tcW w:w="34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dividends and dividend</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460" w:type="dxa"/>
            <w:vAlign w:val="bottom"/>
            <w:shd w:val="clear" w:color="auto" w:fill="CCEEFF"/>
          </w:tcPr>
          <w:p>
            <w:pPr>
              <w:ind w:left="220"/>
              <w:spacing w:after="0" w:line="232" w:lineRule="exact"/>
              <w:rPr>
                <w:sz w:val="20"/>
                <w:szCs w:val="20"/>
                <w:color w:val="auto"/>
              </w:rPr>
            </w:pPr>
            <w:r>
              <w:rPr>
                <w:rFonts w:ascii="Times New Roman" w:cs="Times New Roman" w:eastAsia="Times New Roman" w:hAnsi="Times New Roman"/>
                <w:sz w:val="18"/>
                <w:szCs w:val="18"/>
                <w:color w:val="auto"/>
              </w:rPr>
              <w:t>equivalents declared</w:t>
            </w:r>
            <w:r>
              <w:rPr>
                <w:rFonts w:ascii="Times New Roman" w:cs="Times New Roman" w:eastAsia="Times New Roman" w:hAnsi="Times New Roman"/>
                <w:sz w:val="22"/>
                <w:szCs w:val="22"/>
                <w:color w:val="auto"/>
                <w:vertAlign w:val="superscript"/>
              </w:rPr>
              <w:t>(d)</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24"/>
        </w:trPr>
        <w:tc>
          <w:tcPr>
            <w:tcW w:w="3460" w:type="dxa"/>
            <w:vAlign w:val="bottom"/>
          </w:tcPr>
          <w:p>
            <w:pPr>
              <w:ind w:left="140"/>
              <w:spacing w:after="0" w:line="224" w:lineRule="exact"/>
              <w:rPr>
                <w:sz w:val="20"/>
                <w:szCs w:val="20"/>
                <w:color w:val="auto"/>
              </w:rPr>
            </w:pPr>
            <w:r>
              <w:rPr>
                <w:rFonts w:ascii="Times New Roman" w:cs="Times New Roman" w:eastAsia="Times New Roman" w:hAnsi="Times New Roman"/>
                <w:sz w:val="18"/>
                <w:szCs w:val="18"/>
                <w:color w:val="auto"/>
              </w:rPr>
              <w:t>Series A Preferred Stock dividends</w:t>
            </w:r>
            <w:r>
              <w:rPr>
                <w:rFonts w:ascii="Times New Roman" w:cs="Times New Roman" w:eastAsia="Times New Roman" w:hAnsi="Times New Roman"/>
                <w:sz w:val="22"/>
                <w:szCs w:val="22"/>
                <w:color w:val="auto"/>
                <w:vertAlign w:val="superscript"/>
              </w:rPr>
              <w:t>(e)</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4"/>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 of the 44% equity interest in STP</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7"/>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center"/>
              <w:ind w:left="417"/>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0" w:type="dxa"/>
            <w:vAlign w:val="bottom"/>
          </w:tcPr>
          <w:p>
            <w:pPr>
              <w:spacing w:after="0"/>
              <w:rPr>
                <w:sz w:val="1"/>
                <w:szCs w:val="1"/>
                <w:color w:val="auto"/>
              </w:rPr>
            </w:pPr>
          </w:p>
        </w:tc>
      </w:tr>
      <w:tr>
        <w:trPr>
          <w:trHeight w:val="224"/>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24"/>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4"/>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reissuance for ESPP</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4"/>
        </w:trPr>
        <w:tc>
          <w:tcPr>
            <w:tcW w:w="3460" w:type="dxa"/>
            <w:vAlign w:val="bottom"/>
          </w:tcPr>
          <w:p>
            <w:pPr>
              <w:ind w:left="140"/>
              <w:spacing w:after="0" w:line="224" w:lineRule="exact"/>
              <w:rPr>
                <w:sz w:val="20"/>
                <w:szCs w:val="20"/>
                <w:color w:val="auto"/>
              </w:rPr>
            </w:pPr>
            <w:r>
              <w:rPr>
                <w:rFonts w:ascii="Times New Roman" w:cs="Times New Roman" w:eastAsia="Times New Roman" w:hAnsi="Times New Roman"/>
                <w:sz w:val="18"/>
                <w:szCs w:val="18"/>
                <w:color w:val="auto"/>
              </w:rPr>
              <w:t>Share repurchases</w:t>
            </w:r>
            <w:r>
              <w:rPr>
                <w:rFonts w:ascii="Times New Roman" w:cs="Times New Roman" w:eastAsia="Times New Roman" w:hAnsi="Times New Roman"/>
                <w:sz w:val="22"/>
                <w:szCs w:val="22"/>
                <w:color w:val="auto"/>
                <w:vertAlign w:val="superscript"/>
              </w:rPr>
              <w:t>(a)</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24"/>
        </w:trPr>
        <w:tc>
          <w:tcPr>
            <w:tcW w:w="346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Retirement of treasury stock</w:t>
            </w:r>
            <w:r>
              <w:rPr>
                <w:rFonts w:ascii="Times New Roman" w:cs="Times New Roman" w:eastAsia="Times New Roman" w:hAnsi="Times New Roman"/>
                <w:sz w:val="22"/>
                <w:szCs w:val="22"/>
                <w:color w:val="auto"/>
                <w:vertAlign w:val="superscript"/>
              </w:rPr>
              <w:t>(b)</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377"/>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460" w:type="dxa"/>
            <w:vAlign w:val="bottom"/>
          </w:tcPr>
          <w:p>
            <w:pPr>
              <w:ind w:left="140"/>
              <w:spacing w:after="0" w:line="224" w:lineRule="exact"/>
              <w:rPr>
                <w:sz w:val="20"/>
                <w:szCs w:val="20"/>
                <w:color w:val="auto"/>
              </w:rPr>
            </w:pPr>
            <w:r>
              <w:rPr>
                <w:rFonts w:ascii="Times New Roman" w:cs="Times New Roman" w:eastAsia="Times New Roman" w:hAnsi="Times New Roman"/>
                <w:sz w:val="18"/>
                <w:szCs w:val="18"/>
                <w:color w:val="auto"/>
              </w:rPr>
              <w:t>Equity-based awards activity, net</w:t>
            </w:r>
            <w:r>
              <w:rPr>
                <w:rFonts w:ascii="Times New Roman" w:cs="Times New Roman" w:eastAsia="Times New Roman" w:hAnsi="Times New Roman"/>
                <w:sz w:val="22"/>
                <w:szCs w:val="22"/>
                <w:color w:val="auto"/>
                <w:vertAlign w:val="superscript"/>
              </w:rPr>
              <w:t>(c)</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76"/>
        </w:trPr>
        <w:tc>
          <w:tcPr>
            <w:tcW w:w="34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dividends and dividend</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460" w:type="dxa"/>
            <w:vAlign w:val="bottom"/>
            <w:shd w:val="clear" w:color="auto" w:fill="CCEEFF"/>
          </w:tcPr>
          <w:p>
            <w:pPr>
              <w:ind w:left="220"/>
              <w:spacing w:after="0" w:line="232" w:lineRule="exact"/>
              <w:rPr>
                <w:sz w:val="20"/>
                <w:szCs w:val="20"/>
                <w:color w:val="auto"/>
              </w:rPr>
            </w:pPr>
            <w:r>
              <w:rPr>
                <w:rFonts w:ascii="Times New Roman" w:cs="Times New Roman" w:eastAsia="Times New Roman" w:hAnsi="Times New Roman"/>
                <w:sz w:val="18"/>
                <w:szCs w:val="18"/>
                <w:color w:val="auto"/>
              </w:rPr>
              <w:t>equivalents declared</w:t>
            </w:r>
            <w:r>
              <w:rPr>
                <w:rFonts w:ascii="Times New Roman" w:cs="Times New Roman" w:eastAsia="Times New Roman" w:hAnsi="Times New Roman"/>
                <w:sz w:val="22"/>
                <w:szCs w:val="22"/>
                <w:color w:val="auto"/>
                <w:vertAlign w:val="superscript"/>
              </w:rPr>
              <w:t>(d)</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24"/>
        </w:trPr>
        <w:tc>
          <w:tcPr>
            <w:tcW w:w="3460" w:type="dxa"/>
            <w:vAlign w:val="bottom"/>
          </w:tcPr>
          <w:p>
            <w:pPr>
              <w:ind w:left="140"/>
              <w:spacing w:after="0" w:line="224" w:lineRule="exact"/>
              <w:rPr>
                <w:sz w:val="20"/>
                <w:szCs w:val="20"/>
                <w:color w:val="auto"/>
              </w:rPr>
            </w:pPr>
            <w:r>
              <w:rPr>
                <w:rFonts w:ascii="Times New Roman" w:cs="Times New Roman" w:eastAsia="Times New Roman" w:hAnsi="Times New Roman"/>
                <w:sz w:val="18"/>
                <w:szCs w:val="18"/>
                <w:color w:val="auto"/>
              </w:rPr>
              <w:t>Series A Preferred Stock dividends</w:t>
            </w:r>
            <w:r>
              <w:rPr>
                <w:rFonts w:ascii="Times New Roman" w:cs="Times New Roman" w:eastAsia="Times New Roman" w:hAnsi="Times New Roman"/>
                <w:sz w:val="22"/>
                <w:szCs w:val="22"/>
                <w:color w:val="auto"/>
                <w:vertAlign w:val="superscript"/>
              </w:rPr>
              <w:t>(e)</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4"/>
        </w:trPr>
        <w:tc>
          <w:tcPr>
            <w:tcW w:w="346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Capped Call Options</w:t>
            </w:r>
            <w:r>
              <w:rPr>
                <w:rFonts w:ascii="Times New Roman" w:cs="Times New Roman" w:eastAsia="Times New Roman" w:hAnsi="Times New Roman"/>
                <w:sz w:val="22"/>
                <w:szCs w:val="22"/>
                <w:color w:val="auto"/>
                <w:vertAlign w:val="superscript"/>
              </w:rPr>
              <w:t>(f)</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7"/>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center"/>
              <w:ind w:left="417"/>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0" w:type="dxa"/>
            <w:vAlign w:val="bottom"/>
          </w:tcPr>
          <w:p>
            <w:pPr>
              <w:spacing w:after="0"/>
              <w:rPr>
                <w:sz w:val="1"/>
                <w:szCs w:val="1"/>
                <w:color w:val="auto"/>
              </w:rPr>
            </w:pPr>
          </w:p>
        </w:tc>
      </w:tr>
      <w:tr>
        <w:trPr>
          <w:trHeight w:val="224"/>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24"/>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4"/>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reissuance for ESPP</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4"/>
        </w:trPr>
        <w:tc>
          <w:tcPr>
            <w:tcW w:w="3460" w:type="dxa"/>
            <w:vAlign w:val="bottom"/>
          </w:tcPr>
          <w:p>
            <w:pPr>
              <w:ind w:left="140"/>
              <w:spacing w:after="0" w:line="224" w:lineRule="exact"/>
              <w:rPr>
                <w:sz w:val="20"/>
                <w:szCs w:val="20"/>
                <w:color w:val="auto"/>
              </w:rPr>
            </w:pPr>
            <w:r>
              <w:rPr>
                <w:rFonts w:ascii="Times New Roman" w:cs="Times New Roman" w:eastAsia="Times New Roman" w:hAnsi="Times New Roman"/>
                <w:sz w:val="18"/>
                <w:szCs w:val="18"/>
                <w:color w:val="auto"/>
              </w:rPr>
              <w:t>Share repurchases</w:t>
            </w:r>
            <w:r>
              <w:rPr>
                <w:rFonts w:ascii="Times New Roman" w:cs="Times New Roman" w:eastAsia="Times New Roman" w:hAnsi="Times New Roman"/>
                <w:sz w:val="22"/>
                <w:szCs w:val="22"/>
                <w:color w:val="auto"/>
                <w:vertAlign w:val="superscript"/>
              </w:rPr>
              <w:t>(a)(g)</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0" w:type="dxa"/>
            <w:vAlign w:val="bottom"/>
          </w:tcPr>
          <w:p>
            <w:pPr>
              <w:spacing w:after="0"/>
              <w:rPr>
                <w:sz w:val="1"/>
                <w:szCs w:val="1"/>
                <w:color w:val="auto"/>
              </w:rPr>
            </w:pPr>
          </w:p>
        </w:tc>
      </w:tr>
      <w:tr>
        <w:trPr>
          <w:trHeight w:val="224"/>
        </w:trPr>
        <w:tc>
          <w:tcPr>
            <w:tcW w:w="346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Retirement of treasury stock</w:t>
            </w:r>
            <w:r>
              <w:rPr>
                <w:rFonts w:ascii="Times New Roman" w:cs="Times New Roman" w:eastAsia="Times New Roman" w:hAnsi="Times New Roman"/>
                <w:sz w:val="22"/>
                <w:szCs w:val="22"/>
                <w:color w:val="auto"/>
                <w:vertAlign w:val="superscript"/>
              </w:rPr>
              <w:t>(b)</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460" w:type="dxa"/>
            <w:vAlign w:val="bottom"/>
          </w:tcPr>
          <w:p>
            <w:pPr>
              <w:ind w:left="140"/>
              <w:spacing w:after="0" w:line="224" w:lineRule="exact"/>
              <w:rPr>
                <w:sz w:val="20"/>
                <w:szCs w:val="20"/>
                <w:color w:val="auto"/>
              </w:rPr>
            </w:pPr>
            <w:r>
              <w:rPr>
                <w:rFonts w:ascii="Times New Roman" w:cs="Times New Roman" w:eastAsia="Times New Roman" w:hAnsi="Times New Roman"/>
                <w:sz w:val="18"/>
                <w:szCs w:val="18"/>
                <w:color w:val="auto"/>
              </w:rPr>
              <w:t>Equity-based awards activity, net</w:t>
            </w:r>
            <w:r>
              <w:rPr>
                <w:rFonts w:ascii="Times New Roman" w:cs="Times New Roman" w:eastAsia="Times New Roman" w:hAnsi="Times New Roman"/>
                <w:sz w:val="22"/>
                <w:szCs w:val="22"/>
                <w:color w:val="auto"/>
                <w:vertAlign w:val="superscript"/>
              </w:rPr>
              <w:t>(c)</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76"/>
        </w:trPr>
        <w:tc>
          <w:tcPr>
            <w:tcW w:w="34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dividends and dividend</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460" w:type="dxa"/>
            <w:vAlign w:val="bottom"/>
            <w:shd w:val="clear" w:color="auto" w:fill="CCEEFF"/>
          </w:tcPr>
          <w:p>
            <w:pPr>
              <w:ind w:left="220"/>
              <w:spacing w:after="0" w:line="232" w:lineRule="exact"/>
              <w:rPr>
                <w:sz w:val="20"/>
                <w:szCs w:val="20"/>
                <w:color w:val="auto"/>
              </w:rPr>
            </w:pPr>
            <w:r>
              <w:rPr>
                <w:rFonts w:ascii="Times New Roman" w:cs="Times New Roman" w:eastAsia="Times New Roman" w:hAnsi="Times New Roman"/>
                <w:sz w:val="18"/>
                <w:szCs w:val="18"/>
                <w:color w:val="auto"/>
              </w:rPr>
              <w:t>equivalents declared</w:t>
            </w:r>
            <w:r>
              <w:rPr>
                <w:rFonts w:ascii="Times New Roman" w:cs="Times New Roman" w:eastAsia="Times New Roman" w:hAnsi="Times New Roman"/>
                <w:sz w:val="22"/>
                <w:szCs w:val="22"/>
                <w:color w:val="auto"/>
                <w:vertAlign w:val="superscript"/>
              </w:rPr>
              <w:t>(d)</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24"/>
        </w:trPr>
        <w:tc>
          <w:tcPr>
            <w:tcW w:w="3460" w:type="dxa"/>
            <w:vAlign w:val="bottom"/>
          </w:tcPr>
          <w:p>
            <w:pPr>
              <w:ind w:left="140"/>
              <w:spacing w:after="0" w:line="224" w:lineRule="exact"/>
              <w:rPr>
                <w:sz w:val="20"/>
                <w:szCs w:val="20"/>
                <w:color w:val="auto"/>
              </w:rPr>
            </w:pPr>
            <w:r>
              <w:rPr>
                <w:rFonts w:ascii="Times New Roman" w:cs="Times New Roman" w:eastAsia="Times New Roman" w:hAnsi="Times New Roman"/>
                <w:sz w:val="18"/>
                <w:szCs w:val="18"/>
                <w:color w:val="auto"/>
              </w:rPr>
              <w:t>Series A Preferred Stock dividends</w:t>
            </w:r>
            <w:r>
              <w:rPr>
                <w:rFonts w:ascii="Times New Roman" w:cs="Times New Roman" w:eastAsia="Times New Roman" w:hAnsi="Times New Roman"/>
                <w:sz w:val="22"/>
                <w:szCs w:val="22"/>
                <w:color w:val="auto"/>
                <w:vertAlign w:val="superscript"/>
              </w:rPr>
              <w:t>(e)</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4"/>
        </w:trPr>
        <w:tc>
          <w:tcPr>
            <w:tcW w:w="346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Capped Call Options</w:t>
            </w:r>
            <w:r>
              <w:rPr>
                <w:rFonts w:ascii="Times New Roman" w:cs="Times New Roman" w:eastAsia="Times New Roman" w:hAnsi="Times New Roman"/>
                <w:sz w:val="22"/>
                <w:szCs w:val="22"/>
                <w:color w:val="auto"/>
                <w:vertAlign w:val="superscript"/>
              </w:rPr>
              <w:t>(f)</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4"/>
        </w:trPr>
        <w:tc>
          <w:tcPr>
            <w:tcW w:w="3460" w:type="dxa"/>
            <w:vAlign w:val="bottom"/>
          </w:tcPr>
          <w:p>
            <w:pPr>
              <w:ind w:left="140"/>
              <w:spacing w:after="0" w:line="224" w:lineRule="exact"/>
              <w:rPr>
                <w:sz w:val="20"/>
                <w:szCs w:val="20"/>
                <w:color w:val="auto"/>
              </w:rPr>
            </w:pPr>
            <w:r>
              <w:rPr>
                <w:rFonts w:ascii="Times New Roman" w:cs="Times New Roman" w:eastAsia="Times New Roman" w:hAnsi="Times New Roman"/>
                <w:sz w:val="18"/>
                <w:szCs w:val="18"/>
                <w:color w:val="auto"/>
              </w:rPr>
              <w:t>Settlement of Capped Call Options</w:t>
            </w:r>
            <w:r>
              <w:rPr>
                <w:rFonts w:ascii="Times New Roman" w:cs="Times New Roman" w:eastAsia="Times New Roman" w:hAnsi="Times New Roman"/>
                <w:sz w:val="22"/>
                <w:szCs w:val="22"/>
                <w:color w:val="auto"/>
                <w:vertAlign w:val="superscript"/>
              </w:rPr>
              <w:t>(f)</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46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Conversion of Convertible Senior Notes</w:t>
            </w:r>
            <w:r>
              <w:rPr>
                <w:rFonts w:ascii="Times New Roman" w:cs="Times New Roman" w:eastAsia="Times New Roman" w:hAnsi="Times New Roman"/>
                <w:sz w:val="22"/>
                <w:szCs w:val="22"/>
                <w:color w:val="auto"/>
                <w:vertAlign w:val="superscript"/>
              </w:rPr>
              <w:t>(h)</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center"/>
              <w:ind w:left="417"/>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235" w:right="100" w:hanging="235"/>
        <w:spacing w:after="0" w:line="263" w:lineRule="auto"/>
        <w:tabs>
          <w:tab w:leader="none" w:pos="232"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excise tax accrued of $11 million, $9 million and $10 million for the years ended December 31, 2025, 2024 and 2023, respectively. For further discussion of the share repurchases, see Note 15</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Capital Structure</w:t>
      </w:r>
    </w:p>
    <w:p>
      <w:pPr>
        <w:spacing w:after="0" w:line="1" w:lineRule="exact"/>
        <w:rPr>
          <w:rFonts w:ascii="Times New Roman" w:cs="Times New Roman" w:eastAsia="Times New Roman" w:hAnsi="Times New Roman"/>
          <w:sz w:val="14"/>
          <w:szCs w:val="14"/>
          <w:color w:val="auto"/>
        </w:rPr>
      </w:pPr>
    </w:p>
    <w:p>
      <w:pPr>
        <w:ind w:left="235" w:hanging="235"/>
        <w:spacing w:after="0"/>
        <w:tabs>
          <w:tab w:leader="none" w:pos="235"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further discussion of the treasury stock retirements, see Note 15</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Capital Structure</w:t>
      </w:r>
    </w:p>
    <w:p>
      <w:pPr>
        <w:ind w:left="235" w:right="20" w:hanging="235"/>
        <w:spacing w:after="0" w:line="251" w:lineRule="auto"/>
        <w:tabs>
          <w:tab w:leader="none" w:pos="232"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$(92) million, $(50) million and $(22) million of equivalent shares purchased in lieu of tax withholding on equity compensation issuances for the years ended December 31, 2025, 2024 and 2023, respectively</w:t>
      </w:r>
    </w:p>
    <w:p>
      <w:pPr>
        <w:spacing w:after="0" w:line="1" w:lineRule="exact"/>
        <w:rPr>
          <w:rFonts w:ascii="Times New Roman" w:cs="Times New Roman" w:eastAsia="Times New Roman" w:hAnsi="Times New Roman"/>
          <w:sz w:val="14"/>
          <w:szCs w:val="14"/>
          <w:color w:val="auto"/>
        </w:rPr>
      </w:pPr>
    </w:p>
    <w:p>
      <w:pPr>
        <w:ind w:left="235" w:hanging="235"/>
        <w:spacing w:after="0"/>
        <w:tabs>
          <w:tab w:leader="none" w:pos="235"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Dividends per common share were $1.76, $1.63 and $1.51 for each of the years ended December 31, 2025, 2024 and 2023, respectively</w:t>
      </w:r>
    </w:p>
    <w:p>
      <w:pPr>
        <w:spacing w:after="0" w:line="10" w:lineRule="exact"/>
        <w:rPr>
          <w:rFonts w:ascii="Times New Roman" w:cs="Times New Roman" w:eastAsia="Times New Roman" w:hAnsi="Times New Roman"/>
          <w:sz w:val="14"/>
          <w:szCs w:val="14"/>
          <w:color w:val="auto"/>
        </w:rPr>
      </w:pPr>
    </w:p>
    <w:p>
      <w:pPr>
        <w:ind w:left="235" w:hanging="235"/>
        <w:spacing w:after="0"/>
        <w:tabs>
          <w:tab w:leader="none" w:pos="235"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Dividends per share of Series A Preferred Stock were $51.25 for each of the periods ended September 15 and March 15, 2025 and 2024 and $52.96 for the</w:t>
      </w:r>
    </w:p>
    <w:p>
      <w:pPr>
        <w:spacing w:after="0" w:line="200" w:lineRule="exact"/>
        <w:rPr>
          <w:sz w:val="20"/>
          <w:szCs w:val="20"/>
          <w:color w:val="auto"/>
        </w:rPr>
      </w:pPr>
    </w:p>
    <w:p>
      <w:pPr>
        <w:spacing w:after="0" w:line="342" w:lineRule="exact"/>
        <w:rPr>
          <w:sz w:val="20"/>
          <w:szCs w:val="20"/>
          <w:color w:val="auto"/>
        </w:rPr>
      </w:pPr>
    </w:p>
    <w:p>
      <w:pPr>
        <w:jc w:val="center"/>
        <w:ind w:right="-134"/>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716089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95"/>
          </w:cols>
          <w:pgMar w:left="325" w:top="869" w:right="479" w:bottom="1440" w:gutter="0" w:footer="0" w:header="0"/>
        </w:sectPr>
      </w:pPr>
    </w:p>
    <w:bookmarkStart w:id="91" w:name="page92"/>
    <w:bookmarkEnd w:id="91"/>
    <w:p>
      <w:pPr>
        <w:ind w:left="235"/>
        <w:spacing w:after="0"/>
        <w:rPr>
          <w:sz w:val="20"/>
          <w:szCs w:val="20"/>
          <w:color w:val="auto"/>
        </w:rPr>
      </w:pPr>
      <w:r>
        <w:rPr>
          <w:rFonts w:ascii="Times New Roman" w:cs="Times New Roman" w:eastAsia="Times New Roman" w:hAnsi="Times New Roman"/>
          <w:sz w:val="14"/>
          <w:szCs w:val="14"/>
          <w:color w:val="auto"/>
        </w:rPr>
        <w:t>period ended September 15, 2023</w:t>
      </w:r>
    </w:p>
    <w:p>
      <w:pPr>
        <w:spacing w:after="0" w:line="22" w:lineRule="exact"/>
        <w:rPr>
          <w:sz w:val="20"/>
          <w:szCs w:val="20"/>
          <w:color w:val="auto"/>
        </w:rPr>
      </w:pPr>
    </w:p>
    <w:p>
      <w:pPr>
        <w:ind w:left="235" w:hanging="235"/>
        <w:spacing w:after="0"/>
        <w:tabs>
          <w:tab w:leader="none" w:pos="235"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further discussion of the Capped Call Options, see Note 15</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Capital Structure</w:t>
      </w:r>
    </w:p>
    <w:p>
      <w:pPr>
        <w:spacing w:after="0" w:line="10" w:lineRule="exact"/>
        <w:rPr>
          <w:rFonts w:ascii="Times New Roman" w:cs="Times New Roman" w:eastAsia="Times New Roman" w:hAnsi="Times New Roman"/>
          <w:sz w:val="14"/>
          <w:szCs w:val="14"/>
          <w:color w:val="auto"/>
        </w:rPr>
      </w:pPr>
    </w:p>
    <w:p>
      <w:pPr>
        <w:ind w:left="235" w:hanging="235"/>
        <w:spacing w:after="0"/>
        <w:tabs>
          <w:tab w:leader="none" w:pos="235"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$16 million of payments for shares received from the exercise of the Capped Call Options. For further discussion</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see Note 15</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Capital Structure</w:t>
      </w:r>
    </w:p>
    <w:p>
      <w:pPr>
        <w:spacing w:after="0" w:line="12" w:lineRule="exact"/>
        <w:rPr>
          <w:rFonts w:ascii="Times New Roman" w:cs="Times New Roman" w:eastAsia="Times New Roman" w:hAnsi="Times New Roman"/>
          <w:sz w:val="13"/>
          <w:szCs w:val="13"/>
          <w:color w:val="auto"/>
        </w:rPr>
      </w:pPr>
    </w:p>
    <w:p>
      <w:pPr>
        <w:ind w:left="235" w:hanging="235"/>
        <w:spacing w:after="0"/>
        <w:tabs>
          <w:tab w:leader="none" w:pos="235"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further discussion of the Convertible Senior Notes, see Note 12, </w:t>
      </w:r>
      <w:r>
        <w:rPr>
          <w:rFonts w:ascii="Times New Roman" w:cs="Times New Roman" w:eastAsia="Times New Roman" w:hAnsi="Times New Roman"/>
          <w:sz w:val="14"/>
          <w:szCs w:val="14"/>
          <w:i w:val="1"/>
          <w:iCs w:val="1"/>
          <w:color w:val="auto"/>
        </w:rPr>
        <w:t>Long-term Debt and Finance Leases</w:t>
      </w:r>
    </w:p>
    <w:p>
      <w:pPr>
        <w:spacing w:after="0" w:line="235" w:lineRule="exact"/>
        <w:rPr>
          <w:sz w:val="20"/>
          <w:szCs w:val="20"/>
          <w:color w:val="auto"/>
        </w:rPr>
      </w:pPr>
    </w:p>
    <w:p>
      <w:pPr>
        <w:ind w:left="3955"/>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343" w:lineRule="exact"/>
        <w:rPr>
          <w:sz w:val="20"/>
          <w:szCs w:val="20"/>
          <w:color w:val="auto"/>
        </w:rPr>
      </w:pPr>
    </w:p>
    <w:p>
      <w:pPr>
        <w:ind w:left="5535"/>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716089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4"/>
          </w:cols>
          <w:pgMar w:left="325" w:top="867" w:right="1440"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NRG ENERGY, INC. AND SUBSIDIARIES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w:t>
      </w:r>
      <w:r>
        <w:rPr>
          <w:rFonts w:ascii="Times New Roman" w:cs="Times New Roman" w:eastAsia="Times New Roman" w:hAnsi="Times New Roman"/>
          <w:sz w:val="18"/>
          <w:szCs w:val="18"/>
          <w:b w:val="1"/>
          <w:bCs w:val="1"/>
          <w:i w:val="1"/>
          <w:iCs w:val="1"/>
          <w:color w:val="auto"/>
        </w:rPr>
        <w:t>Nature of Business</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1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NRG Energy, Inc., or NRG or the Company, serves electricity, natural gas, and smart-home technology solutions to approximately 8 million residential customers (comprised of 6 million retail energy and 2 million smart home), in addition to large commercial and industrial, data center, and wholesale customers. Across North America, NRG is redefining customer’s experience with energy under the brand names such as NRG, Reliant, Direct Energy, Green Mountain Energy and Vivint. As of December 31, 2025, the Company’s core power and natural gas business consists of approximately 12 GW of competitive power generation, primarily in Texas, and a natural gas portfolio that serves approximately 1,900 MMDth annually.</w:t>
      </w:r>
    </w:p>
    <w:p>
      <w:pPr>
        <w:spacing w:after="0" w:line="8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January 30, 2026, NRG completed the acquisition of the LSP Portfolio, pursuant to the Purchase Agreement dated as of May 12, 2025. The LSP Portfolio includes 18 natural gas-fired and dual fuel facilities totaling approximately 13 GW of capacity, located across nine states, as well as CPower, a leading demand response platform.</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business is segmented as follows:</w:t>
      </w:r>
    </w:p>
    <w:p>
      <w:pPr>
        <w:spacing w:after="0" w:line="43" w:lineRule="exact"/>
        <w:rPr>
          <w:sz w:val="20"/>
          <w:szCs w:val="20"/>
          <w:color w:val="auto"/>
        </w:rPr>
      </w:pPr>
    </w:p>
    <w:p>
      <w:pPr>
        <w:ind w:left="640" w:hanging="240"/>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which includes all activity related to customer, plant and market operations in Texas;</w:t>
      </w:r>
    </w:p>
    <w:p>
      <w:pPr>
        <w:spacing w:after="0" w:line="56"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East, which includes all activity related to customer, plant and market operations in the East;</w:t>
      </w:r>
    </w:p>
    <w:p>
      <w:pPr>
        <w:spacing w:after="0" w:line="56" w:lineRule="exact"/>
        <w:rPr>
          <w:rFonts w:ascii="Times New Roman" w:cs="Times New Roman" w:eastAsia="Times New Roman" w:hAnsi="Times New Roman"/>
          <w:sz w:val="18"/>
          <w:szCs w:val="18"/>
          <w:color w:val="auto"/>
        </w:rPr>
      </w:pPr>
    </w:p>
    <w:p>
      <w:pPr>
        <w:ind w:left="640" w:hanging="240"/>
        <w:spacing w:after="0" w:line="268" w:lineRule="auto"/>
        <w:tabs>
          <w:tab w:leader="none" w:pos="63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West/Other, which includes the following assets and activities: (i) all activity related to customer, plant and market operations in the West and Canada, and (ii) other investments;</w:t>
      </w:r>
    </w:p>
    <w:p>
      <w:pPr>
        <w:spacing w:after="0" w:line="11"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Vivint Smart Home; and</w:t>
      </w:r>
    </w:p>
    <w:p>
      <w:pPr>
        <w:spacing w:after="0" w:line="56"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activities.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w:t>
      </w:r>
      <w:r>
        <w:rPr>
          <w:rFonts w:ascii="Times New Roman" w:cs="Times New Roman" w:eastAsia="Times New Roman" w:hAnsi="Times New Roman"/>
          <w:sz w:val="18"/>
          <w:szCs w:val="18"/>
          <w:b w:val="1"/>
          <w:bCs w:val="1"/>
          <w:i w:val="1"/>
          <w:iCs w:val="1"/>
          <w:color w:val="auto"/>
        </w:rPr>
        <w:t>Summary of Significant Accounting Policies</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accordance with U.S. GAAP. The ASC, established by the FASB, is the source of authoritative U.S. GAAP to be applied by nongovernmental entities. In addition, the rules and interpretative releases of the SEC under authority of federal securities laws are also sources of authoritative U.S. GAAP for SEC registrants.</w:t>
      </w:r>
    </w:p>
    <w:p>
      <w:pPr>
        <w:spacing w:after="0" w:line="75"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 xml:space="preserve">The consolidated financial statements include NRG's accounts and operations and those of its subsidiaries in which the Company has a controlling interest. All significant intercompany transactions and balances have been eliminated in consolidation. The usual condition for a controlling financial interest is ownership of a majority of the voting interests of an entity. However, a controlling financial interest may also exist through arrangements that do not involve controlling voting interests. As such, NRG applies the guidance of ASC 810, </w:t>
      </w:r>
      <w:r>
        <w:rPr>
          <w:rFonts w:ascii="Times New Roman" w:cs="Times New Roman" w:eastAsia="Times New Roman" w:hAnsi="Times New Roman"/>
          <w:sz w:val="18"/>
          <w:szCs w:val="18"/>
          <w:i w:val="1"/>
          <w:iCs w:val="1"/>
          <w:color w:val="auto"/>
        </w:rPr>
        <w:t>Consolidations,</w:t>
      </w:r>
      <w:r>
        <w:rPr>
          <w:rFonts w:ascii="Times New Roman" w:cs="Times New Roman" w:eastAsia="Times New Roman" w:hAnsi="Times New Roman"/>
          <w:sz w:val="18"/>
          <w:szCs w:val="18"/>
          <w:color w:val="auto"/>
        </w:rPr>
        <w:t xml:space="preserve"> or ASC 810, to determine when an entity that is insufficiently capitalized or not controlled through its voting interests, referred to as a VIE, should be consolidated.</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Credit Losses</w:t>
      </w:r>
    </w:p>
    <w:p>
      <w:pPr>
        <w:spacing w:after="0" w:line="111"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 xml:space="preserve">In accordance with ASU No. 2016-13, </w:t>
      </w:r>
      <w:r>
        <w:rPr>
          <w:rFonts w:ascii="Times New Roman" w:cs="Times New Roman" w:eastAsia="Times New Roman" w:hAnsi="Times New Roman"/>
          <w:sz w:val="18"/>
          <w:szCs w:val="18"/>
          <w:i w:val="1"/>
          <w:iCs w:val="1"/>
          <w:color w:val="auto"/>
        </w:rPr>
        <w:t>Financial Instruments - Credit Losses (Topic 326): Measurement of Credit Losses on Financial Instruments</w:t>
      </w:r>
      <w:r>
        <w:rPr>
          <w:rFonts w:ascii="Times New Roman" w:cs="Times New Roman" w:eastAsia="Times New Roman" w:hAnsi="Times New Roman"/>
          <w:sz w:val="18"/>
          <w:szCs w:val="18"/>
          <w:color w:val="auto"/>
        </w:rPr>
        <w:t>, or ASU No. 2016-13, retail trade receivables are reported on the balance sheet net of the allowance for credit losses within accounts receivables, net. Long-term receivables are recorded net in other non-current assets on the consolidated balance sheet. The Company accrues an allowance for current expected credit losses based on (i) estimates of uncollectible revenues by analyzing accounts receivable aging and current and reasonable forecasts of expected economic factors including, but not limited to, unemployment rates and weather-related events, (ii) historical collections and delinquencies, and (iii) counterparty credit ratings for commercial and industrial customers. The Company writes off customer contract receivable balances against the allowance for credit losses when it is determined a receivable is uncollectible.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93" w:name="page94"/>
    <w:bookmarkEnd w:id="93"/>
    <w:p>
      <w:pPr>
        <w:ind w:left="400"/>
        <w:spacing w:after="0"/>
        <w:rPr>
          <w:sz w:val="20"/>
          <w:szCs w:val="20"/>
          <w:color w:val="auto"/>
        </w:rPr>
      </w:pPr>
      <w:r>
        <w:rPr>
          <w:rFonts w:ascii="Times New Roman" w:cs="Times New Roman" w:eastAsia="Times New Roman" w:hAnsi="Times New Roman"/>
          <w:sz w:val="18"/>
          <w:szCs w:val="18"/>
          <w:color w:val="auto"/>
        </w:rPr>
        <w:t>The following table presents the activity in the allowance for credit losses for the years ended December 31, 2025, 2024, and 2023:</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205"/>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8"/>
        </w:trPr>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Beginning balance</w:t>
            </w: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4"/>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Acquired balance from Vivint Smart Home</w:t>
            </w:r>
          </w:p>
        </w:tc>
        <w:tc>
          <w:tcPr>
            <w:tcW w:w="46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4"/>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24"/>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Write-offs</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4"/>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Recoveries collected</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4"/>
        </w:trPr>
        <w:tc>
          <w:tcPr>
            <w:tcW w:w="5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2"/>
        </w:trPr>
        <w:tc>
          <w:tcPr>
            <w:tcW w:w="5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Cash and cash equivalents include highly liquid investments with an original maturity of three months or less at the time of purchase.</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Funds Deposited by Counterparties</w:t>
      </w:r>
    </w:p>
    <w:p>
      <w:pPr>
        <w:spacing w:after="0" w:line="113"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Funds deposited by counterparties consist of cash held by the Company as a result of collateral posting obligations from its counterparties related to NRG's hedging program. The increase in funds deposited by counterparties is driven by the increase in forward positions as a result of increases in power prices compared to December 31, 2024. Though some amounts are segregated into separate accounts, not all funds are contractually restricted. Based on the Company's intention, these funds are not available for the payment of general corporate obligations; however, they are available for liquidity management. Depending on market fluctuations and the settlement of the underlying contracts, the Company will refund this collateral to the hedge counterparties pursuant to the terms and conditions of the underlying trades. Since collateral requirements fluctuate daily and the Company cannot predict if any collateral will be held for more than twelve months, the funds deposited by counterparties are classified as a current asset on the Company's balance sheet, with an offsetting liability for this cash collateral received within current liabilities.</w:t>
      </w:r>
    </w:p>
    <w:p>
      <w:pPr>
        <w:spacing w:after="0" w:line="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1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restricted cash and funds deposited by counterparties reported within the consolidated balance sheets that sum to the total of the same such amounts shown in the statements of cash flows.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8"/>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24"/>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Funds deposited by counterparties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4"/>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51"/>
        </w:trPr>
        <w:tc>
          <w:tcPr>
            <w:tcW w:w="704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color w:val="auto"/>
              </w:rPr>
              <w:t>Cash and cash equivalents, funds deposited by counterparties and restricted cash shown in the</w:t>
            </w:r>
          </w:p>
        </w:tc>
        <w:tc>
          <w:tcPr>
            <w:tcW w:w="30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20" w:type="dxa"/>
            <w:vAlign w:val="bottom"/>
          </w:tcPr>
          <w:p>
            <w:pPr>
              <w:spacing w:after="0"/>
              <w:rPr>
                <w:sz w:val="13"/>
                <w:szCs w:val="13"/>
                <w:color w:val="auto"/>
              </w:rPr>
            </w:pPr>
          </w:p>
        </w:tc>
        <w:tc>
          <w:tcPr>
            <w:tcW w:w="30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20" w:type="dxa"/>
            <w:vAlign w:val="bottom"/>
          </w:tcPr>
          <w:p>
            <w:pPr>
              <w:spacing w:after="0"/>
              <w:rPr>
                <w:sz w:val="13"/>
                <w:szCs w:val="13"/>
                <w:color w:val="auto"/>
              </w:rPr>
            </w:pPr>
          </w:p>
        </w:tc>
        <w:tc>
          <w:tcPr>
            <w:tcW w:w="30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16"/>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statements of cash flows</w:t>
            </w:r>
          </w:p>
        </w:tc>
        <w:tc>
          <w:tcPr>
            <w:tcW w:w="3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Restricted cash consists primarily of funds held by the Company for projects under construction or that are restricted in their use due to contractual or legal obligations.</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1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Inventory consists principally of natural gas, fuel oil, coal, spare parts and finished goods. The Company removes natural gas inventory as goods are delivered to customers and as they are used in the production of electricity or steam. The Company removes fuel oil and coal inventories as they are used in the production of electricity. The Company removes spare parts inventories when they are used for repairs, maintenance or capital projects. The Company expects to recover the natural gas, fuel oil, coal and spare parts costs in the ordinary course of business. Inventory is valued at the lower of cost or net realizable value with cost being determined on a first in first out basis for finished goods and weighted average cost method for all other inventories. The Company removes finished goods inventories as they are sold to customers. Inventories sold to customers as part of a smart home system are generally capitalized as contract costs. Sales of inventory are classified as an operating activity in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94" w:name="page95"/>
    <w:bookmarkEnd w:id="94"/>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1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 xml:space="preserve">Property, plant and equipment are stated at cost or, in the case of business acquisitions, acquisition date fair value; however, impairment adjustments are recorded whenever events or changes in circumstances indicate that their carrying values may not be recoverable. Significant additions or improvements extending asset lives are capitalized as incurred, while repairs and maintenance that do not improve or extend the life of the respective asset are charged to expense as incurred. Depreciation, other than nuclear fuel, is computed using the straight-line method, while nuclear fuel was amortized based on units of production over the estimated useful lives. Certain assets and their related accumulated depreciation amounts are adjusted for asset retirements and disposals with the resulting gain or loss included in cost of operations in the consolidated statements of operations. For further discussion, see Note 8, </w:t>
      </w:r>
      <w:r>
        <w:rPr>
          <w:rFonts w:ascii="Times New Roman" w:cs="Times New Roman" w:eastAsia="Times New Roman" w:hAnsi="Times New Roman"/>
          <w:sz w:val="18"/>
          <w:szCs w:val="18"/>
          <w:i w:val="1"/>
          <w:iCs w:val="1"/>
          <w:color w:val="auto"/>
        </w:rPr>
        <w:t>Property, Plant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Equipment</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Business Interruption Insurance</w:t>
      </w:r>
    </w:p>
    <w:p>
      <w:pPr>
        <w:spacing w:after="0" w:line="113"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The Company carries insurance policies to cover insurable risks including, but not limited to, business interruption. There were no business interruption insurance settlements during the years ended December 31, 2025 or 2024. As a result of damage at the Limestone 1 and W.A. Parish 8 units, the Company recorded business interruption insurance settlements of $7 million during the year ended December 31, 2023. Business interruption insurance is recorded to cost of operations in the consolidated statements of operations and cash provided by operating activities in the consolidated statement of cash flows.</w:t>
      </w:r>
    </w:p>
    <w:p>
      <w:pPr>
        <w:spacing w:after="0" w:line="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Asset Impairments</w:t>
      </w:r>
    </w:p>
    <w:p>
      <w:pPr>
        <w:spacing w:after="0" w:line="11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Long-lived assets that are held and used are reviewed for impairment whenever events or changes in circumstances indicate carrying values may not be recoverable. Such reviews are performed in accordance with ASC 360. An impairment loss is indicated if the total future estimated undiscounted cash flows expected from an asset are less than its carrying value. An impairment charge is measured by the difference between an asset's carrying amount and fair value with the difference recorded in operating costs and expenses in the consolidated statements of operations. Fair values are determined by a variety of valuation methods, including third-party appraisals, sales prices of similar assets and present value techniques.</w:t>
      </w:r>
    </w:p>
    <w:p>
      <w:pPr>
        <w:spacing w:after="0" w:line="78"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color w:val="auto"/>
        </w:rPr>
        <w:t xml:space="preserve">Investments accounted for by the equity method are reviewed for impairment in accordance with ASC 323, </w:t>
      </w:r>
      <w:r>
        <w:rPr>
          <w:rFonts w:ascii="Times New Roman" w:cs="Times New Roman" w:eastAsia="Times New Roman" w:hAnsi="Times New Roman"/>
          <w:sz w:val="18"/>
          <w:szCs w:val="18"/>
          <w:i w:val="1"/>
          <w:iCs w:val="1"/>
          <w:color w:val="auto"/>
        </w:rPr>
        <w:t>Investments-Equity Method and Joint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Ventures</w:t>
      </w:r>
      <w:r>
        <w:rPr>
          <w:rFonts w:ascii="Times New Roman" w:cs="Times New Roman" w:eastAsia="Times New Roman" w:hAnsi="Times New Roman"/>
          <w:sz w:val="18"/>
          <w:szCs w:val="18"/>
          <w:color w:val="auto"/>
        </w:rPr>
        <w:t>, or ASC 323, which requires that a loss in value of an investment that is an other-than-temporary decline should be recognized.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identifies and measures losses in the value of equity method investments based upon a comparison of fair value to carrying value. For further discussion of these matters, refer to Note 10, </w:t>
      </w:r>
      <w:r>
        <w:rPr>
          <w:rFonts w:ascii="Times New Roman" w:cs="Times New Roman" w:eastAsia="Times New Roman" w:hAnsi="Times New Roman"/>
          <w:sz w:val="18"/>
          <w:szCs w:val="18"/>
          <w:i w:val="1"/>
          <w:iCs w:val="1"/>
          <w:color w:val="auto"/>
        </w:rPr>
        <w:t>Asset Impairments</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Debt issuance costs are capitalized and amortized as interest expense on a basis that approximates the effective interest method over the term of the related debt. Debt issuance costs are presented as a direct deduction from the carrying amount of the related debt, or as an asset if the issuance costs relate to revolving debt agreements or certain other financing arrangements.</w:t>
      </w:r>
    </w:p>
    <w:p>
      <w:pPr>
        <w:spacing w:after="0" w:line="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1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Intangible assets represent contractual rights held by the Company. The Company recognizes specifically identifiable intangible assets including emissions allowances, customer and supply contracts, customer relationships, marketing partnerships, technologies, trade names and fuel contracts when specific rights and contracts are acquired. These intangible assets are amortized based on expected volumes, expected delivery, expected discounted future net cash flows, straight line or units of production basis. As of December 31, 2025 and 2024, the Company had accumulated amortization related to its intangible assets of $4.0 billion and $3.6 billion, respectively.</w:t>
      </w:r>
    </w:p>
    <w:p>
      <w:pPr>
        <w:spacing w:after="0" w:line="8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Emission allowances held-for-sale, which are included in other non-current assets on the Company's consolidated balance sheet, are not amortized; they are carried at the lower of cost or fair value and reviewed for impairment in accordance with ASC 360.</w:t>
      </w:r>
    </w:p>
    <w:p>
      <w:pPr>
        <w:spacing w:after="0" w:line="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For further discussion, see Note 11, </w:t>
      </w:r>
      <w:r>
        <w:rPr>
          <w:rFonts w:ascii="Times New Roman" w:cs="Times New Roman" w:eastAsia="Times New Roman" w:hAnsi="Times New Roman"/>
          <w:sz w:val="18"/>
          <w:szCs w:val="18"/>
          <w:i w:val="1"/>
          <w:iCs w:val="1"/>
          <w:color w:val="auto"/>
        </w:rPr>
        <w:t>Goodwill and Other Intangibles</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11"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or ASC 350, the Company recognizes goodwill for the excess cost of an acquired entity over the net value assigned to assets acquired and liabilities assumed. NRG performs goodwill impairment tests annually, during the fourth quarter, and when events or changes in circumstances indicate that the carrying value may not be recoverable.</w:t>
      </w:r>
    </w:p>
    <w:p>
      <w:pPr>
        <w:spacing w:after="0" w:line="7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 may first assess qualitative factors to determine whether it is more likely than not that the fair value of a reporting unit is less than its carrying amount. The more-likely-than-not threshold is defined as having a likelihood of more than 50 percent. If it is not more-likely-than-not that the fair value of a reporting unit is less than its carrying amount, there is no goodwill impairment.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95" w:name="page96"/>
    <w:bookmarkEnd w:id="95"/>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the absence of sufficient qualitative factors indicating that it is more-likely-than-not that no impairment occurred, the Company performs a quantitative assessment by determining the fair value of the reporting unit and comparing the fair value to its book value. If the fair value of the reporting unit exceeds its book value, goodwill of the reporting unit is not considered impaired. If the book value exceeds fair value, the Company recognizes an impairment loss equal to the difference between book value and fair value.</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For further discussion of goodwill impairment losses recognized refer to Note 10, </w:t>
      </w:r>
      <w:r>
        <w:rPr>
          <w:rFonts w:ascii="Times New Roman" w:cs="Times New Roman" w:eastAsia="Times New Roman" w:hAnsi="Times New Roman"/>
          <w:sz w:val="18"/>
          <w:szCs w:val="18"/>
          <w:i w:val="1"/>
          <w:iCs w:val="1"/>
          <w:color w:val="auto"/>
        </w:rPr>
        <w:t>Asset Impairments</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Capitalized Contract Costs</w:t>
      </w:r>
    </w:p>
    <w:p>
      <w:pPr>
        <w:spacing w:after="0" w:line="113"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Capitalized contract costs represent the costs directly related and incremental to the origination of new contracts, modification of existing contracts or to the fulfillment of the related customer contracts. These costs include installed products, commissions, other compensation and the cost of installation of new or upgraded customer contracts. The Company calculates amortization by accumulating all deferred contract costs into separate portfolios based on the initial month of service and amortizes those deferred contract costs on a straight-line basis over the expected period of benefit, consistent with the pattern in which the Company provides services to its customers. The expected period of benefit for customers is approximately five years. The Company updates its estimate of the expected period of benefit periodically and whenever events or circumstances indicate that the expected period of benefit could change significantly. Such changes, if any, are accounted for prospectively as a change in estimate. Amortization of capitalized contract costs are included in depreciation and amortization in the consolidated statements of operations. Contract costs not directly related and incremental to the origination of new contracts, modification of existing contracts or to the fulfillment of the related customer contracts are expensed as incurred.</w:t>
      </w:r>
    </w:p>
    <w:p>
      <w:pPr>
        <w:spacing w:after="0" w:line="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depreciation and amortization included in the consolidated statement of operations consisted of the following:</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80" w:type="dxa"/>
            <w:vAlign w:val="bottom"/>
            <w:gridSpan w:val="6"/>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12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capitalized contract costs related to fulfillment</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4"/>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capitalized contract costs related to customer acquisition</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4"/>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customer relationships and other intangible assets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24"/>
        </w:trPr>
        <w:tc>
          <w:tcPr>
            <w:tcW w:w="6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42"/>
        </w:trPr>
        <w:tc>
          <w:tcPr>
            <w:tcW w:w="6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depreciation and amortization</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1"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income taxes using the liability method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or ASC 740, which requires that the Company use the asset and liability method of accounting for deferred income taxes and provide deferred income taxes for all significant temporary differences.</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has two categories of income tax expense or benefit — current and deferred, as follows:</w:t>
      </w:r>
    </w:p>
    <w:p>
      <w:pPr>
        <w:spacing w:after="0" w:line="109" w:lineRule="exact"/>
        <w:rPr>
          <w:sz w:val="20"/>
          <w:szCs w:val="20"/>
          <w:color w:val="auto"/>
        </w:rPr>
      </w:pPr>
    </w:p>
    <w:p>
      <w:pPr>
        <w:ind w:left="640" w:hanging="319"/>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income tax expense or benefit consists solely of current taxes payable less applicable tax credits, and</w:t>
      </w:r>
    </w:p>
    <w:p>
      <w:pPr>
        <w:spacing w:after="0" w:line="56" w:lineRule="exact"/>
        <w:rPr>
          <w:rFonts w:ascii="Times New Roman" w:cs="Times New Roman" w:eastAsia="Times New Roman" w:hAnsi="Times New Roman"/>
          <w:sz w:val="18"/>
          <w:szCs w:val="18"/>
          <w:color w:val="auto"/>
        </w:rPr>
      </w:pPr>
    </w:p>
    <w:p>
      <w:pPr>
        <w:ind w:left="640" w:right="600" w:hanging="319"/>
        <w:spacing w:after="0" w:line="268" w:lineRule="auto"/>
        <w:tabs>
          <w:tab w:leader="none" w:pos="6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 expense or benefit is the change in the net deferred income tax asset or liability, excluding amounts charged or credited to accumulated other comprehensive income</w:t>
      </w:r>
    </w:p>
    <w:p>
      <w:pPr>
        <w:spacing w:after="0" w:line="6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reports some of its revenues and expenses differently for financial statement purposes than for income tax return purposes, resulting in temporary and permanent differences between the Company's financial statements and income tax returns. The tax effects of such temporary differences are recorded as either deferred income tax assets or deferred income tax liabilities in the Company's consolidated balance sheets. The Company measures its deferred income tax assets and deferred income tax liabilities using income tax rates that are expected to be in effect when the deferred tax is realized.</w:t>
      </w:r>
    </w:p>
    <w:p>
      <w:pPr>
        <w:spacing w:after="0" w:line="7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ASC 740, which applies to all tax positions related to income taxes. Under ASC 740, tax benefits are recognized when it is more-likely-than-not that a tax position will be sustained upon examination by the authorities. The benefit recognized from a position is the amount of benefit that has surpassed the more-likely-than-not threshold, as it is more than 50% likely to be realized upon settlement. The Company recognizes interest and penalties accrued related to uncertain tax benefits as a component of income tax expense.</w:t>
      </w:r>
    </w:p>
    <w:p>
      <w:pPr>
        <w:spacing w:after="0" w:line="76"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color w:val="auto"/>
        </w:rPr>
        <w:t xml:space="preserve">In accordance with ASC 740 and as discussed further in Note 19,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changes to existing net deferred tax assets or valuation allowances or changes to uncertain tax benefits, are recorded to income tax expense/(benefit).</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96" w:name="page97"/>
    <w:bookmarkEnd w:id="96"/>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Contract and Emission Credit Amortization</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Assets and liabilities recognized through acquisitions related to the purchase and sale of energy and energy-related products in future periods for which the fair value has been determined to be significantly less or more than market are amortized to revenues or cost of operations over the term of each underlying contract based on actual generation and/or contracted volumes.</w:t>
      </w:r>
    </w:p>
    <w:p>
      <w:pPr>
        <w:spacing w:after="0" w:line="7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Emission credits represent the right to emit a specified amount of certain pollutants, including sulfur dioxide, nitrogen oxides and carbon dioxide, over a compliance period. Emission credits held for use are amortized to cost of operations based on the weighted average cost of the allowances held.</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Gross Receipts and Sales Taxes</w:t>
      </w:r>
    </w:p>
    <w:p>
      <w:pPr>
        <w:spacing w:after="0" w:line="1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connection with its retail sales, the Company records gross receipts taxes on a gross basis in revenues and cost of operations in its consolidated statements of operations. During the years ended December 31, 2025, 2024, and 2023, the Company's revenues and cost of operations included gross receipts taxes of $225 million, $216 million, and $212 million, respectively. Additionally, the Company records sales taxes collected from its taxable retail customers and remitted to the various governmental entities on a net basis; thus, there is no impact on the Company's consolidated statement of operations.</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Cost of Operations</w:t>
      </w:r>
    </w:p>
    <w:p>
      <w:pPr>
        <w:spacing w:after="0" w:line="11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Cost of operations includes cost of fuel, purchased energy and other costs of sales, mark-to-market for economic hedging activities, contract and emission credit amortization, operations and maintenance, and other cost of operations.</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Cost of Fuel, Purchased Energy and Other Cost of Sales</w:t>
      </w:r>
    </w:p>
    <w:p>
      <w:pPr>
        <w:spacing w:after="0" w:line="113"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Cost of fuel is primarily the costs associated with procurement, transportation and storage of natural gas, nuclear fuel, oil and coal to operate the generation portfolio, which is expensed as the fuel is consumed. Purchased energy primarily relates to purchases to supply the Company's customer base, which includes spot market purchases, as well as contracts of various quantities and durations, including Renewable PPAs with third-party developers, which are primarily accounted for as NPNS (see further discussion in Derivative Instruments below). Other cost of sales primarily consists of TDSP expenses.</w:t>
      </w:r>
    </w:p>
    <w:p>
      <w:pPr>
        <w:spacing w:after="0" w:line="4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cost of fuel is based on actual and estimated fuel usage for the applicable reporting period. The cost to deliver energy and related services to customers is based on actual and estimated supply volumes for the applicable reporting period. A portion of the cost of energy, $276 million, $284 million, and $240 million as of December 31, 2025, 2024, and 2023, respectively, was accrued and consisted of estimated transmission and distribution charges not yet billed by the transmission and distribution utilities.</w:t>
      </w:r>
    </w:p>
    <w:p>
      <w:pPr>
        <w:spacing w:after="0" w:line="7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estimating supply volumes, the Company considers the effects of historical customer volumes, weather factors and usage by customer class. Transmission and distribution delivery fees are estimated using the same method used for electricity sales and services to retail customers. In addition, ISO fees are estimated based on historical trends, estimated supply volumes and initial ISO settlements. Volume estimates are then multiplied by the supply rate and recorded as cost of operations in the applicable reporting period.</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Vivint Smart Home Flex Pay</w:t>
      </w:r>
    </w:p>
    <w:p>
      <w:pPr>
        <w:spacing w:after="0" w:line="11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Under Flex Pay, offered by Vivint Smart Home, customers pay separately for smart home products and services (smart home and security). The customer has the ability to pay for Vivint Smart Home products in the following three ways: (i) qualified customers may finance the purchase through third-party financing providers under the Consumer Financing Program, (ii) Vivint Smart Home generally offers a limited number of customers not eligible for the CFP, but who qualify under Vivint Smart Home underwriting criteria, the option to enter into a retail installment contract directly with Vivint Smart Home or (iii) customers may conduct purchases by check, automatic clearing house payments, credit or debit card or by obtaining short-term financing (generally no more than six-month installment terms) through Vivint Smart Home.</w:t>
      </w:r>
    </w:p>
    <w:p>
      <w:pPr>
        <w:spacing w:after="0" w:line="8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Although customers pay separately for products and services under Flex Pay, the Company has determined that the sale of products and services are one single performance obligation resulting in deferred revenue for the gross amount of products sold. For products financed through the CFP, gross deferred revenues are reduced by (i) any fees the third-party financing provider (“Financing Provider”) is contractually entitled to receive at the time of loan origination, and (ii) the present value of expected future payments due to the Financing Providers</w:t>
      </w:r>
      <w:r>
        <w:rPr>
          <w:rFonts w:ascii="Arial" w:cs="Arial" w:eastAsia="Arial" w:hAnsi="Arial"/>
          <w:sz w:val="14"/>
          <w:szCs w:val="14"/>
          <w:color w:val="auto"/>
        </w:rPr>
        <w:t>.</w:t>
      </w:r>
      <w:r>
        <w:rPr>
          <w:rFonts w:ascii="Times New Roman" w:cs="Times New Roman" w:eastAsia="Times New Roman" w:hAnsi="Times New Roman"/>
          <w:sz w:val="18"/>
          <w:szCs w:val="18"/>
          <w:color w:val="auto"/>
        </w:rPr>
        <w:t xml:space="preserve"> Loans are issued on either an installment or revolving basis with repayment terms ranging from 6 to 60 months.</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certain Financing Provider loans:</w:t>
      </w:r>
    </w:p>
    <w:p>
      <w:pPr>
        <w:spacing w:after="0" w:line="56" w:lineRule="exact"/>
        <w:rPr>
          <w:sz w:val="20"/>
          <w:szCs w:val="20"/>
          <w:color w:val="auto"/>
        </w:rPr>
      </w:pPr>
    </w:p>
    <w:p>
      <w:pPr>
        <w:ind w:left="480" w:hanging="317"/>
        <w:spacing w:after="0" w:line="268" w:lineRule="auto"/>
        <w:tabs>
          <w:tab w:leader="none" w:pos="47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Vivint Smart Home pays a monthly fee based on either the average daily outstanding balance of the installment loans, or the number of outstanding loans.</w:t>
      </w:r>
    </w:p>
    <w:p>
      <w:pPr>
        <w:spacing w:after="0" w:line="11"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Vivint Smart Home incurs fees at the time of the loan origination and receives proceeds that are net of these fees.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97" w:name="page98"/>
    <w:bookmarkEnd w:id="97"/>
    <w:p>
      <w:pPr>
        <w:ind w:left="480" w:hanging="317"/>
        <w:spacing w:after="0"/>
        <w:tabs>
          <w:tab w:leader="none" w:pos="4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Vivint Smart Home also shares liability for credit losses.</w:t>
      </w:r>
    </w:p>
    <w:p>
      <w:pPr>
        <w:spacing w:after="0" w:line="56"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Vivint Smart Home is responsible for reimbursing certain Financing Providers for merchant transaction fees and other associated loan fees.</w:t>
      </w:r>
    </w:p>
    <w:p>
      <w:pPr>
        <w:spacing w:after="0" w:line="10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Due to the nature of these provisions, the Company records a derivative liability at its fair value when the Financing Provider originates loans to customers, which reduces the amount of estimated revenue recognized on the provision of the services. The derivative liability is reduced as payments are made by Vivint Smart Home to the Financing Provider. Subsequent changes to the fair value of the derivative liability are realized through other income, net in the consolidated statements of operations. For further discussion, see Note 6, </w:t>
      </w:r>
      <w:r>
        <w:rPr>
          <w:rFonts w:ascii="Times New Roman" w:cs="Times New Roman" w:eastAsia="Times New Roman" w:hAnsi="Times New Roman"/>
          <w:sz w:val="18"/>
          <w:szCs w:val="18"/>
          <w:i w:val="1"/>
          <w:iCs w:val="1"/>
          <w:color w:val="auto"/>
        </w:rPr>
        <w:t>Accounting for Derivative Instruments and Hedging Activities</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13"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The Company accounts for derivative instruments under ASC 815, which requires the Company to record all derivatives on the balance sheet at fair value and changes in fair value in earnings, unless they qualify for the NPNS exception. The Company's primary derivative instruments are power and natural gas purchase or sales contracts, fuels purchase contracts and other energy related commodities used to mitigate variability in earnings due to fluctuation in market prices. In order to mitigate interest rate risk associated with the issuance of the Company's variable rate debt, NRG enters into interest rate swap agreements. In addition, in order to mitigate foreign exchange risk associated with the purchase of USD denominated natural gas for the Company's Canadian business, NRG enters into foreign exchange contract agreements. The Company also utilizes the CFP as part of its derivative activities.</w:t>
      </w:r>
    </w:p>
    <w:p>
      <w:pPr>
        <w:spacing w:after="0" w:line="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2025 and 2024, the Company did not have derivative instruments that were designated as cash flow or fair value hedges.</w:t>
      </w:r>
    </w:p>
    <w:p>
      <w:pPr>
        <w:spacing w:after="0" w:line="10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Revenues and expenses on contracts that qualify for the NPNS exception are recognized when the underlying physical transaction is delivered. While these contracts are considered derivative instruments under ASC 815, they are not recorded at fair value, but on an accrual basis of accounting. If it is determined that a transaction designated as NPNS no longer meets the scope exception, the fair value of the related contract is recorded on the balance sheet and immediately recognized through earnings.</w:t>
      </w:r>
    </w:p>
    <w:p>
      <w:pPr>
        <w:spacing w:after="0" w:line="7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NRG's trading activities are subject to limits in accordance with the Company's Risk Management Policy. These contracts are recognized on the balance sheet at fair value and changes in the fair value of these derivative instruments are recognized in earnings.</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Mark-to-Market for Economic Hedging Activities</w:t>
      </w:r>
    </w:p>
    <w:p>
      <w:pPr>
        <w:spacing w:after="0" w:line="113"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NRG enters into derivative instruments to manage price and delivery risk, optimize physical and contractual assets in the portfolio and manage working capital requirements. The mark-to-market for economic hedging activities are recognized to revenues or cost of operations during the reporting period.</w:t>
      </w:r>
    </w:p>
    <w:p>
      <w:pPr>
        <w:spacing w:after="0" w:line="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Operations and Maintenance and Other Cost of Operations</w:t>
      </w:r>
    </w:p>
    <w:p>
      <w:pPr>
        <w:spacing w:after="0" w:line="1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Operations and maintenance costs include major and other routine preventative (planned outage) and corrective (forced outage) maintenance activities to ensure the safe and reliable operation of the Company's generation portfolio in compliance with all local, state and federal requirements. Operations and maintenance costs are also costs associated with retaining and maintaining the Company's customer base, such as call center support, portfolio maintenance and data analytics. Other cost of operations primarily includes gross receipts taxes, insurance, property taxes and asset retirement obligation expense.</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 Gains and Losses</w:t>
      </w:r>
    </w:p>
    <w:p>
      <w:pPr>
        <w:spacing w:after="0" w:line="113"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The local currencies are generally the functional currency of NRG's foreign operations. Foreign currency denominated assets and liabilities are translated at end-of-period rates of exchange. Revenues, expenses, and cash flows are translated at the weighted-average rates of exchange for the period. The resulting currency translation adjustments are not included in the Company's consolidated statements of operations for the period, but are accumulated and reported as a separate component of stockholders' equity until sale or complete or substantially complete liquidation of the net investment in the foreign entity takes place. Foreign currency transaction gains or losses are reported within other income, net in the Company's consolidated statements of operations. For the years ended December 31, 2025, 2024 and 2023, amounts recognized as foreign currency transaction gains/(losses) were immaterial. The Company's cumulative translation adjustment balances as of December 31, 2025, 2024, and 2023 were $(51) million, $(72) million, and $(43) million, respectively.</w:t>
      </w:r>
    </w:p>
    <w:p>
      <w:pPr>
        <w:spacing w:after="0" w:line="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trust funds, accounts receivable, notes receivable, derivatives and investments in debt securities. Trust funds are held in accounts managed by experienced investment advisors. Certain accounts receivable, notes receivable, and derivative instruments are concentrated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98" w:name="page99"/>
    <w:bookmarkEnd w:id="98"/>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within entities engaged in the energy industry. These industry concentrations may impact the Company's overall exposure to credit risk, either positively or negatively, in that the customers may be similarly affected by changes in economic, industry or other conditions. Receivables and other contractual arrangements are subject to collateral requirements under the terms of enabling agreements. However, the Company believes that the credit risk posed by industry concentration is offset by the diversification and creditworthiness of its customer base. See Note 5,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for a further discussion of derivative concentrations.</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 xml:space="preserve">The Company accounts for AROs in accordance with ASC 410-20, </w:t>
      </w:r>
      <w:r>
        <w:rPr>
          <w:rFonts w:ascii="Times New Roman" w:cs="Times New Roman" w:eastAsia="Times New Roman" w:hAnsi="Times New Roman"/>
          <w:sz w:val="18"/>
          <w:szCs w:val="18"/>
          <w:i w:val="1"/>
          <w:iCs w:val="1"/>
          <w:color w:val="auto"/>
        </w:rPr>
        <w:t>Asset Retirement Obligations,</w:t>
      </w:r>
      <w:r>
        <w:rPr>
          <w:rFonts w:ascii="Times New Roman" w:cs="Times New Roman" w:eastAsia="Times New Roman" w:hAnsi="Times New Roman"/>
          <w:sz w:val="18"/>
          <w:szCs w:val="18"/>
          <w:color w:val="auto"/>
        </w:rPr>
        <w:t xml:space="preserve"> or ASC 410-20. Retirement obligations associated with long-lived assets included within the scope of ASC 410-20 are those for which a legal obligation exists under enacted laws, statutes, and written or oral contracts, including obligations arising under the doctrine of promissory estoppel, and for which the timing and/or method of settlement may be conditional on a future event. ASC 410-20 requires an entity to recognize the fair value of a liability for an ARO in the period in which it is incurred and a reasonable estimate of fair value can be made.</w:t>
      </w:r>
    </w:p>
    <w:p>
      <w:pPr>
        <w:spacing w:after="0" w:line="8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Upon initial recognition of a liability for an ARO, the Company capitalizes the asset retirement cost by increasing the carrying amount of the related long-lived asset by the same amount. Over time, the liability is accreted to its future value, while the capitalized cost is depreciated over the useful life of the related asset. See Note 13, </w:t>
      </w:r>
      <w:r>
        <w:rPr>
          <w:rFonts w:ascii="Times New Roman" w:cs="Times New Roman" w:eastAsia="Times New Roman" w:hAnsi="Times New Roman"/>
          <w:sz w:val="18"/>
          <w:szCs w:val="18"/>
          <w:i w:val="1"/>
          <w:iCs w:val="1"/>
          <w:color w:val="auto"/>
        </w:rPr>
        <w:t>Asset Retirement Obligations,</w:t>
      </w:r>
      <w:r>
        <w:rPr>
          <w:rFonts w:ascii="Times New Roman" w:cs="Times New Roman" w:eastAsia="Times New Roman" w:hAnsi="Times New Roman"/>
          <w:sz w:val="18"/>
          <w:szCs w:val="18"/>
          <w:color w:val="auto"/>
        </w:rPr>
        <w:t xml:space="preserve"> for a further discussion of AROs.</w:t>
      </w:r>
    </w:p>
    <w:p>
      <w:pPr>
        <w:spacing w:after="0" w:line="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Pensions and Other Postretirement Benefits</w:t>
      </w:r>
    </w:p>
    <w:p>
      <w:pPr>
        <w:spacing w:after="0" w:line="113" w:lineRule="exact"/>
        <w:rPr>
          <w:sz w:val="20"/>
          <w:szCs w:val="20"/>
          <w:color w:val="auto"/>
        </w:rPr>
      </w:pPr>
    </w:p>
    <w:p>
      <w:pPr>
        <w:jc w:val="both"/>
        <w:ind w:firstLine="395"/>
        <w:spacing w:after="0" w:line="282" w:lineRule="auto"/>
        <w:rPr>
          <w:sz w:val="20"/>
          <w:szCs w:val="20"/>
          <w:color w:val="auto"/>
        </w:rPr>
      </w:pPr>
      <w:r>
        <w:rPr>
          <w:rFonts w:ascii="Times New Roman" w:cs="Times New Roman" w:eastAsia="Times New Roman" w:hAnsi="Times New Roman"/>
          <w:sz w:val="16"/>
          <w:szCs w:val="16"/>
          <w:color w:val="auto"/>
        </w:rPr>
        <w:t xml:space="preserve">The Company offers pension benefits through a defined benefit pension plan. In addition, the Company provides postretirement health and welfare benefits for certain groups of employees. The Company accounts for pension and other postretirement benefits in accordance with ASC 715, </w:t>
      </w:r>
      <w:r>
        <w:rPr>
          <w:rFonts w:ascii="Times New Roman" w:cs="Times New Roman" w:eastAsia="Times New Roman" w:hAnsi="Times New Roman"/>
          <w:sz w:val="16"/>
          <w:szCs w:val="16"/>
          <w:i w:val="1"/>
          <w:iCs w:val="1"/>
          <w:color w:val="auto"/>
        </w:rPr>
        <w:t>Compensation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Retirement Benefits</w:t>
      </w:r>
      <w:r>
        <w:rPr>
          <w:rFonts w:ascii="Times New Roman" w:cs="Times New Roman" w:eastAsia="Times New Roman" w:hAnsi="Times New Roman"/>
          <w:sz w:val="16"/>
          <w:szCs w:val="16"/>
          <w:color w:val="auto"/>
        </w:rPr>
        <w:t>, or ASC 715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Company recognizes the funded status of the Company's defined benefit plans in the statement of financial position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records an offset for gains and losses as well as all prior service costs that have not been included as part of the Company's net periodic benefit cost to other comprehensive income. The determination of the Company's obligation and expenses for pension benefits is dependent on the selection of certain assumptions. These assumptions determined by management include the discount rate, the expected rate of return on plan assets and the rate of future compensation increases. The Company's actuarial consultants assist in determining assumptions for such items as retirement age. The assumptions used may differ materially from actual results, which may result in a significant impact to the amount of pension obligation or expense recorded by the Company.</w:t>
      </w:r>
    </w:p>
    <w:p>
      <w:pPr>
        <w:spacing w:after="0" w:line="58"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color w:val="auto"/>
        </w:rPr>
        <w:t xml:space="preserve">The Company measures the fair value of its pension assets in accordance with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or ASC 820. For further discussion, see Note 14, </w:t>
      </w:r>
      <w:r>
        <w:rPr>
          <w:rFonts w:ascii="Times New Roman" w:cs="Times New Roman" w:eastAsia="Times New Roman" w:hAnsi="Times New Roman"/>
          <w:sz w:val="18"/>
          <w:szCs w:val="18"/>
          <w:i w:val="1"/>
          <w:iCs w:val="1"/>
          <w:color w:val="auto"/>
        </w:rPr>
        <w:t>Benefit Plans and Other Postretirement Benefits</w:t>
      </w:r>
      <w:r>
        <w:rPr>
          <w:rFonts w:ascii="Times New Roman" w:cs="Times New Roman" w:eastAsia="Times New Roman" w:hAnsi="Times New Roman"/>
          <w:sz w:val="18"/>
          <w:szCs w:val="18"/>
          <w:color w:val="auto"/>
        </w:rPr>
        <w:t>.</w:t>
      </w:r>
    </w:p>
    <w:p>
      <w:pPr>
        <w:spacing w:after="0" w:line="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1"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 xml:space="preserve">The Company accounts for its stock-based compensation in accordance with ASC 718, </w:t>
      </w:r>
      <w:r>
        <w:rPr>
          <w:rFonts w:ascii="Times New Roman" w:cs="Times New Roman" w:eastAsia="Times New Roman" w:hAnsi="Times New Roman"/>
          <w:sz w:val="16"/>
          <w:szCs w:val="16"/>
          <w:i w:val="1"/>
          <w:iCs w:val="1"/>
          <w:color w:val="auto"/>
        </w:rPr>
        <w:t>Compensation — Stock Compensation,</w:t>
      </w:r>
      <w:r>
        <w:rPr>
          <w:rFonts w:ascii="Times New Roman" w:cs="Times New Roman" w:eastAsia="Times New Roman" w:hAnsi="Times New Roman"/>
          <w:sz w:val="16"/>
          <w:szCs w:val="16"/>
          <w:color w:val="auto"/>
        </w:rPr>
        <w:t xml:space="preserve"> or ASC 718</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The fair value of the Company's performance stock units is estimated on the date of grant using a Monte Carlo valuation model. NRG uses the Company's common stock price on the date of grant as the fair value of the Company's deferred stock units. Forfeiture rates are estimated based on an analysis of the Company's historical forfeitures, employment turnover, and expected future behavior. The Company recognizes compensation expense for both graded and cliff vesting awards on a straight-line basis over the requisite service period for the entire award. For further discussion, see Note 20, </w:t>
      </w:r>
      <w:r>
        <w:rPr>
          <w:rFonts w:ascii="Times New Roman" w:cs="Times New Roman" w:eastAsia="Times New Roman" w:hAnsi="Times New Roman"/>
          <w:sz w:val="16"/>
          <w:szCs w:val="16"/>
          <w:i w:val="1"/>
          <w:iCs w:val="1"/>
          <w:color w:val="auto"/>
        </w:rPr>
        <w:t>Stock-Based Compensation</w:t>
      </w:r>
      <w:r>
        <w:rPr>
          <w:rFonts w:ascii="Times New Roman" w:cs="Times New Roman" w:eastAsia="Times New Roman" w:hAnsi="Times New Roman"/>
          <w:sz w:val="16"/>
          <w:szCs w:val="16"/>
          <w:color w:val="auto"/>
        </w:rPr>
        <w:t>.</w:t>
      </w:r>
    </w:p>
    <w:p>
      <w:pPr>
        <w:spacing w:after="0" w:line="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Investments Accounted for by the Equity Method</w:t>
      </w:r>
    </w:p>
    <w:p>
      <w:pPr>
        <w:spacing w:after="0" w:line="11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 xml:space="preserve">The Company has investments in domestic energy projects, as well as one Australian project. The equity method of accounting is applied to such investments in affiliates, which include joint ventures and partnerships, because the ownership structure prevents the Company from exercising a controlling influence over the operating and financial policies of the projects. Under this method, equity in pre-tax income or losses of domestic partnerships and, generally, in the net income or losses of its Australian project, are reflected as equity in earnings of unconsolidated affiliates. Distributions from equity method investments that represent earnings on the Company's investment are included within cash flows from operating activities and distributions from equity method investments that represent a return of the Company's investment are included within cash flows from investing activities. For further discussion, see Note 16,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Sale-Leaseback Arrangements</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NRG is party to sale-leaseback arrangements that provide for the sale of certain assets to a third-party and simultaneously leases back the same asset to the Company. If the seller-lessee transfers control of the underlying assets to the buyer-lessor, the arrangement is accounted for under ASC 842-40, </w:t>
      </w:r>
      <w:r>
        <w:rPr>
          <w:rFonts w:ascii="Times New Roman" w:cs="Times New Roman" w:eastAsia="Times New Roman" w:hAnsi="Times New Roman"/>
          <w:sz w:val="18"/>
          <w:szCs w:val="18"/>
          <w:i w:val="1"/>
          <w:iCs w:val="1"/>
          <w:color w:val="auto"/>
        </w:rPr>
        <w:t>Sale-Leaseback Transactions</w:t>
      </w:r>
      <w:r>
        <w:rPr>
          <w:rFonts w:ascii="Times New Roman" w:cs="Times New Roman" w:eastAsia="Times New Roman" w:hAnsi="Times New Roman"/>
          <w:sz w:val="18"/>
          <w:szCs w:val="18"/>
          <w:color w:val="auto"/>
        </w:rPr>
        <w:t>. These arrangements are classified as operating leases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99" w:name="page100"/>
    <w:bookmarkEnd w:id="99"/>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Marketing and Advertising Costs</w:t>
      </w:r>
    </w:p>
    <w:p>
      <w:pPr>
        <w:spacing w:after="0" w:line="11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Company expenses its marketing and advertising costs as incurred and includes them within selling, general and administrative costs. The costs of tangible assets used in advertising campaigns are recorded as fixed assets or deferred advertising costs and amortized as advertising costs over the shorter of the useful life of the asset or the advertising campaign. The Company has several long-term sponsorship arrangements. Payments related to these arrangements are deferred and expensed over the term of the arrangement. Advertising expenses for the years ended December 31, 2025, 2024, and 2023 were $239 million, $215 million, and $185 million, respectively.</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11"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its business combinations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or ASC 805, which requires an acquirer to recognize and measure in its financial statements the identifiable assets acquired, the liabilities assumed, and any noncontrolling interest in the acquiree at fair value at the acquisition date. The Company also recognizes and measures the goodwill acquired or a gain from a bargain purchase in the business combination. In addition, transaction costs are expensed as incurred.</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at the date of the financial statements, disclosure of contingent assets and liabilities at the date of the financial statements, and the reported amounts of revenues and expenses during the reporting period. Actual results could differ from these estimates.</w:t>
      </w:r>
    </w:p>
    <w:p>
      <w:pPr>
        <w:spacing w:after="0" w:line="78"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In recording transactions and balances resulting from business operations, the Company uses estimates based on the best information available. Estimates are used for such items as plant depreciable lives, tax provisions, uncollectible accounts, actuarially determined benefit costs, the valuation of energy commodity contracts, environmental liabilities, legal costs incurred in connection with recorded loss contingencies, and assets acquired and liabilities assumed in business combinations, among others. In addition, estimates are used to test long-lived assets and goodwill for impairment and to determine the fair value of impaired assets. As better information becomes available or actual amounts are determinable, the recorded estimates are revised. Consequently, operating results can be affected by revisions to prior accounting estimates.</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1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Certain prior period amounts have been reclassified for comparative purposes. The reclassifications did not affect results from operations, net assets or cash flows.</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Developments - Guidance Adopted in 2025</w:t>
      </w:r>
    </w:p>
    <w:p>
      <w:pPr>
        <w:spacing w:after="0" w:line="11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ASU 2023-09 </w:t>
      </w:r>
      <w:r>
        <w:rPr>
          <w:rFonts w:ascii="Times New Roman" w:cs="Times New Roman" w:eastAsia="Times New Roman" w:hAnsi="Times New Roman"/>
          <w:sz w:val="18"/>
          <w:szCs w:val="18"/>
          <w:color w:val="auto"/>
        </w:rPr>
        <w:t>– In December 2023, the FASB issued ASU No. 2023-09,</w:t>
      </w:r>
      <w:r>
        <w:rPr>
          <w:rFonts w:ascii="Times New Roman" w:cs="Times New Roman" w:eastAsia="Times New Roman" w:hAnsi="Times New Roman"/>
          <w:sz w:val="18"/>
          <w:szCs w:val="18"/>
          <w:i w:val="1"/>
          <w:iCs w:val="1"/>
          <w:color w:val="auto"/>
        </w:rPr>
        <w:t xml:space="preserve"> Income Taxes (Topic 740) – Improvements to Income Tax Disclosures</w:t>
      </w:r>
      <w:r>
        <w:rPr>
          <w:rFonts w:ascii="Times New Roman" w:cs="Times New Roman" w:eastAsia="Times New Roman" w:hAnsi="Times New Roman"/>
          <w:sz w:val="18"/>
          <w:szCs w:val="18"/>
          <w:color w:val="auto"/>
        </w:rPr>
        <w:t>, or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2023-09. The guidance in ASU 2023-09 enhances income tax disclosures by requiring disclosure of specific categories in the effective tax rate reconciliation and additional information for reconciling items that meet a quantitative threshold. Further the amendments of ASU 2023-09 require certain disclosures on income tax expense and income taxes paid. The Company adopted the new guidance effective December 31, 2025 on a prospective basis. Because the amendments update disclosure requirements only, it did not have an impact on the Company’s results of operations, cash flows, or statement of financial position.</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Developments - Guidance Not Yet Adopted</w:t>
      </w:r>
    </w:p>
    <w:p>
      <w:pPr>
        <w:spacing w:after="0" w:line="111"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ASU 2024-03 </w:t>
      </w:r>
      <w:r>
        <w:rPr>
          <w:rFonts w:ascii="Times New Roman" w:cs="Times New Roman" w:eastAsia="Times New Roman" w:hAnsi="Times New Roman"/>
          <w:sz w:val="16"/>
          <w:szCs w:val="16"/>
          <w:color w:val="auto"/>
        </w:rPr>
        <w:t>– In November 2024, the FASB issued ASU No. 2024-03,</w:t>
      </w:r>
      <w:r>
        <w:rPr>
          <w:rFonts w:ascii="Times New Roman" w:cs="Times New Roman" w:eastAsia="Times New Roman" w:hAnsi="Times New Roman"/>
          <w:sz w:val="16"/>
          <w:szCs w:val="16"/>
          <w:i w:val="1"/>
          <w:iCs w:val="1"/>
          <w:color w:val="auto"/>
        </w:rPr>
        <w:t xml:space="preserve"> Income Statement—Reporting Comprehensive Income—Expense Disaggregation Disclosures (Subtopic 220-40) – Disaggregation of Income Statement Expenses</w:t>
      </w:r>
      <w:r>
        <w:rPr>
          <w:rFonts w:ascii="Times New Roman" w:cs="Times New Roman" w:eastAsia="Times New Roman" w:hAnsi="Times New Roman"/>
          <w:sz w:val="16"/>
          <w:szCs w:val="16"/>
          <w:color w:val="auto"/>
        </w:rPr>
        <w:t>, or ASU 2024-03. The guidance in ASU 2024-03 requires more detailed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information about specified categories of expenses included in certain captions presented on the face of the income statement. This ASU is effective for annual periods beginning after December 15, 2026, and interim periods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The Company is currently evaluating the impact of adopting ASU 2024-03 on its disclosures.</w:t>
      </w:r>
    </w:p>
    <w:p>
      <w:pPr>
        <w:spacing w:after="0" w:line="5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ASU 2024-04 </w:t>
      </w:r>
      <w:r>
        <w:rPr>
          <w:rFonts w:ascii="Times New Roman" w:cs="Times New Roman" w:eastAsia="Times New Roman" w:hAnsi="Times New Roman"/>
          <w:sz w:val="18"/>
          <w:szCs w:val="18"/>
          <w:color w:val="auto"/>
        </w:rPr>
        <w:t>– In November 2024, the FASB issued ASU No. 2024-04,</w:t>
      </w:r>
      <w:r>
        <w:rPr>
          <w:rFonts w:ascii="Times New Roman" w:cs="Times New Roman" w:eastAsia="Times New Roman" w:hAnsi="Times New Roman"/>
          <w:sz w:val="18"/>
          <w:szCs w:val="18"/>
          <w:i w:val="1"/>
          <w:iCs w:val="1"/>
          <w:color w:val="auto"/>
        </w:rPr>
        <w:t xml:space="preserve"> Debt—Debt with Conversion and Other Options (Subtopic 470-20) – Induced Conversions of Convertible Debt Instruments</w:t>
      </w:r>
      <w:r>
        <w:rPr>
          <w:rFonts w:ascii="Times New Roman" w:cs="Times New Roman" w:eastAsia="Times New Roman" w:hAnsi="Times New Roman"/>
          <w:sz w:val="18"/>
          <w:szCs w:val="18"/>
          <w:color w:val="auto"/>
        </w:rPr>
        <w:t>, or ASU 2024-04. The guidance in ASU 2024-04 clarifies the requirements related to accounting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settlement of a debt instrument as an induced conversion when changes are made to conversion features as part of an offer to settle the instrument. This ASU is effective for annual periods beginning after December 15, 2025, with early adoption permitted. The amendments may be applied either (1) prospectively to any settlements of convertible debt instruments that occur after the effective date of this ASU or (2) retrospectively to all prior periods presented in the financial statements, with a cumulative effect adjustment to equity. The Company does not expect the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t>adoption of ASU 2024-04 to have a significant impact on the Company’s consolidated financial statements and related disclosures.</w:t>
      </w:r>
    </w:p>
    <w:p>
      <w:pPr>
        <w:spacing w:after="0" w:line="107"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ASU 2025-05 </w:t>
      </w:r>
      <w:r>
        <w:rPr>
          <w:rFonts w:ascii="Times New Roman" w:cs="Times New Roman" w:eastAsia="Times New Roman" w:hAnsi="Times New Roman"/>
          <w:sz w:val="18"/>
          <w:szCs w:val="18"/>
          <w:color w:val="auto"/>
        </w:rPr>
        <w:t>– In July 2025, the FASB issued ASU No. 2025-05,</w:t>
      </w:r>
      <w:r>
        <w:rPr>
          <w:rFonts w:ascii="Times New Roman" w:cs="Times New Roman" w:eastAsia="Times New Roman" w:hAnsi="Times New Roman"/>
          <w:sz w:val="18"/>
          <w:szCs w:val="18"/>
          <w:i w:val="1"/>
          <w:iCs w:val="1"/>
          <w:color w:val="auto"/>
        </w:rPr>
        <w:t xml:space="preserve"> Financial Instruments—Credit Losses (Topic 326) – Measurement of Credit Losses for Accounts Receivable and Contract Assets, </w:t>
      </w:r>
      <w:r>
        <w:rPr>
          <w:rFonts w:ascii="Times New Roman" w:cs="Times New Roman" w:eastAsia="Times New Roman" w:hAnsi="Times New Roman"/>
          <w:sz w:val="18"/>
          <w:szCs w:val="18"/>
          <w:color w:val="auto"/>
        </w:rPr>
        <w:t>or ASU 2025-05. The amendment provides a practical expedient that allows entities to assume that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as of the balance sheet date do not change for the remaining life of the asset when estimating expected credit losses for current accounts receivable and current contract assets. The amendments of ASU 2025-05 should be applied prospectively and are effective for annual and interim periods beginning after December 15, 2025, with early adoption permitted. The Company does not expect the adoption of ASU 2025-05 to have a significant impact on the Company’s consolidated financial statements and related disclosures.</w:t>
      </w:r>
    </w:p>
    <w:p>
      <w:pPr>
        <w:spacing w:after="0" w:line="80"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i w:val="1"/>
          <w:iCs w:val="1"/>
          <w:color w:val="auto"/>
        </w:rPr>
        <w:t xml:space="preserve">ASU 2025-06 – </w:t>
      </w:r>
      <w:r>
        <w:rPr>
          <w:rFonts w:ascii="Times New Roman" w:cs="Times New Roman" w:eastAsia="Times New Roman" w:hAnsi="Times New Roman"/>
          <w:sz w:val="16"/>
          <w:szCs w:val="16"/>
          <w:color w:val="auto"/>
        </w:rPr>
        <w:t>In September 2025, the FASB issued ASU No. 2025-06,</w:t>
      </w:r>
      <w:r>
        <w:rPr>
          <w:rFonts w:ascii="Times New Roman" w:cs="Times New Roman" w:eastAsia="Times New Roman" w:hAnsi="Times New Roman"/>
          <w:sz w:val="16"/>
          <w:szCs w:val="16"/>
          <w:i w:val="1"/>
          <w:iCs w:val="1"/>
          <w:color w:val="auto"/>
        </w:rPr>
        <w:t xml:space="preserve"> Intangibles—Goodwill and Other—Internal-Use Software (Subtopic 350-40) — Targeted Improvements to the Accounting for Internal-Use Software</w:t>
      </w:r>
      <w:r>
        <w:rPr>
          <w:rFonts w:ascii="Times New Roman" w:cs="Times New Roman" w:eastAsia="Times New Roman" w:hAnsi="Times New Roman"/>
          <w:sz w:val="16"/>
          <w:szCs w:val="16"/>
          <w:color w:val="auto"/>
        </w:rPr>
        <w:t>, or ASU 2025-06. The update amends guidance on capitalization of internal-use software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development costs by removing the previous “development stage” model and clarifying the criteria that must be met for entities to begin capitalizing software costs. This ASU is effective for annual and interim periods beginning after December 15, 2027, with early adoption permitted. The amendments may be applied either (1) prospectively to financial statements issued for reporting periods after the effective date of this ASU, (2) retrospectively to all prior periods presented in the financial statement, or (3) using a modified transition approach based on whether an existing project can be capitalized under the updated guidance. The Company is currently evaluating the impact of adopting ASU 2025-06 on its consolidated financial statements and related disclosures.</w:t>
      </w:r>
    </w:p>
    <w:p>
      <w:pPr>
        <w:spacing w:after="0" w:line="55" w:lineRule="exact"/>
        <w:rPr>
          <w:sz w:val="20"/>
          <w:szCs w:val="20"/>
          <w:color w:val="auto"/>
        </w:rPr>
      </w:pPr>
    </w:p>
    <w:p>
      <w:pPr>
        <w:jc w:val="both"/>
        <w:ind w:firstLine="395"/>
        <w:spacing w:after="0" w:line="278" w:lineRule="auto"/>
        <w:rPr>
          <w:sz w:val="20"/>
          <w:szCs w:val="20"/>
          <w:color w:val="auto"/>
        </w:rPr>
      </w:pPr>
      <w:r>
        <w:rPr>
          <w:rFonts w:ascii="Times New Roman" w:cs="Times New Roman" w:eastAsia="Times New Roman" w:hAnsi="Times New Roman"/>
          <w:sz w:val="16"/>
          <w:szCs w:val="16"/>
          <w:i w:val="1"/>
          <w:iCs w:val="1"/>
          <w:color w:val="auto"/>
        </w:rPr>
        <w:t xml:space="preserve">ASU 2025-07 – </w:t>
      </w:r>
      <w:r>
        <w:rPr>
          <w:rFonts w:ascii="Times New Roman" w:cs="Times New Roman" w:eastAsia="Times New Roman" w:hAnsi="Times New Roman"/>
          <w:sz w:val="16"/>
          <w:szCs w:val="16"/>
          <w:color w:val="auto"/>
        </w:rPr>
        <w:t>In September 2025, the FASB issued ASU No. 2025-07,</w:t>
      </w:r>
      <w:r>
        <w:rPr>
          <w:rFonts w:ascii="Times New Roman" w:cs="Times New Roman" w:eastAsia="Times New Roman" w:hAnsi="Times New Roman"/>
          <w:sz w:val="16"/>
          <w:szCs w:val="16"/>
          <w:i w:val="1"/>
          <w:iCs w:val="1"/>
          <w:color w:val="auto"/>
        </w:rPr>
        <w:t xml:space="preserve"> Derivatives and Hedging (Topic 815) and Revenue from Contracts with Customers (Topic 606) — Derivative Scope Refinements and Scope Clarification for Share-Based Noncash Consideration from a Customer in a Revenue Contract, </w:t>
      </w:r>
      <w:r>
        <w:rPr>
          <w:rFonts w:ascii="Times New Roman" w:cs="Times New Roman" w:eastAsia="Times New Roman" w:hAnsi="Times New Roman"/>
          <w:sz w:val="16"/>
          <w:szCs w:val="16"/>
          <w:color w:val="auto"/>
        </w:rPr>
        <w:t>or ASU 2025-07. The update refines the scope of derivative accounting guidance by providing a scope exception for non-exchange traded contracts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 payments based on the operations or activities of one of the parties to the contract. The update also clarifies accounting under Topic 606 for share-based noncash consideration received from a customer. This ASU is effective for annual and interim periods beginning after December 15, 2026, with early adoption permitted. The amendments may be applied either (1) prospectively to financial statements issued for reporting periods after the effective date of this ASU or</w:t>
      </w:r>
    </w:p>
    <w:p>
      <w:pPr>
        <w:spacing w:after="0" w:line="4" w:lineRule="exact"/>
        <w:rPr>
          <w:sz w:val="20"/>
          <w:szCs w:val="20"/>
          <w:color w:val="auto"/>
        </w:rPr>
      </w:pPr>
    </w:p>
    <w:p>
      <w:pPr>
        <w:ind w:left="260" w:hanging="255"/>
        <w:spacing w:after="0"/>
        <w:tabs>
          <w:tab w:leader="none" w:pos="2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using a modified retrospective basis with a cumulative effect adjustment to equity. The Company is currently evaluating the impact of adopting ASU 2025-</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07 on its consolidated financial statements and related disclosures.</w:t>
      </w:r>
    </w:p>
    <w:p>
      <w:pPr>
        <w:spacing w:after="0" w:line="8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ASU 2025-08 </w:t>
      </w:r>
      <w:r>
        <w:rPr>
          <w:rFonts w:ascii="Times New Roman" w:cs="Times New Roman" w:eastAsia="Times New Roman" w:hAnsi="Times New Roman"/>
          <w:sz w:val="18"/>
          <w:szCs w:val="18"/>
          <w:color w:val="auto"/>
        </w:rPr>
        <w:t>– In November 2025, the FASB issued ASU No. 2025-08,</w:t>
      </w:r>
      <w:r>
        <w:rPr>
          <w:rFonts w:ascii="Times New Roman" w:cs="Times New Roman" w:eastAsia="Times New Roman" w:hAnsi="Times New Roman"/>
          <w:sz w:val="18"/>
          <w:szCs w:val="18"/>
          <w:i w:val="1"/>
          <w:iCs w:val="1"/>
          <w:color w:val="auto"/>
        </w:rPr>
        <w:t xml:space="preserve"> Financial Instruments—Credit Losses </w:t>
      </w:r>
      <w:r>
        <w:rPr>
          <w:rFonts w:ascii="Times New Roman" w:cs="Times New Roman" w:eastAsia="Times New Roman" w:hAnsi="Times New Roman"/>
          <w:sz w:val="18"/>
          <w:szCs w:val="18"/>
          <w:color w:val="auto"/>
        </w:rPr>
        <w:t>(Topic 326) —</w:t>
      </w:r>
      <w:r>
        <w:rPr>
          <w:rFonts w:ascii="Times New Roman" w:cs="Times New Roman" w:eastAsia="Times New Roman" w:hAnsi="Times New Roman"/>
          <w:sz w:val="18"/>
          <w:szCs w:val="18"/>
          <w:i w:val="1"/>
          <w:iCs w:val="1"/>
          <w:color w:val="auto"/>
        </w:rPr>
        <w:t xml:space="preserve"> Purchased Loans</w:t>
      </w:r>
      <w:r>
        <w:rPr>
          <w:rFonts w:ascii="Times New Roman" w:cs="Times New Roman" w:eastAsia="Times New Roman" w:hAnsi="Times New Roman"/>
          <w:sz w:val="18"/>
          <w:szCs w:val="18"/>
          <w:color w:val="auto"/>
        </w:rPr>
        <w:t>, or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2025-08. The update amends the accounting for “purchased seasoned loans” under Topic 326 by requiring estimated expected credit losses to be reflected as an adjustment to the asset’s purchase price at acquisition. The amendments of ASU 2025-08 should be applied prospectively to loans that are acquired on or after adoption date and are effective for annual and interim periods beginning after December 15, 2026, with early adoption permitted. The Company is currently evaluating the impact of adopting ASU 2025-08 on its consolidated financial statements and related disclosures.</w:t>
      </w:r>
    </w:p>
    <w:p>
      <w:pPr>
        <w:spacing w:after="0" w:line="80" w:lineRule="exact"/>
        <w:rPr>
          <w:sz w:val="20"/>
          <w:szCs w:val="20"/>
          <w:color w:val="auto"/>
        </w:rPr>
      </w:pPr>
    </w:p>
    <w:p>
      <w:pPr>
        <w:jc w:val="both"/>
        <w:ind w:firstLine="395"/>
        <w:spacing w:after="0" w:line="294" w:lineRule="auto"/>
        <w:rPr>
          <w:sz w:val="20"/>
          <w:szCs w:val="20"/>
          <w:color w:val="auto"/>
        </w:rPr>
      </w:pPr>
      <w:r>
        <w:rPr>
          <w:rFonts w:ascii="Times New Roman" w:cs="Times New Roman" w:eastAsia="Times New Roman" w:hAnsi="Times New Roman"/>
          <w:sz w:val="16"/>
          <w:szCs w:val="16"/>
          <w:i w:val="1"/>
          <w:iCs w:val="1"/>
          <w:color w:val="auto"/>
        </w:rPr>
        <w:t xml:space="preserve">ASU 2025-09 – </w:t>
      </w:r>
      <w:r>
        <w:rPr>
          <w:rFonts w:ascii="Times New Roman" w:cs="Times New Roman" w:eastAsia="Times New Roman" w:hAnsi="Times New Roman"/>
          <w:sz w:val="16"/>
          <w:szCs w:val="16"/>
          <w:color w:val="auto"/>
        </w:rPr>
        <w:t>In November 2025, the FASB issued ASU No. 2025-09,</w:t>
      </w:r>
      <w:r>
        <w:rPr>
          <w:rFonts w:ascii="Times New Roman" w:cs="Times New Roman" w:eastAsia="Times New Roman" w:hAnsi="Times New Roman"/>
          <w:sz w:val="16"/>
          <w:szCs w:val="16"/>
          <w:i w:val="1"/>
          <w:iCs w:val="1"/>
          <w:color w:val="auto"/>
        </w:rPr>
        <w:t xml:space="preserve"> Derivatives and Hedging (Topic 815) — Hedge Accounting Improvements</w:t>
      </w:r>
      <w:r>
        <w:rPr>
          <w:rFonts w:ascii="Times New Roman" w:cs="Times New Roman" w:eastAsia="Times New Roman" w:hAnsi="Times New Roman"/>
          <w:sz w:val="16"/>
          <w:szCs w:val="16"/>
          <w:color w:val="auto"/>
        </w:rPr>
        <w:t>,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ASU 2025-09. The update more closely aligns hedge accounting with the economics of an entity’s risk management activities. The amendments of ASU 2025-09 should be applied prospectively to all hedging relationships and are effective for annual and interim periods beginning after December 15, 2026, with early adoption permitted. The Company is currently evaluating the impact of adopting ASU 2025-09 on its consolidated financial statements and related disclosures.</w:t>
      </w:r>
    </w:p>
    <w:p>
      <w:pPr>
        <w:spacing w:after="0" w:line="46" w:lineRule="exact"/>
        <w:rPr>
          <w:sz w:val="20"/>
          <w:szCs w:val="20"/>
          <w:color w:val="auto"/>
        </w:rPr>
      </w:pPr>
    </w:p>
    <w:p>
      <w:pPr>
        <w:jc w:val="both"/>
        <w:ind w:firstLine="395"/>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ASU 2025-10 – </w:t>
      </w:r>
      <w:r>
        <w:rPr>
          <w:rFonts w:ascii="Times New Roman" w:cs="Times New Roman" w:eastAsia="Times New Roman" w:hAnsi="Times New Roman"/>
          <w:sz w:val="16"/>
          <w:szCs w:val="16"/>
          <w:color w:val="auto"/>
        </w:rPr>
        <w:t>In December 2025, the FASB issued ASU No. 2025-10,</w:t>
      </w:r>
      <w:r>
        <w:rPr>
          <w:rFonts w:ascii="Times New Roman" w:cs="Times New Roman" w:eastAsia="Times New Roman" w:hAnsi="Times New Roman"/>
          <w:sz w:val="16"/>
          <w:szCs w:val="16"/>
          <w:i w:val="1"/>
          <w:iCs w:val="1"/>
          <w:color w:val="auto"/>
        </w:rPr>
        <w:t xml:space="preserve"> Government Grants (Topic 832) — Accounting for Government Grants Received by Business Entities, </w:t>
      </w:r>
      <w:r>
        <w:rPr>
          <w:rFonts w:ascii="Times New Roman" w:cs="Times New Roman" w:eastAsia="Times New Roman" w:hAnsi="Times New Roman"/>
          <w:sz w:val="16"/>
          <w:szCs w:val="16"/>
          <w:color w:val="auto"/>
        </w:rPr>
        <w:t>or ASU 2025-10. The update provides authoritative guidance on the accounting for government grants received by an entity. This ASU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effective for annual and interim reporting periods beginning after December 15, 2028, with early adoption permitted. The amendments may be applied either</w:t>
      </w:r>
    </w:p>
    <w:p>
      <w:pPr>
        <w:spacing w:after="0" w:line="1" w:lineRule="exact"/>
        <w:rPr>
          <w:sz w:val="20"/>
          <w:szCs w:val="20"/>
          <w:color w:val="auto"/>
        </w:rPr>
      </w:pPr>
    </w:p>
    <w:p>
      <w:pPr>
        <w:jc w:val="both"/>
        <w:ind w:firstLine="5"/>
        <w:spacing w:after="0" w:line="246" w:lineRule="auto"/>
        <w:tabs>
          <w:tab w:leader="none" w:pos="25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 modified prospective basis for all grants entered into on, after, or not complete as of the adoption date, (2) modified retrospective basis for all grants entered on, after, or not complete as of the earliest period presented, or (3) retrospectively to all prior periods presented in the financial statements. The Company is currently evaluating the impact of adopting ASU 2025-10 on its consolidated financial statements and related disclosures.</w:t>
      </w:r>
    </w:p>
    <w:p>
      <w:pPr>
        <w:spacing w:after="0" w:line="81"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i w:val="1"/>
          <w:iCs w:val="1"/>
          <w:color w:val="auto"/>
        </w:rPr>
        <w:t xml:space="preserve">ASU 2025-11 – </w:t>
      </w:r>
      <w:r>
        <w:rPr>
          <w:rFonts w:ascii="Times New Roman" w:cs="Times New Roman" w:eastAsia="Times New Roman" w:hAnsi="Times New Roman"/>
          <w:sz w:val="16"/>
          <w:szCs w:val="16"/>
          <w:color w:val="auto"/>
        </w:rPr>
        <w:t>In December 2025, the FASB issued ASU No. 2025-11,</w:t>
      </w:r>
      <w:r>
        <w:rPr>
          <w:rFonts w:ascii="Times New Roman" w:cs="Times New Roman" w:eastAsia="Times New Roman" w:hAnsi="Times New Roman"/>
          <w:sz w:val="16"/>
          <w:szCs w:val="16"/>
          <w:i w:val="1"/>
          <w:iCs w:val="1"/>
          <w:color w:val="auto"/>
        </w:rPr>
        <w:t xml:space="preserve"> Interim Reporting (Topic 270) — Narrow-Scope Improvements, </w:t>
      </w:r>
      <w:r>
        <w:rPr>
          <w:rFonts w:ascii="Times New Roman" w:cs="Times New Roman" w:eastAsia="Times New Roman" w:hAnsi="Times New Roman"/>
          <w:sz w:val="16"/>
          <w:szCs w:val="16"/>
          <w:color w:val="auto"/>
        </w:rPr>
        <w:t>or ASU 2025-11.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This ASU clarifies interim reporting by aggregating interim disclosures required throughout the various Codification topics into Topic 270 and requiring entities to produce interim disclosures when a material event or change has occurred since the prior year-end. This ASU is effective for interim periods beginning after December 15, 2027, with early adoption permitted. The amendments in this ASU may be applied either (1) prospectively or (2) retrospectively to any or all prior periods presented in the financial statements. The Company is currently evaluating the impact of adopting ASU 2025-11 on its disclosures.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 xml:space="preserve">Note 3 — </w:t>
      </w:r>
      <w:r>
        <w:rPr>
          <w:rFonts w:ascii="Times New Roman" w:cs="Times New Roman" w:eastAsia="Times New Roman" w:hAnsi="Times New Roman"/>
          <w:sz w:val="18"/>
          <w:szCs w:val="18"/>
          <w:b w:val="1"/>
          <w:bCs w:val="1"/>
          <w:i w:val="1"/>
          <w:iCs w:val="1"/>
          <w:color w:val="auto"/>
        </w:rPr>
        <w:t>Revenue Recognition</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Company's policies with respect to its various revenue streams are detailed below. The Company generally applies the invoicing practical expedient to recognize revenue for the revenue streams detailed below, except in circumstances where the invoiced amount does not represent the value transferred to the customer.</w:t>
      </w:r>
    </w:p>
    <w:p>
      <w:pPr>
        <w:spacing w:after="0" w:line="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Retail Revenue</w:t>
      </w:r>
    </w:p>
    <w:p>
      <w:pPr>
        <w:spacing w:after="0" w:line="113"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Gross revenues for energy sales and services to retail customers are recognized as the Company transfers the promised goods and services to the customer. Payment terms are generally 15 to 60 days. For the majority of its electricity and natural gas contracts, the Company’s performance obligation with the customer is satisfied over time and performance obligations for its electricity and natural gas products are recognized as the customer takes possession of the product. The Company also allocates the contract consideration to distinct performance obligations in a contract for which the timing of the revenue recognized is different. Additionally, customer discounts and incentives reduce the contract consideration and are recognized over the term of the contract.</w:t>
      </w:r>
    </w:p>
    <w:p>
      <w:pPr>
        <w:spacing w:after="0" w:line="5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Energy sales and services that have been delivered but not billed by period end are estimated. Accrued unbilled revenues are based on estimates of customer usage since the date of the last meter reading provided by the independent system operators, utilities, or electric distribution companies. Volume estimates are based on daily forecasted volumes and estimated customer usage by class. Unbilled revenues are calculated by multiplying these volume estimates by the applicable rate by customer class. Estimated amounts are adjusted when actual usage is known and billed.</w:t>
      </w:r>
    </w:p>
    <w:p>
      <w:pPr>
        <w:spacing w:after="0" w:line="78"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As contracts for retail electricity and natural gas can be for multi-year periods, the Company has performance obligations under these contracts that have not yet been satisfied. These performance obligations have transaction prices that are both fixed and variable, and that vary based on the contract duration, customer type, inception date and other contract-specific factors. For the fixed price contracts, the amount of any unsatisfied performance obligations will vary based on customer usage, which will depend on factors such as weather and customer activity and therefore it is not practicable to estimate such amounts.</w:t>
      </w:r>
    </w:p>
    <w:p>
      <w:pPr>
        <w:spacing w:after="0" w:line="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Vivint Smart Home Retail Revenue</w:t>
      </w:r>
    </w:p>
    <w:p>
      <w:pPr>
        <w:spacing w:after="0" w:line="111"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Vivint Smart Home offers its customers combinations of smart home products and services, which together create an integrated smart home system that allows the Company's customers to monitor, control and protect their homes. As the products and services included in the customer's contract are integrated and highly interdependent, and because the products (including installation) and services must work together to deliver the monitoring, controlling and protection of their home, the Company has concluded that the products and services contracted for by the customer are generally not distinct within the context of the contract and, therefore, constitute a single, combined performance obligation. Revenues for this single, combined performance obligation are recognized on a straight-line basis over the customer's contract term, which is the period in which the parties to the contract have enforceable rights and obligations. The Company has determined that certain contracts that do not require a long-term commitment for monitoring services by the customer contain a material right to renew the contract, because the customer does not have to purchase the products upon renewal. Proceeds allocated to the material right are recognized over the expected period of benefit. The majority of Vivint Smart Home's subscription contracts are five years and are generally non-cancelable. These contracts generally convert into month-to-month agreements at the end of the initial term, while some customers are month-to-month from inception. Payment for Vivint Smart Home services is generally due in advance on a monthly basis, with payment terms up to 30 days. Product sales and other one-time fees are invoiced to customers at time of sale. Revenues for any products or services that are considered separate performance obligations are recognized upon delivery. Payments received or billed in advance are reported as deferred revenues.</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Energy Revenue</w:t>
      </w:r>
    </w:p>
    <w:p>
      <w:pPr>
        <w:spacing w:after="0" w:line="11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Both physical and financial transactions consist of revenues billed to a third-party at either market or negotiated contract terms to optimize the financial performance of the Company's generating facilities. Payment terms vary from 5 to 55 days. Electric energy revenue is recognized upon transmission to the customer over time, using the output method for measuring progress of satisfaction of performance obligations. Physical transactions, or the sale of generated electricity to meet supply and demand, are recorded on a gross basis in the Company's consolidated statements of operations. The Company applies the invoicing practical expedient in recognizing energy revenue. Under the practical expedient, revenue is recognized based on the invoiced amount which is equal to the value to the customer of NRG’s performance obligation completed to date. Financial transactions used to hedge the sale of electricity are recorded net within revenues in the consolidated statements of operations in accordance with ASC 815.</w:t>
      </w:r>
    </w:p>
    <w:p>
      <w:pPr>
        <w:spacing w:after="0" w:line="8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Ancillary revenues, included in Other revenue, are recognized over time as the obligation is fulfilled, using the output method for measuring progress of satisfaction of performance obligations.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02" w:name="page103"/>
    <w:bookmarkEnd w:id="102"/>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Capacity Revenue</w:t>
      </w:r>
    </w:p>
    <w:p>
      <w:pPr>
        <w:spacing w:after="0" w:line="11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Company's largest sources of capacity revenues are capacity auctions in PJM and NYISO. Capacity revenues also include revenues billed to a third-party at either market or negotiated contract terms for making installed generation and demand response capacity available in order to satisfy system integrity and reliability requirements. Payment terms vary from 15 to 55 days. Capacity revenues are recognized over time, using the output method for measuring progress of satisfaction of performance obligations. The Company applies the invoicing practical expedient in recognizing capacity revenue. Under the practical expedient, revenue is recognized based on the invoiced amount which is equal to the value to the customer of NRG’s performance obligation completed to date.</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13"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As of December 31, 2025, estimated future fixed fee performance obligations are $1.7 billion, $1.4 billion, $1.0 billion, $587 million and $285 million for the fiscal years 2026, 2027, 2028, 2029 and 2030, respectively. These performance obligations include Vivint Smart Home products and services, as well as cleared auction MWs in the PJM, ISO-NE, NYISO and MISO capacity auctions. The cleared auction MWs are subject to penalties for non-performance.</w:t>
      </w:r>
    </w:p>
    <w:p>
      <w:pPr>
        <w:spacing w:after="0" w:line="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Revenues</w:t>
      </w:r>
    </w:p>
    <w:p>
      <w:pPr>
        <w:spacing w:after="0" w:line="11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tables represent the Company’s disaggregation of revenue from contracts with customers for the years ended December 31, 2025, 2024, and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For the Year Ended December 31, 2025</w:t>
            </w: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1"/>
                <w:szCs w:val="11"/>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240" w:type="dxa"/>
            <w:vAlign w:val="bottom"/>
          </w:tcPr>
          <w:p>
            <w:pPr>
              <w:spacing w:after="0"/>
              <w:rPr>
                <w:sz w:val="11"/>
                <w:szCs w:val="11"/>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8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West/Other</w:t>
            </w:r>
          </w:p>
        </w:tc>
        <w:tc>
          <w:tcPr>
            <w:tcW w:w="140" w:type="dxa"/>
            <w:vAlign w:val="bottom"/>
          </w:tcPr>
          <w:p>
            <w:pPr>
              <w:spacing w:after="0"/>
              <w:rPr>
                <w:sz w:val="11"/>
                <w:szCs w:val="11"/>
                <w:color w:val="auto"/>
              </w:rPr>
            </w:pPr>
          </w:p>
        </w:tc>
        <w:tc>
          <w:tcPr>
            <w:tcW w:w="104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w w:val="97"/>
              </w:rPr>
              <w:t>Vivint Smart</w:t>
            </w:r>
          </w:p>
        </w:tc>
        <w:tc>
          <w:tcPr>
            <w:tcW w:w="1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Corporate/Eliminations</w:t>
            </w:r>
          </w:p>
        </w:tc>
        <w:tc>
          <w:tcPr>
            <w:tcW w:w="240" w:type="dxa"/>
            <w:vAlign w:val="bottom"/>
          </w:tcPr>
          <w:p>
            <w:pPr>
              <w:spacing w:after="0"/>
              <w:rPr>
                <w:sz w:val="11"/>
                <w:szCs w:val="11"/>
                <w:color w:val="auto"/>
              </w:rPr>
            </w:pPr>
          </w:p>
        </w:tc>
        <w:tc>
          <w:tcPr>
            <w:tcW w:w="80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Home</w:t>
            </w:r>
          </w:p>
        </w:tc>
        <w:tc>
          <w:tcPr>
            <w:tcW w:w="15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9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Retail revenue:</w:t>
            </w: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Home</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tcPr>
          <w:p>
            <w:pPr>
              <w:spacing w:after="0"/>
              <w:rPr>
                <w:sz w:val="19"/>
                <w:szCs w:val="19"/>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12,967</w:t>
            </w: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Business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16,576</w:t>
            </w:r>
          </w:p>
        </w:tc>
        <w:tc>
          <w:tcPr>
            <w:tcW w:w="0" w:type="dxa"/>
            <w:vAlign w:val="bottom"/>
          </w:tcPr>
          <w:p>
            <w:pPr>
              <w:spacing w:after="0"/>
              <w:rPr>
                <w:sz w:val="1"/>
                <w:szCs w:val="1"/>
                <w:color w:val="auto"/>
              </w:rPr>
            </w:pPr>
          </w:p>
        </w:tc>
      </w:tr>
      <w:tr>
        <w:trPr>
          <w:trHeight w:val="217"/>
        </w:trPr>
        <w:tc>
          <w:tcPr>
            <w:tcW w:w="3900" w:type="dxa"/>
            <w:vAlign w:val="bottom"/>
            <w:tcBorders>
              <w:bottom w:val="single" w:sz="8" w:color="CCEEFF"/>
            </w:tcBorders>
          </w:tcPr>
          <w:p>
            <w:pPr>
              <w:ind w:left="540"/>
              <w:spacing w:after="0" w:line="217" w:lineRule="exact"/>
              <w:rPr>
                <w:sz w:val="20"/>
                <w:szCs w:val="20"/>
                <w:color w:val="auto"/>
              </w:rPr>
            </w:pPr>
            <w:r>
              <w:rPr>
                <w:rFonts w:ascii="Times New Roman" w:cs="Times New Roman" w:eastAsia="Times New Roman" w:hAnsi="Times New Roman"/>
                <w:sz w:val="18"/>
                <w:szCs w:val="18"/>
                <w:color w:val="auto"/>
              </w:rPr>
              <w:t>Total retail revenue</w:t>
            </w:r>
            <w:r>
              <w:rPr>
                <w:rFonts w:ascii="Times New Roman" w:cs="Times New Roman" w:eastAsia="Times New Roman" w:hAnsi="Times New Roman"/>
                <w:sz w:val="22"/>
                <w:szCs w:val="22"/>
                <w:color w:val="auto"/>
                <w:vertAlign w:val="superscript"/>
              </w:rPr>
              <w:t>(a)</w:t>
            </w: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10,896</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13,467</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29,543</w:t>
            </w:r>
          </w:p>
        </w:tc>
        <w:tc>
          <w:tcPr>
            <w:tcW w:w="0" w:type="dxa"/>
            <w:vAlign w:val="bottom"/>
          </w:tcPr>
          <w:p>
            <w:pPr>
              <w:spacing w:after="0"/>
              <w:rPr>
                <w:sz w:val="1"/>
                <w:szCs w:val="1"/>
                <w:color w:val="auto"/>
              </w:rPr>
            </w:pPr>
          </w:p>
        </w:tc>
      </w:tr>
      <w:tr>
        <w:trPr>
          <w:trHeight w:val="217"/>
        </w:trPr>
        <w:tc>
          <w:tcPr>
            <w:tcW w:w="3900" w:type="dxa"/>
            <w:vAlign w:val="bottom"/>
            <w:shd w:val="clear" w:color="auto" w:fill="CCEEFF"/>
          </w:tcPr>
          <w:p>
            <w:pPr>
              <w:ind w:left="140"/>
              <w:spacing w:after="0" w:line="217" w:lineRule="exact"/>
              <w:rPr>
                <w:sz w:val="20"/>
                <w:szCs w:val="20"/>
                <w:color w:val="auto"/>
              </w:rPr>
            </w:pPr>
            <w:r>
              <w:rPr>
                <w:rFonts w:ascii="Times New Roman" w:cs="Times New Roman" w:eastAsia="Times New Roman" w:hAnsi="Times New Roman"/>
                <w:sz w:val="18"/>
                <w:szCs w:val="18"/>
                <w:color w:val="auto"/>
              </w:rPr>
              <w:t>Energy revenue</w:t>
            </w:r>
            <w:r>
              <w:rPr>
                <w:rFonts w:ascii="Times New Roman" w:cs="Times New Roman" w:eastAsia="Times New Roman" w:hAnsi="Times New Roman"/>
                <w:sz w:val="22"/>
                <w:szCs w:val="22"/>
                <w:color w:val="auto"/>
                <w:vertAlign w:val="superscript"/>
              </w:rPr>
              <w:t>(a)</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24"/>
        </w:trPr>
        <w:tc>
          <w:tcPr>
            <w:tcW w:w="3900" w:type="dxa"/>
            <w:vAlign w:val="bottom"/>
          </w:tcPr>
          <w:p>
            <w:pPr>
              <w:ind w:left="140"/>
              <w:spacing w:after="0" w:line="224" w:lineRule="exact"/>
              <w:rPr>
                <w:sz w:val="20"/>
                <w:szCs w:val="20"/>
                <w:color w:val="auto"/>
              </w:rPr>
            </w:pPr>
            <w:r>
              <w:rPr>
                <w:rFonts w:ascii="Times New Roman" w:cs="Times New Roman" w:eastAsia="Times New Roman" w:hAnsi="Times New Roman"/>
                <w:sz w:val="18"/>
                <w:szCs w:val="18"/>
                <w:color w:val="auto"/>
              </w:rPr>
              <w:t>Capacity revenue</w:t>
            </w:r>
            <w:r>
              <w:rPr>
                <w:rFonts w:ascii="Times New Roman" w:cs="Times New Roman" w:eastAsia="Times New Roman" w:hAnsi="Times New Roman"/>
                <w:sz w:val="22"/>
                <w:szCs w:val="22"/>
                <w:color w:val="auto"/>
                <w:vertAlign w:val="superscript"/>
              </w:rPr>
              <w:t>(a)</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Mark-to-market for economic hedging activities</w:t>
            </w:r>
            <w:r>
              <w:rPr>
                <w:rFonts w:ascii="Times New Roman" w:cs="Times New Roman" w:eastAsia="Times New Roman" w:hAnsi="Times New Roman"/>
                <w:sz w:val="22"/>
                <w:szCs w:val="22"/>
                <w:color w:val="auto"/>
                <w:vertAlign w:val="superscript"/>
              </w:rPr>
              <w:t>(b)</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4"/>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amortization</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2"/>
                <w:szCs w:val="22"/>
                <w:color w:val="auto"/>
                <w:vertAlign w:val="superscript"/>
              </w:rPr>
              <w:t>(a)</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7"/>
        </w:trPr>
        <w:tc>
          <w:tcPr>
            <w:tcW w:w="3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11,139</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14,263</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30,713</w:t>
            </w:r>
          </w:p>
        </w:tc>
        <w:tc>
          <w:tcPr>
            <w:tcW w:w="0" w:type="dxa"/>
            <w:vAlign w:val="bottom"/>
          </w:tcPr>
          <w:p>
            <w:pPr>
              <w:spacing w:after="0"/>
              <w:rPr>
                <w:sz w:val="1"/>
                <w:szCs w:val="1"/>
                <w:color w:val="auto"/>
              </w:rPr>
            </w:pPr>
          </w:p>
        </w:tc>
      </w:tr>
      <w:tr>
        <w:trPr>
          <w:trHeight w:val="151"/>
        </w:trPr>
        <w:tc>
          <w:tcPr>
            <w:tcW w:w="3900" w:type="dxa"/>
            <w:vAlign w:val="bottom"/>
            <w:shd w:val="clear" w:color="auto" w:fill="CCEEFF"/>
          </w:tcPr>
          <w:p>
            <w:pPr>
              <w:ind w:left="140"/>
              <w:spacing w:after="0" w:line="152" w:lineRule="exact"/>
              <w:rPr>
                <w:sz w:val="20"/>
                <w:szCs w:val="20"/>
                <w:color w:val="auto"/>
              </w:rPr>
            </w:pPr>
            <w:r>
              <w:rPr>
                <w:rFonts w:ascii="Times New Roman" w:cs="Times New Roman" w:eastAsia="Times New Roman" w:hAnsi="Times New Roman"/>
                <w:sz w:val="16"/>
                <w:szCs w:val="16"/>
                <w:color w:val="auto"/>
              </w:rPr>
              <w:t>Less: Revenues accounted for under topics other</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than ASC 606 and ASC 815</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24"/>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Realized and unrealized ASC 815 revenue</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7"/>
        </w:trPr>
        <w:tc>
          <w:tcPr>
            <w:tcW w:w="39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30,347</w:t>
            </w:r>
          </w:p>
        </w:tc>
        <w:tc>
          <w:tcPr>
            <w:tcW w:w="0" w:type="dxa"/>
            <w:vAlign w:val="bottom"/>
          </w:tcPr>
          <w:p>
            <w:pPr>
              <w:spacing w:after="0"/>
              <w:rPr>
                <w:sz w:val="1"/>
                <w:szCs w:val="1"/>
                <w:color w:val="auto"/>
              </w:rPr>
            </w:pPr>
          </w:p>
        </w:tc>
      </w:tr>
      <w:tr>
        <w:trPr>
          <w:trHeight w:val="185"/>
        </w:trPr>
        <w:tc>
          <w:tcPr>
            <w:tcW w:w="8640" w:type="dxa"/>
            <w:vAlign w:val="bottom"/>
            <w:gridSpan w:val="13"/>
          </w:tcPr>
          <w:p>
            <w:pPr>
              <w:ind w:left="20"/>
              <w:spacing w:after="0"/>
              <w:rPr>
                <w:sz w:val="20"/>
                <w:szCs w:val="20"/>
                <w:color w:val="auto"/>
              </w:rPr>
            </w:pPr>
            <w:r>
              <w:rPr>
                <w:rFonts w:ascii="Times New Roman" w:cs="Times New Roman" w:eastAsia="Times New Roman" w:hAnsi="Times New Roman"/>
                <w:sz w:val="13"/>
                <w:szCs w:val="13"/>
                <w:color w:val="auto"/>
              </w:rPr>
              <w:t>(a) The following table represents the realized revenues related to derivative instruments that are accounted for under ASC 815 and included in the amounts above:</w:t>
            </w: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240" w:type="dxa"/>
            <w:vAlign w:val="bottom"/>
          </w:tcPr>
          <w:p>
            <w:pPr>
              <w:spacing w:after="0"/>
              <w:rPr>
                <w:sz w:val="13"/>
                <w:szCs w:val="13"/>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80" w:type="dxa"/>
            <w:vAlign w:val="bottom"/>
          </w:tcPr>
          <w:p>
            <w:pPr>
              <w:spacing w:after="0"/>
              <w:rPr>
                <w:sz w:val="13"/>
                <w:szCs w:val="13"/>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West/Other</w:t>
            </w:r>
          </w:p>
        </w:tc>
        <w:tc>
          <w:tcPr>
            <w:tcW w:w="140" w:type="dxa"/>
            <w:vAlign w:val="bottom"/>
          </w:tcPr>
          <w:p>
            <w:pPr>
              <w:spacing w:after="0"/>
              <w:rPr>
                <w:sz w:val="13"/>
                <w:szCs w:val="13"/>
                <w:color w:val="auto"/>
              </w:rPr>
            </w:pPr>
          </w:p>
        </w:tc>
        <w:tc>
          <w:tcPr>
            <w:tcW w:w="104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w w:val="97"/>
              </w:rPr>
              <w:t>Vivint Smart</w:t>
            </w:r>
          </w:p>
        </w:tc>
        <w:tc>
          <w:tcPr>
            <w:tcW w:w="1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Corporate/Eliminations</w:t>
            </w:r>
          </w:p>
        </w:tc>
        <w:tc>
          <w:tcPr>
            <w:tcW w:w="240" w:type="dxa"/>
            <w:vAlign w:val="bottom"/>
          </w:tcPr>
          <w:p>
            <w:pPr>
              <w:spacing w:after="0"/>
              <w:rPr>
                <w:sz w:val="13"/>
                <w:szCs w:val="13"/>
                <w:color w:val="auto"/>
              </w:rPr>
            </w:pPr>
          </w:p>
        </w:tc>
        <w:tc>
          <w:tcPr>
            <w:tcW w:w="80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Home</w:t>
            </w:r>
          </w:p>
        </w:tc>
        <w:tc>
          <w:tcPr>
            <w:tcW w:w="15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9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Retail revenue</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4"/>
        </w:trPr>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Energy revenue</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Capacity revenue</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8"/>
        </w:trPr>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(b) Revenue relates entirely to unrealized gains and losses on derivative instruments accounted for under ASC 815</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11"/>
        </w:trPr>
        <w:tc>
          <w:tcPr>
            <w:tcW w:w="38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For the Year Ended December 31, 2024</w:t>
            </w: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1"/>
                <w:szCs w:val="11"/>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240" w:type="dxa"/>
            <w:vAlign w:val="bottom"/>
          </w:tcPr>
          <w:p>
            <w:pPr>
              <w:spacing w:after="0"/>
              <w:rPr>
                <w:sz w:val="11"/>
                <w:szCs w:val="11"/>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60" w:type="dxa"/>
            <w:vAlign w:val="bottom"/>
          </w:tcPr>
          <w:p>
            <w:pPr>
              <w:spacing w:after="0"/>
              <w:rPr>
                <w:sz w:val="11"/>
                <w:szCs w:val="11"/>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West/Other</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w w:val="99"/>
              </w:rPr>
              <w:t>Vivint Smart</w:t>
            </w:r>
          </w:p>
        </w:tc>
        <w:tc>
          <w:tcPr>
            <w:tcW w:w="1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Corporate/Eliminations</w:t>
            </w:r>
          </w:p>
        </w:tc>
        <w:tc>
          <w:tcPr>
            <w:tcW w:w="220" w:type="dxa"/>
            <w:vAlign w:val="bottom"/>
          </w:tcPr>
          <w:p>
            <w:pPr>
              <w:spacing w:after="0"/>
              <w:rPr>
                <w:sz w:val="11"/>
                <w:szCs w:val="11"/>
                <w:color w:val="auto"/>
              </w:rPr>
            </w:pPr>
          </w:p>
        </w:tc>
        <w:tc>
          <w:tcPr>
            <w:tcW w:w="80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Home</w:t>
            </w:r>
          </w:p>
        </w:tc>
        <w:tc>
          <w:tcPr>
            <w:tcW w:w="158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Retail revenue:</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Home</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tcPr>
          <w:p>
            <w:pPr>
              <w:spacing w:after="0"/>
              <w:rPr>
                <w:sz w:val="19"/>
                <w:szCs w:val="19"/>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12,946</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Business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14,203</w:t>
            </w:r>
          </w:p>
        </w:tc>
        <w:tc>
          <w:tcPr>
            <w:tcW w:w="0" w:type="dxa"/>
            <w:vAlign w:val="bottom"/>
          </w:tcPr>
          <w:p>
            <w:pPr>
              <w:spacing w:after="0"/>
              <w:rPr>
                <w:sz w:val="1"/>
                <w:szCs w:val="1"/>
                <w:color w:val="auto"/>
              </w:rPr>
            </w:pPr>
          </w:p>
        </w:tc>
      </w:tr>
      <w:tr>
        <w:trPr>
          <w:trHeight w:val="217"/>
        </w:trPr>
        <w:tc>
          <w:tcPr>
            <w:tcW w:w="3860" w:type="dxa"/>
            <w:vAlign w:val="bottom"/>
          </w:tcPr>
          <w:p>
            <w:pPr>
              <w:ind w:left="520"/>
              <w:spacing w:after="0" w:line="217" w:lineRule="exact"/>
              <w:rPr>
                <w:sz w:val="20"/>
                <w:szCs w:val="20"/>
                <w:color w:val="auto"/>
              </w:rPr>
            </w:pPr>
            <w:r>
              <w:rPr>
                <w:rFonts w:ascii="Times New Roman" w:cs="Times New Roman" w:eastAsia="Times New Roman" w:hAnsi="Times New Roman"/>
                <w:sz w:val="18"/>
                <w:szCs w:val="18"/>
                <w:color w:val="auto"/>
              </w:rPr>
              <w:t>Total retail revenue</w:t>
            </w:r>
            <w:r>
              <w:rPr>
                <w:rFonts w:ascii="Times New Roman" w:cs="Times New Roman" w:eastAsia="Times New Roman" w:hAnsi="Times New Roman"/>
                <w:sz w:val="22"/>
                <w:szCs w:val="22"/>
                <w:color w:val="auto"/>
                <w:vertAlign w:val="superscript"/>
              </w:rPr>
              <w:t>(a)</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27,149</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Energy revenue</w:t>
            </w:r>
            <w:r>
              <w:rPr>
                <w:rFonts w:ascii="Times New Roman" w:cs="Times New Roman" w:eastAsia="Times New Roman" w:hAnsi="Times New Roman"/>
                <w:sz w:val="22"/>
                <w:szCs w:val="22"/>
                <w:color w:val="auto"/>
                <w:vertAlign w:val="superscript"/>
              </w:rPr>
              <w:t>(a)</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4"/>
        </w:trPr>
        <w:tc>
          <w:tcPr>
            <w:tcW w:w="3860" w:type="dxa"/>
            <w:vAlign w:val="bottom"/>
          </w:tcPr>
          <w:p>
            <w:pPr>
              <w:ind w:left="140"/>
              <w:spacing w:after="0" w:line="224" w:lineRule="exact"/>
              <w:rPr>
                <w:sz w:val="20"/>
                <w:szCs w:val="20"/>
                <w:color w:val="auto"/>
              </w:rPr>
            </w:pPr>
            <w:r>
              <w:rPr>
                <w:rFonts w:ascii="Times New Roman" w:cs="Times New Roman" w:eastAsia="Times New Roman" w:hAnsi="Times New Roman"/>
                <w:sz w:val="18"/>
                <w:szCs w:val="18"/>
                <w:color w:val="auto"/>
              </w:rPr>
              <w:t>Capacity revenue</w:t>
            </w:r>
            <w:r>
              <w:rPr>
                <w:rFonts w:ascii="Times New Roman" w:cs="Times New Roman" w:eastAsia="Times New Roman" w:hAnsi="Times New Roman"/>
                <w:sz w:val="22"/>
                <w:szCs w:val="22"/>
                <w:color w:val="auto"/>
                <w:vertAlign w:val="superscript"/>
              </w:rPr>
              <w:t>(a)</w:t>
            </w: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Mark-to-market for economic hedging activities</w:t>
            </w:r>
            <w:r>
              <w:rPr>
                <w:rFonts w:ascii="Times New Roman" w:cs="Times New Roman" w:eastAsia="Times New Roman" w:hAnsi="Times New Roman"/>
                <w:sz w:val="22"/>
                <w:szCs w:val="22"/>
                <w:color w:val="auto"/>
                <w:vertAlign w:val="superscript"/>
              </w:rPr>
              <w:t>(b)</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4"/>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amortization</w:t>
            </w: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2"/>
                <w:szCs w:val="22"/>
                <w:color w:val="auto"/>
                <w:vertAlign w:val="superscript"/>
              </w:rPr>
              <w:t>(a)</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7"/>
        </w:trPr>
        <w:tc>
          <w:tcPr>
            <w:tcW w:w="3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10,651</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11,709</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28,130</w:t>
            </w:r>
          </w:p>
        </w:tc>
        <w:tc>
          <w:tcPr>
            <w:tcW w:w="0" w:type="dxa"/>
            <w:vAlign w:val="bottom"/>
          </w:tcPr>
          <w:p>
            <w:pPr>
              <w:spacing w:after="0"/>
              <w:rPr>
                <w:sz w:val="1"/>
                <w:szCs w:val="1"/>
                <w:color w:val="auto"/>
              </w:rPr>
            </w:pPr>
          </w:p>
        </w:tc>
      </w:tr>
      <w:tr>
        <w:trPr>
          <w:trHeight w:val="151"/>
        </w:trPr>
        <w:tc>
          <w:tcPr>
            <w:tcW w:w="3860" w:type="dxa"/>
            <w:vAlign w:val="bottom"/>
            <w:shd w:val="clear" w:color="auto" w:fill="CCEEFF"/>
          </w:tcPr>
          <w:p>
            <w:pPr>
              <w:ind w:left="140"/>
              <w:spacing w:after="0" w:line="152" w:lineRule="exact"/>
              <w:rPr>
                <w:sz w:val="20"/>
                <w:szCs w:val="20"/>
                <w:color w:val="auto"/>
              </w:rPr>
            </w:pPr>
            <w:r>
              <w:rPr>
                <w:rFonts w:ascii="Times New Roman" w:cs="Times New Roman" w:eastAsia="Times New Roman" w:hAnsi="Times New Roman"/>
                <w:sz w:val="16"/>
                <w:szCs w:val="16"/>
                <w:color w:val="auto"/>
              </w:rPr>
              <w:t>Less: Revenues accounted for under topics other</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than ASC 606 and ASC 815</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4"/>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Realized and unrealized ASC 815 revenue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7"/>
        </w:trPr>
        <w:tc>
          <w:tcPr>
            <w:tcW w:w="38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27,748</w:t>
            </w:r>
          </w:p>
        </w:tc>
        <w:tc>
          <w:tcPr>
            <w:tcW w:w="0" w:type="dxa"/>
            <w:vAlign w:val="bottom"/>
          </w:tcPr>
          <w:p>
            <w:pPr>
              <w:spacing w:after="0"/>
              <w:rPr>
                <w:sz w:val="1"/>
                <w:szCs w:val="1"/>
                <w:color w:val="auto"/>
              </w:rPr>
            </w:pPr>
          </w:p>
        </w:tc>
      </w:tr>
      <w:tr>
        <w:trPr>
          <w:trHeight w:val="185"/>
        </w:trPr>
        <w:tc>
          <w:tcPr>
            <w:tcW w:w="8600" w:type="dxa"/>
            <w:vAlign w:val="bottom"/>
            <w:gridSpan w:val="13"/>
          </w:tcPr>
          <w:p>
            <w:pPr>
              <w:ind w:left="20"/>
              <w:spacing w:after="0"/>
              <w:rPr>
                <w:sz w:val="20"/>
                <w:szCs w:val="20"/>
                <w:color w:val="auto"/>
              </w:rPr>
            </w:pPr>
            <w:r>
              <w:rPr>
                <w:rFonts w:ascii="Times New Roman" w:cs="Times New Roman" w:eastAsia="Times New Roman" w:hAnsi="Times New Roman"/>
                <w:sz w:val="13"/>
                <w:szCs w:val="13"/>
                <w:color w:val="auto"/>
              </w:rPr>
              <w:t>(a) The following table represents the realized revenues related to derivative instruments that are accounted for under ASC 815 and included in the amounts above:</w:t>
            </w: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3"/>
                <w:szCs w:val="13"/>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240" w:type="dxa"/>
            <w:vAlign w:val="bottom"/>
          </w:tcPr>
          <w:p>
            <w:pPr>
              <w:spacing w:after="0"/>
              <w:rPr>
                <w:sz w:val="13"/>
                <w:szCs w:val="13"/>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60" w:type="dxa"/>
            <w:vAlign w:val="bottom"/>
          </w:tcPr>
          <w:p>
            <w:pPr>
              <w:spacing w:after="0"/>
              <w:rPr>
                <w:sz w:val="13"/>
                <w:szCs w:val="13"/>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West/Other</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w w:val="99"/>
              </w:rPr>
              <w:t>Vivint Smart</w:t>
            </w:r>
          </w:p>
        </w:tc>
        <w:tc>
          <w:tcPr>
            <w:tcW w:w="1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Corporate/Eliminations</w:t>
            </w:r>
          </w:p>
        </w:tc>
        <w:tc>
          <w:tcPr>
            <w:tcW w:w="220" w:type="dxa"/>
            <w:vAlign w:val="bottom"/>
          </w:tcPr>
          <w:p>
            <w:pPr>
              <w:spacing w:after="0"/>
              <w:rPr>
                <w:sz w:val="13"/>
                <w:szCs w:val="13"/>
                <w:color w:val="auto"/>
              </w:rPr>
            </w:pPr>
          </w:p>
        </w:tc>
        <w:tc>
          <w:tcPr>
            <w:tcW w:w="80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Home</w:t>
            </w:r>
          </w:p>
        </w:tc>
        <w:tc>
          <w:tcPr>
            <w:tcW w:w="158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8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Retail revenue</w:t>
            </w: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4"/>
        </w:trPr>
        <w:tc>
          <w:tcPr>
            <w:tcW w:w="3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Energy revenue</w:t>
            </w: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Capacity revenue</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8"/>
        </w:trPr>
        <w:tc>
          <w:tcPr>
            <w:tcW w:w="3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revenue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(b) Revenue relates entirely to unrealized gains and losses on derivative instruments accounted for under ASC 815</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67945</wp:posOffset>
            </wp:positionV>
            <wp:extent cx="716089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913" w:right="35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11"/>
        </w:trPr>
        <w:tc>
          <w:tcPr>
            <w:tcW w:w="3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For the Year Ended December 31, 2023</w:t>
            </w: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1"/>
                <w:szCs w:val="11"/>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240" w:type="dxa"/>
            <w:vAlign w:val="bottom"/>
          </w:tcPr>
          <w:p>
            <w:pPr>
              <w:spacing w:after="0"/>
              <w:rPr>
                <w:sz w:val="11"/>
                <w:szCs w:val="11"/>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8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West/Other</w:t>
            </w:r>
          </w:p>
        </w:tc>
        <w:tc>
          <w:tcPr>
            <w:tcW w:w="140" w:type="dxa"/>
            <w:vAlign w:val="bottom"/>
          </w:tcPr>
          <w:p>
            <w:pPr>
              <w:spacing w:after="0"/>
              <w:rPr>
                <w:sz w:val="11"/>
                <w:szCs w:val="11"/>
                <w:color w:val="auto"/>
              </w:rPr>
            </w:pPr>
          </w:p>
        </w:tc>
        <w:tc>
          <w:tcPr>
            <w:tcW w:w="104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w w:val="97"/>
              </w:rPr>
              <w:t>Vivint Smart</w:t>
            </w:r>
          </w:p>
        </w:tc>
        <w:tc>
          <w:tcPr>
            <w:tcW w:w="1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Corporate/Eliminations</w:t>
            </w:r>
          </w:p>
        </w:tc>
        <w:tc>
          <w:tcPr>
            <w:tcW w:w="240" w:type="dxa"/>
            <w:vAlign w:val="bottom"/>
          </w:tcPr>
          <w:p>
            <w:pPr>
              <w:spacing w:after="0"/>
              <w:rPr>
                <w:sz w:val="11"/>
                <w:szCs w:val="11"/>
                <w:color w:val="auto"/>
              </w:rPr>
            </w:pPr>
          </w:p>
        </w:tc>
        <w:tc>
          <w:tcPr>
            <w:tcW w:w="80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40"/>
              <w:spacing w:after="0" w:line="197" w:lineRule="exact"/>
              <w:rPr>
                <w:sz w:val="20"/>
                <w:szCs w:val="20"/>
                <w:color w:val="auto"/>
              </w:rPr>
            </w:pPr>
            <w:r>
              <w:rPr>
                <w:rFonts w:ascii="Times New Roman" w:cs="Times New Roman" w:eastAsia="Times New Roman" w:hAnsi="Times New Roman"/>
                <w:sz w:val="14"/>
                <w:szCs w:val="14"/>
                <w:b w:val="1"/>
                <w:bCs w:val="1"/>
                <w:color w:val="auto"/>
                <w:w w:val="96"/>
              </w:rPr>
              <w:t>Home</w:t>
            </w:r>
            <w:r>
              <w:rPr>
                <w:rFonts w:ascii="Times New Roman" w:cs="Times New Roman" w:eastAsia="Times New Roman" w:hAnsi="Times New Roman"/>
                <w:sz w:val="18"/>
                <w:szCs w:val="18"/>
                <w:b w:val="1"/>
                <w:bCs w:val="1"/>
                <w:color w:val="auto"/>
                <w:w w:val="96"/>
                <w:vertAlign w:val="superscript"/>
              </w:rPr>
              <w:t>(a)</w:t>
            </w:r>
          </w:p>
        </w:tc>
        <w:tc>
          <w:tcPr>
            <w:tcW w:w="156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900" w:type="dxa"/>
            <w:vAlign w:val="bottom"/>
            <w:tcBorders>
              <w:top w:val="single" w:sz="8" w:color="CCEEFF"/>
            </w:tcBorders>
            <w:shd w:val="clear" w:color="auto" w:fill="CCEEFF"/>
          </w:tcPr>
          <w:p>
            <w:pPr>
              <w:ind w:left="140"/>
              <w:spacing w:after="0" w:line="204" w:lineRule="exact"/>
              <w:rPr>
                <w:sz w:val="20"/>
                <w:szCs w:val="20"/>
                <w:color w:val="auto"/>
              </w:rPr>
            </w:pPr>
            <w:r>
              <w:rPr>
                <w:rFonts w:ascii="Times New Roman" w:cs="Times New Roman" w:eastAsia="Times New Roman" w:hAnsi="Times New Roman"/>
                <w:sz w:val="18"/>
                <w:szCs w:val="18"/>
                <w:color w:val="auto"/>
              </w:rPr>
              <w:t>Retail revenue:</w:t>
            </w: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Home</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6,538</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Pr>
          <w:p>
            <w:pPr>
              <w:spacing w:after="0"/>
              <w:rPr>
                <w:sz w:val="19"/>
                <w:szCs w:val="19"/>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12,171</w:t>
            </w: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Business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15,296</w:t>
            </w:r>
          </w:p>
        </w:tc>
        <w:tc>
          <w:tcPr>
            <w:tcW w:w="0" w:type="dxa"/>
            <w:vAlign w:val="bottom"/>
          </w:tcPr>
          <w:p>
            <w:pPr>
              <w:spacing w:after="0"/>
              <w:rPr>
                <w:sz w:val="1"/>
                <w:szCs w:val="1"/>
                <w:color w:val="auto"/>
              </w:rPr>
            </w:pPr>
          </w:p>
        </w:tc>
      </w:tr>
      <w:tr>
        <w:trPr>
          <w:trHeight w:val="217"/>
        </w:trPr>
        <w:tc>
          <w:tcPr>
            <w:tcW w:w="3900" w:type="dxa"/>
            <w:vAlign w:val="bottom"/>
            <w:tcBorders>
              <w:bottom w:val="single" w:sz="8" w:color="CCEEFF"/>
            </w:tcBorders>
          </w:tcPr>
          <w:p>
            <w:pPr>
              <w:ind w:left="540"/>
              <w:spacing w:after="0" w:line="217" w:lineRule="exact"/>
              <w:rPr>
                <w:sz w:val="20"/>
                <w:szCs w:val="20"/>
                <w:color w:val="auto"/>
              </w:rPr>
            </w:pPr>
            <w:r>
              <w:rPr>
                <w:rFonts w:ascii="Times New Roman" w:cs="Times New Roman" w:eastAsia="Times New Roman" w:hAnsi="Times New Roman"/>
                <w:sz w:val="18"/>
                <w:szCs w:val="18"/>
                <w:color w:val="auto"/>
              </w:rPr>
              <w:t>Total retail revenue</w:t>
            </w:r>
            <w:r>
              <w:rPr>
                <w:rFonts w:ascii="Times New Roman" w:cs="Times New Roman" w:eastAsia="Times New Roman" w:hAnsi="Times New Roman"/>
                <w:sz w:val="22"/>
                <w:szCs w:val="22"/>
                <w:color w:val="auto"/>
                <w:vertAlign w:val="superscript"/>
              </w:rPr>
              <w:t>(b)</w:t>
            </w: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10,030</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11,946</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27,467</w:t>
            </w:r>
          </w:p>
        </w:tc>
        <w:tc>
          <w:tcPr>
            <w:tcW w:w="0" w:type="dxa"/>
            <w:vAlign w:val="bottom"/>
          </w:tcPr>
          <w:p>
            <w:pPr>
              <w:spacing w:after="0"/>
              <w:rPr>
                <w:sz w:val="1"/>
                <w:szCs w:val="1"/>
                <w:color w:val="auto"/>
              </w:rPr>
            </w:pPr>
          </w:p>
        </w:tc>
      </w:tr>
      <w:tr>
        <w:trPr>
          <w:trHeight w:val="217"/>
        </w:trPr>
        <w:tc>
          <w:tcPr>
            <w:tcW w:w="3900" w:type="dxa"/>
            <w:vAlign w:val="bottom"/>
            <w:shd w:val="clear" w:color="auto" w:fill="CCEEFF"/>
          </w:tcPr>
          <w:p>
            <w:pPr>
              <w:ind w:left="140"/>
              <w:spacing w:after="0" w:line="217" w:lineRule="exact"/>
              <w:rPr>
                <w:sz w:val="20"/>
                <w:szCs w:val="20"/>
                <w:color w:val="auto"/>
              </w:rPr>
            </w:pPr>
            <w:r>
              <w:rPr>
                <w:rFonts w:ascii="Times New Roman" w:cs="Times New Roman" w:eastAsia="Times New Roman" w:hAnsi="Times New Roman"/>
                <w:sz w:val="18"/>
                <w:szCs w:val="18"/>
                <w:color w:val="auto"/>
              </w:rPr>
              <w:t>Energy revenue</w:t>
            </w:r>
            <w:r>
              <w:rPr>
                <w:rFonts w:ascii="Times New Roman" w:cs="Times New Roman" w:eastAsia="Times New Roman" w:hAnsi="Times New Roman"/>
                <w:sz w:val="22"/>
                <w:szCs w:val="22"/>
                <w:color w:val="auto"/>
                <w:vertAlign w:val="superscript"/>
              </w:rPr>
              <w:t>(b)</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24"/>
        </w:trPr>
        <w:tc>
          <w:tcPr>
            <w:tcW w:w="3900" w:type="dxa"/>
            <w:vAlign w:val="bottom"/>
          </w:tcPr>
          <w:p>
            <w:pPr>
              <w:ind w:left="140"/>
              <w:spacing w:after="0" w:line="224" w:lineRule="exact"/>
              <w:rPr>
                <w:sz w:val="20"/>
                <w:szCs w:val="20"/>
                <w:color w:val="auto"/>
              </w:rPr>
            </w:pPr>
            <w:r>
              <w:rPr>
                <w:rFonts w:ascii="Times New Roman" w:cs="Times New Roman" w:eastAsia="Times New Roman" w:hAnsi="Times New Roman"/>
                <w:sz w:val="18"/>
                <w:szCs w:val="18"/>
                <w:color w:val="auto"/>
              </w:rPr>
              <w:t>Capacity revenue</w:t>
            </w:r>
            <w:r>
              <w:rPr>
                <w:rFonts w:ascii="Times New Roman" w:cs="Times New Roman" w:eastAsia="Times New Roman" w:hAnsi="Times New Roman"/>
                <w:sz w:val="22"/>
                <w:szCs w:val="22"/>
                <w:color w:val="auto"/>
                <w:vertAlign w:val="superscript"/>
              </w:rPr>
              <w:t>(b)</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Mark-to-market for economic hedging activities</w:t>
            </w:r>
            <w:r>
              <w:rPr>
                <w:rFonts w:ascii="Times New Roman" w:cs="Times New Roman" w:eastAsia="Times New Roman" w:hAnsi="Times New Roman"/>
                <w:sz w:val="22"/>
                <w:szCs w:val="22"/>
                <w:color w:val="auto"/>
                <w:vertAlign w:val="superscript"/>
              </w:rPr>
              <w:t>(c)</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4"/>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amortization</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2"/>
                <w:szCs w:val="22"/>
                <w:color w:val="auto"/>
                <w:vertAlign w:val="superscript"/>
              </w:rPr>
              <w:t>(b)</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17"/>
        </w:trPr>
        <w:tc>
          <w:tcPr>
            <w:tcW w:w="3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10,474</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12,549</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28,823</w:t>
            </w:r>
          </w:p>
        </w:tc>
        <w:tc>
          <w:tcPr>
            <w:tcW w:w="0" w:type="dxa"/>
            <w:vAlign w:val="bottom"/>
          </w:tcPr>
          <w:p>
            <w:pPr>
              <w:spacing w:after="0"/>
              <w:rPr>
                <w:sz w:val="1"/>
                <w:szCs w:val="1"/>
                <w:color w:val="auto"/>
              </w:rPr>
            </w:pPr>
          </w:p>
        </w:tc>
      </w:tr>
      <w:tr>
        <w:trPr>
          <w:trHeight w:val="151"/>
        </w:trPr>
        <w:tc>
          <w:tcPr>
            <w:tcW w:w="3900" w:type="dxa"/>
            <w:vAlign w:val="bottom"/>
            <w:shd w:val="clear" w:color="auto" w:fill="CCEEFF"/>
          </w:tcPr>
          <w:p>
            <w:pPr>
              <w:ind w:left="140"/>
              <w:spacing w:after="0" w:line="152" w:lineRule="exact"/>
              <w:rPr>
                <w:sz w:val="20"/>
                <w:szCs w:val="20"/>
                <w:color w:val="auto"/>
              </w:rPr>
            </w:pPr>
            <w:r>
              <w:rPr>
                <w:rFonts w:ascii="Times New Roman" w:cs="Times New Roman" w:eastAsia="Times New Roman" w:hAnsi="Times New Roman"/>
                <w:sz w:val="16"/>
                <w:szCs w:val="16"/>
                <w:color w:val="auto"/>
              </w:rPr>
              <w:t>Less: Revenues accounted for under topics other</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than ASC 606 and ASC 815</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4"/>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Realized and unrealized ASC 815 revenue</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17"/>
        </w:trPr>
        <w:tc>
          <w:tcPr>
            <w:tcW w:w="39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10,445</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28,256</w:t>
            </w: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200" w:hanging="177"/>
        <w:spacing w:after="0"/>
        <w:tabs>
          <w:tab w:leader="none" w:pos="20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results of operations following the acquisition date of March 10, 2023</w:t>
      </w:r>
    </w:p>
    <w:p>
      <w:pPr>
        <w:spacing w:after="0" w:line="61" w:lineRule="exact"/>
        <w:rPr>
          <w:rFonts w:ascii="Times New Roman" w:cs="Times New Roman" w:eastAsia="Times New Roman" w:hAnsi="Times New Roman"/>
          <w:sz w:val="13"/>
          <w:szCs w:val="13"/>
          <w:color w:val="auto"/>
        </w:rPr>
      </w:pPr>
    </w:p>
    <w:p>
      <w:pPr>
        <w:ind w:left="200" w:hanging="177"/>
        <w:spacing w:after="0"/>
        <w:tabs>
          <w:tab w:leader="none" w:pos="20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following table represents the realized revenues related to derivative instruments that are accounted for under ASC 815 and included in the amounts above: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3"/>
                <w:szCs w:val="13"/>
                <w:color w:val="auto"/>
              </w:rPr>
            </w:pPr>
          </w:p>
        </w:tc>
        <w:tc>
          <w:tcPr>
            <w:tcW w:w="11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80" w:type="dxa"/>
            <w:vAlign w:val="bottom"/>
          </w:tcPr>
          <w:p>
            <w:pPr>
              <w:spacing w:after="0"/>
              <w:rPr>
                <w:sz w:val="13"/>
                <w:szCs w:val="13"/>
                <w:color w:val="auto"/>
              </w:rPr>
            </w:pPr>
          </w:p>
        </w:tc>
        <w:tc>
          <w:tcPr>
            <w:tcW w:w="12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West/Other</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Vivint Smart</w:t>
            </w:r>
          </w:p>
        </w:tc>
        <w:tc>
          <w:tcPr>
            <w:tcW w:w="18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Corporate/Eliminations</w:t>
            </w:r>
          </w:p>
        </w:tc>
        <w:tc>
          <w:tcPr>
            <w:tcW w:w="80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Home</w:t>
            </w:r>
          </w:p>
        </w:tc>
        <w:tc>
          <w:tcPr>
            <w:tcW w:w="1800" w:type="dxa"/>
            <w:vAlign w:val="bottom"/>
            <w:gridSpan w:val="4"/>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9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Retail revenue</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4"/>
        </w:trPr>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Energy revenue</w:t>
            </w:r>
          </w:p>
        </w:tc>
        <w:tc>
          <w:tcPr>
            <w:tcW w:w="220" w:type="dxa"/>
            <w:vAlign w:val="bottom"/>
          </w:tcPr>
          <w:p>
            <w:pPr>
              <w:spacing w:after="0"/>
              <w:rPr>
                <w:sz w:val="19"/>
                <w:szCs w:val="19"/>
                <w:color w:val="auto"/>
              </w:rPr>
            </w:pPr>
          </w:p>
        </w:tc>
        <w:tc>
          <w:tcPr>
            <w:tcW w:w="11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Capacity revenue</w:t>
            </w:r>
          </w:p>
        </w:tc>
        <w:tc>
          <w:tcPr>
            <w:tcW w:w="2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8"/>
        </w:trPr>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Pr>
          <w:p>
            <w:pPr>
              <w:spacing w:after="0"/>
              <w:rPr>
                <w:sz w:val="19"/>
                <w:szCs w:val="19"/>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 Revenue relates entirely to unrealized gains and losses on derivative instruments accounted for under ASC 815</w:t>
      </w:r>
    </w:p>
    <w:p>
      <w:pPr>
        <w:spacing w:after="0" w:line="3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reflects the contract assets and liabilities included in the Company's balance sheet as of December 31, 2025 and 2024:</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8"/>
                <w:szCs w:val="18"/>
                <w:color w:val="auto"/>
              </w:rPr>
            </w:pPr>
          </w:p>
        </w:tc>
        <w:tc>
          <w:tcPr>
            <w:tcW w:w="19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40" w:type="dxa"/>
            <w:vAlign w:val="bottom"/>
          </w:tcPr>
          <w:p>
            <w:pPr>
              <w:spacing w:after="0"/>
              <w:rPr>
                <w:sz w:val="18"/>
                <w:szCs w:val="18"/>
                <w:color w:val="auto"/>
              </w:rPr>
            </w:pPr>
          </w:p>
        </w:tc>
        <w:tc>
          <w:tcPr>
            <w:tcW w:w="184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53"/>
        </w:trPr>
        <w:tc>
          <w:tcPr>
            <w:tcW w:w="6960" w:type="dxa"/>
            <w:vAlign w:val="bottom"/>
            <w:tcBorders>
              <w:top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6"/>
                <w:szCs w:val="16"/>
                <w:color w:val="auto"/>
              </w:rPr>
              <w:t>Capitalized contract costs (included in Prepayments and other current assets and Other non-</w:t>
            </w:r>
          </w:p>
        </w:tc>
        <w:tc>
          <w:tcPr>
            <w:tcW w:w="260" w:type="dxa"/>
            <w:vAlign w:val="bottom"/>
            <w:tcBorders>
              <w:top w:val="single" w:sz="8" w:color="auto"/>
            </w:tcBorders>
            <w:shd w:val="clear" w:color="auto" w:fill="CCEEFF"/>
          </w:tcPr>
          <w:p>
            <w:pPr>
              <w:spacing w:after="0"/>
              <w:rPr>
                <w:sz w:val="13"/>
                <w:szCs w:val="13"/>
                <w:color w:val="auto"/>
              </w:rPr>
            </w:pPr>
          </w:p>
        </w:tc>
        <w:tc>
          <w:tcPr>
            <w:tcW w:w="1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840" w:type="dxa"/>
            <w:vAlign w:val="bottom"/>
            <w:tcBorders>
              <w:top w:val="single" w:sz="8" w:color="auto"/>
            </w:tcBorders>
            <w:shd w:val="clear" w:color="auto" w:fill="CCEEFF"/>
          </w:tcPr>
          <w:p>
            <w:pPr>
              <w:spacing w:after="0"/>
              <w:rPr>
                <w:sz w:val="13"/>
                <w:szCs w:val="13"/>
                <w:color w:val="auto"/>
              </w:rPr>
            </w:pPr>
          </w:p>
        </w:tc>
      </w:tr>
      <w:tr>
        <w:trPr>
          <w:trHeight w:val="23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r>
      <w:tr>
        <w:trPr>
          <w:trHeight w:val="263"/>
        </w:trPr>
        <w:tc>
          <w:tcPr>
            <w:tcW w:w="6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24"/>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 - Contracts with customers</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w:t>
            </w:r>
          </w:p>
        </w:tc>
      </w:tr>
      <w:tr>
        <w:trPr>
          <w:trHeight w:val="224"/>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 - Accounted for under topics other than ASC 606</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4"/>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 - Affiliate</w:t>
            </w:r>
          </w:p>
        </w:tc>
        <w:tc>
          <w:tcPr>
            <w:tcW w:w="2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7"/>
        </w:trPr>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w:t>
            </w: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29"/>
        </w:trPr>
        <w:tc>
          <w:tcPr>
            <w:tcW w:w="6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24"/>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revenues (included within Accounts receivable, net - Contracts with customers)</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r>
      <w:tr>
        <w:trPr>
          <w:trHeight w:val="224"/>
        </w:trPr>
        <w:tc>
          <w:tcPr>
            <w:tcW w:w="696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Deferred revenues</w:t>
            </w:r>
            <w:r>
              <w:rPr>
                <w:rFonts w:ascii="Times New Roman" w:cs="Times New Roman" w:eastAsia="Times New Roman" w:hAnsi="Times New Roman"/>
                <w:sz w:val="22"/>
                <w:szCs w:val="22"/>
                <w:color w:val="auto"/>
                <w:vertAlign w:val="superscript"/>
              </w:rPr>
              <w:t>(a)</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Deferred revenues from contracts with customers as of December 31, 2025 and 2024 were approximately $1.6 billion and $1.5 billion, respectively.</w:t>
      </w:r>
    </w:p>
    <w:p>
      <w:pPr>
        <w:spacing w:after="0" w:line="12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revenue recognized from contracts with customers during the years ended December 31, 2025 and 2024 relating to the deferred revenue balance at the beginning of each period was $698 million and $606 million, respectively, which increased primarily due to the timing difference of when consideration was received and when the performance obligation was transferred.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05" w:name="page106"/>
    <w:bookmarkEnd w:id="105"/>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Company's capitalized contract costs consist of fulfillment costs, commission payments, broker fees and other costs that represent incremental costs of obtaining the contract with customers for which the Company expects to recover. Capitalized contract costs are amortized to depreciation and amortization on a straight-line basis over the expected period of benefit of five years.</w:t>
      </w:r>
    </w:p>
    <w:p>
      <w:pPr>
        <w:spacing w:after="0" w:line="7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When the Company receives consideration from the customer that is in excess of the amount due, such consideration is reclassified to deferred revenue, which represents a contract liability. Smart home products and services performance obligations are recognized over the customer's contract term, which is generally three to five years. Energy contract liabilities are generally recognized to revenue in the next period as the Company satisfies its performance obligations.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w:t>
      </w:r>
      <w:r>
        <w:rPr>
          <w:rFonts w:ascii="Times New Roman" w:cs="Times New Roman" w:eastAsia="Times New Roman" w:hAnsi="Times New Roman"/>
          <w:sz w:val="18"/>
          <w:szCs w:val="18"/>
          <w:b w:val="1"/>
          <w:bCs w:val="1"/>
          <w:i w:val="1"/>
          <w:iCs w:val="1"/>
          <w:color w:val="auto"/>
        </w:rPr>
        <w:t>Acquisitions and Dispositions</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2026 Acquisition</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Acquisition of LSP Portfolio</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On January 30, 2026, NRG completed the acquisition of the LSP Portfolio from LS Power, pursuant to the Purchase Agreement dated as of May 12, 2025. The acquisition doubles NRG’s generation capacity with the addition of 18 natural gas-fired and dual fuel facilities totaling approximately 13 GW. These facilities, located across nine states, expand NRG’s generation footprint in the Northeast and Texas, where most of its load is located. In addition, NRG acquired CPower, a leading demand response platform, which operates in all the country’s deregulated energy markets and has more than 2,000 commercial and industrial customers.</w:t>
      </w:r>
    </w:p>
    <w:p>
      <w:pPr>
        <w:spacing w:after="0" w:line="8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consideration consisted of 24.25 million shares of NRG common stock and $6.4 billion in cash, plus preliminary working capital and certain other adjustments of $479 million. The Company funded the cash consideration using a portion of the net proceeds from the New Unsecured Notes and the New Secured Notes of $4.4 billion and proceeds of $2.5 billion from the Company’s Revolving Credit Facility. As part of the transaction, NRG also assumed approximately $3.2 billion of debt.</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total preliminary consideration of $10.579 billion was calculated as follows:</w:t>
      </w:r>
    </w:p>
    <w:p>
      <w:pPr>
        <w:spacing w:after="0" w:line="142"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7135495" cy="1504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p>
      <w:pPr>
        <w:spacing w:after="0" w:line="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Cash consideration (inclusive of preliminary working capital and certain other adjustments of $479 million)</w:t>
      </w:r>
    </w:p>
    <w:p>
      <w:pPr>
        <w:spacing w:after="0" w:line="21" w:lineRule="exact"/>
        <w:rPr>
          <w:sz w:val="20"/>
          <w:szCs w:val="20"/>
          <w:color w:val="auto"/>
        </w:rPr>
      </w:pPr>
    </w:p>
    <w:p>
      <w:pPr>
        <w:ind w:left="240"/>
        <w:spacing w:after="0" w:line="228" w:lineRule="auto"/>
        <w:rPr>
          <w:sz w:val="20"/>
          <w:szCs w:val="20"/>
          <w:color w:val="auto"/>
        </w:rPr>
      </w:pPr>
      <w:r>
        <w:rPr>
          <w:rFonts w:ascii="Times New Roman" w:cs="Times New Roman" w:eastAsia="Times New Roman" w:hAnsi="Times New Roman"/>
          <w:sz w:val="18"/>
          <w:szCs w:val="18"/>
          <w:color w:val="auto"/>
        </w:rPr>
        <w:t>Stock consideration: 24,250,000 common shares of NRG, par value $0.01 per share, based on NRG closing share price of $153.72 on January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5495" cy="1670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Total Preliminary Consideration</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1165" w:hanging="1165"/>
        <w:spacing w:after="0"/>
        <w:tabs>
          <w:tab w:leader="none" w:pos="1165"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6,851</w:t>
      </w:r>
    </w:p>
    <w:p>
      <w:pPr>
        <w:spacing w:after="0" w:line="22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3,728</w:t>
      </w:r>
    </w:p>
    <w:p>
      <w:pPr>
        <w:spacing w:after="0" w:line="30" w:lineRule="exact"/>
        <w:rPr>
          <w:sz w:val="20"/>
          <w:szCs w:val="20"/>
          <w:color w:val="auto"/>
        </w:rPr>
      </w:pPr>
    </w:p>
    <w:p>
      <w:pPr>
        <w:ind w:left="1085" w:hanging="1085"/>
        <w:spacing w:after="0"/>
        <w:tabs>
          <w:tab w:leader="none" w:pos="1085"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10,579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104457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44575" cy="8255"/>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9380" w:space="235"/>
            <w:col w:w="1625"/>
          </w:cols>
          <w:pgMar w:left="320" w:top="871" w:right="339" w:bottom="1440" w:gutter="0" w:footer="0" w:header="0"/>
          <w:type w:val="continuous"/>
        </w:sectPr>
      </w:pPr>
    </w:p>
    <w:p>
      <w:pPr>
        <w:spacing w:after="0" w:line="2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Acquisition costs of $32 million for the year ended December 31, 2025 are included in acquisition-related transaction and integration costs in the Company’s consolidated statement of operations.</w:t>
      </w:r>
    </w:p>
    <w:p>
      <w:pPr>
        <w:spacing w:after="0" w:line="64" w:lineRule="exact"/>
        <w:rPr>
          <w:sz w:val="20"/>
          <w:szCs w:val="20"/>
          <w:color w:val="auto"/>
        </w:rPr>
      </w:pPr>
    </w:p>
    <w:p>
      <w:pPr>
        <w:jc w:val="both"/>
        <w:ind w:firstLine="395"/>
        <w:spacing w:after="0" w:line="242" w:lineRule="auto"/>
        <w:rPr>
          <w:sz w:val="20"/>
          <w:szCs w:val="20"/>
          <w:color w:val="auto"/>
        </w:rPr>
      </w:pPr>
      <w:r>
        <w:rPr>
          <w:rFonts w:ascii="Times New Roman" w:cs="Times New Roman" w:eastAsia="Times New Roman" w:hAnsi="Times New Roman"/>
          <w:sz w:val="18"/>
          <w:szCs w:val="18"/>
          <w:color w:val="auto"/>
        </w:rPr>
        <w:t>The acquisition will be recorded as a business combination under ASC 805, with identifiable assets acquired and liabilities assumed recorded at their estimated fair value as of the acquisition date. The initial accounting is not complete due to the limited timing between the acquisition date and the issuance of these financial statements. The Company is in the process of evaluating the purchase price allocation and determining the fair value of identifiable assets acquired and liabilities assumed, which will be reflected in subsequent reporting periods.</w:t>
      </w:r>
    </w:p>
    <w:p>
      <w:pPr>
        <w:spacing w:after="0" w:line="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2025 Acquisition</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Acquisition of Texas Generation Portfolio</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April 10, 2025, the Company acquired all of the ownership interests of six power generation facilities from Rockland Capital, LLC, adding 738 MW of natural gas-fired assets in Texas to its portfolio for $560 million in cash consideration, less $2 million in working capital adjustments. The acquisition enhances NRG’s integrated supply strategy with critical peaking and baseload capacity in key load zones across Texas.</w:t>
      </w:r>
    </w:p>
    <w:p>
      <w:pPr>
        <w:spacing w:after="0" w:line="7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Acquisition costs of $5 million for the year ended December 31, 2025 are included in acquisition-related transaction and integration costs in the Company’s consolidated statement of operations.</w:t>
      </w:r>
    </w:p>
    <w:p>
      <w:pPr>
        <w:spacing w:after="0" w:line="6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acquisition has been recorded as a business combination under ASC 805 with identifiable assets acquired and liabilities assumed recorded at their estimated fair values on the acquisition date.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type w:val="continuous"/>
        </w:sectPr>
      </w:pPr>
    </w:p>
    <w:bookmarkStart w:id="106" w:name="page107"/>
    <w:bookmarkEnd w:id="106"/>
    <w:p>
      <w:pPr>
        <w:ind w:left="400"/>
        <w:spacing w:after="0"/>
        <w:rPr>
          <w:sz w:val="20"/>
          <w:szCs w:val="20"/>
          <w:color w:val="auto"/>
        </w:rPr>
      </w:pPr>
      <w:r>
        <w:rPr>
          <w:rFonts w:ascii="Times New Roman" w:cs="Times New Roman" w:eastAsia="Times New Roman" w:hAnsi="Times New Roman"/>
          <w:sz w:val="18"/>
          <w:szCs w:val="18"/>
          <w:color w:val="auto"/>
        </w:rPr>
        <w:t>The purchase price is allocated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
        </w:trPr>
        <w:tc>
          <w:tcPr>
            <w:tcW w:w="9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9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24"/>
        </w:trPr>
        <w:tc>
          <w:tcPr>
            <w:tcW w:w="9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Derivative instruments - Current assets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4"/>
        </w:trPr>
        <w:tc>
          <w:tcPr>
            <w:tcW w:w="9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Derivative instruments - Other assets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4"/>
        </w:trPr>
        <w:tc>
          <w:tcPr>
            <w:tcW w:w="9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Derivative instruments - Current liabilities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4"/>
        </w:trPr>
        <w:tc>
          <w:tcPr>
            <w:tcW w:w="9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Derivative instruments - Other liabilities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4"/>
        </w:trPr>
        <w:tc>
          <w:tcPr>
            <w:tcW w:w="96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including current and non-current working capital</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2"/>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Texas Generation Portfolio Purchase Price</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2023 Acquisition</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Vivint Smart Home Acquisition</w:t>
      </w:r>
    </w:p>
    <w:p>
      <w:pPr>
        <w:spacing w:after="0" w:line="111"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On March 10, 2023, the Company completed the acquisition of Vivint Smart Home, Inc., pursuant to the Agreement and Plan of Merger, dated as of December 6, 2022, by and among the Company, Vivint Smart Home, Inc. and Jetson Merger Sub, Inc., a wholly-owned subsidiary of the Company (“Merger Sub”) pursuant to which Merger Sub merged with and into Vivint Smart Home, Inc., with Vivint Smart Home, Inc. surviving the merger as a wholly-owned subsidiary of the Company. Dedicated to redefining the home experience with intelligent products and services, Vivint Smart Home brought approximately two million subscribers to NRG. Vivint Smart Home's single, expandable platform incorporates artificial intelligence and machine learning into its operating system and its vertically integrated business model includes hardware, software, sales, installation, customer service and technical support and professional monitoring, enabling superior subscriber experiences and a complete end-to-end smart home experience. The acquisition accelerated the realization of NRG's consumer-focused growth strategy and creates a leading essential home services platform fueled by market-leading brands, unparalleled insights, proprietary technologies and complementary sales channels.</w:t>
      </w:r>
    </w:p>
    <w:p>
      <w:pPr>
        <w:spacing w:after="0" w:line="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NRG paid $12 per share, or approximately $2.6 billion in cash. The Company funded the acquisition using:</w:t>
      </w:r>
    </w:p>
    <w:p>
      <w:pPr>
        <w:spacing w:after="0" w:line="109" w:lineRule="exact"/>
        <w:rPr>
          <w:sz w:val="20"/>
          <w:szCs w:val="20"/>
          <w:color w:val="auto"/>
        </w:rPr>
      </w:pPr>
    </w:p>
    <w:p>
      <w:pPr>
        <w:ind w:left="640" w:hanging="319"/>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of $724 million from newly issued $740 million 7.000% Senior Secured First Lien Notes due 2033, net of issuance costs and discount;</w:t>
      </w:r>
    </w:p>
    <w:p>
      <w:pPr>
        <w:spacing w:after="0" w:line="56"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of $635 million from newly issued $650 million 10.25% Series A Fixed-Rate Reset Cumulative Redeemable Perpetual Preferred Stock, net of issuance costs;</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of approximately $900 million drawn from its Revolving Credit Facility and Receivables Securitization Facilities; and</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on hand.</w:t>
      </w:r>
    </w:p>
    <w:p>
      <w:pPr>
        <w:spacing w:after="0" w:line="10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Acquisition costs of $38 million for the year ended December 31, 2023 are included in acquisition-related transaction and integration costs in the Company's consolidated statement of operations.</w:t>
      </w:r>
    </w:p>
    <w:p>
      <w:pPr>
        <w:spacing w:after="0" w:line="6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acquisition has been recorded as a business combination under ASC 805, with identifiable assets and liabilities acquired recorded at their estimated fair value on the acquisition date. The total consideration of $2.623 billion includes: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
        </w:trPr>
        <w:tc>
          <w:tcPr>
            <w:tcW w:w="9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9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Vivint Smart Home, Inc. common shares outstanding as of March 10, 2023 of 216,901,639 at $12.00 per share</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r>
      <w:tr>
        <w:trPr>
          <w:trHeight w:val="171"/>
        </w:trPr>
        <w:tc>
          <w:tcPr>
            <w:tcW w:w="9540" w:type="dxa"/>
            <w:vAlign w:val="bottom"/>
          </w:tcPr>
          <w:p>
            <w:pPr>
              <w:ind w:left="140"/>
              <w:spacing w:after="0" w:line="171" w:lineRule="exact"/>
              <w:rPr>
                <w:sz w:val="20"/>
                <w:szCs w:val="20"/>
                <w:color w:val="auto"/>
              </w:rPr>
            </w:pPr>
            <w:r>
              <w:rPr>
                <w:rFonts w:ascii="Times New Roman" w:cs="Times New Roman" w:eastAsia="Times New Roman" w:hAnsi="Times New Roman"/>
                <w:sz w:val="18"/>
                <w:szCs w:val="18"/>
                <w:color w:val="auto"/>
              </w:rPr>
              <w:t>Other Vivint Smart Home, Inc. equity instruments (Cash out RSUs and PSUs, Stock Appreciation Rights, Private Placement</w:t>
            </w: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37"/>
        </w:trPr>
        <w:tc>
          <w:tcPr>
            <w:tcW w:w="9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Warrants)</w:t>
            </w: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7"/>
        </w:trPr>
        <w:tc>
          <w:tcPr>
            <w:tcW w:w="9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Cash Consideration</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r>
      <w:tr>
        <w:trPr>
          <w:trHeight w:val="224"/>
        </w:trPr>
        <w:tc>
          <w:tcPr>
            <w:tcW w:w="9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Fair value of acquired Vivint Smart Home, Inc. equity awards attributable to pre-combination service</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2"/>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Dispositions</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2024 Disposition</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Sale of Airtron</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September 16, 2024, the Company closed on the sale of its 100% ownership in the Airtron business unit. Proceeds of $500 million were reduced by working capital and other adjustments of $20 million, resulting in net proceeds of $480 million. The Company recorded a gain on the sale of $204 million within the West/Other region of operations.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07" w:name="page108"/>
    <w:bookmarkEnd w:id="107"/>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2023 Dispositions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Sale of the 44% equity interest in STP</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November 1, 2023, the Company closed on the sale of its 44% equity interest in STP to Constellation Energy Generation ("Constellation"). Proceeds of $1.75 billion were reduced by working capital and other adjustments of $96 million, resulting in net proceeds of $1.654 billion. The Company recorded a gain on the sale of $1.2 billion within the Texas region of operations.</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Sale of Gregory</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On October 2, 2023, the Company closed on the sale of its 100% ownership in the Gregory natural gas generating facility in Texas for $102 million. The Company recorded a gain on the sale of $82 million.</w:t>
      </w:r>
    </w:p>
    <w:p>
      <w:pPr>
        <w:spacing w:after="0" w:line="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Sale of Astoria</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On January 6, 2023, the Company closed on the sale of land and related generation assets from the Astoria site, within the East region of operations, for proceeds of $212 million, subject to transaction fees of $3 million and certain indemnifications, resulting in a $199 million gain.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w:t>
      </w:r>
      <w:r>
        <w:rPr>
          <w:rFonts w:ascii="Times New Roman" w:cs="Times New Roman" w:eastAsia="Times New Roman" w:hAnsi="Times New Roman"/>
          <w:sz w:val="18"/>
          <w:szCs w:val="18"/>
          <w:b w:val="1"/>
          <w:bCs w:val="1"/>
          <w:i w:val="1"/>
          <w:iCs w:val="1"/>
          <w:color w:val="auto"/>
        </w:rPr>
        <w:t>Fair Value of Financial Instruments</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For cash and cash equivalents, funds deposited by counterparties, restricted cash, accounts and other receivables, accounts payable and cash collateral paid and received in support of energy risk management activities, the carrying amount approximates fair value because of the short-term maturity of those instruments and are classified as Level 1 within the fair value hierarchy.</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estimated carrying value and fair value of the Company's long-term debt, including current portion,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5"/>
          </w:tcPr>
          <w:p>
            <w:pPr>
              <w:jc w:val="right"/>
              <w:ind w:right="11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05"/>
        </w:trPr>
        <w:tc>
          <w:tcPr>
            <w:tcW w:w="46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04"/>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7"/>
                <w:szCs w:val="17"/>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240" w:type="dxa"/>
            <w:vAlign w:val="bottom"/>
          </w:tcPr>
          <w:p>
            <w:pPr>
              <w:spacing w:after="0"/>
              <w:rPr>
                <w:sz w:val="17"/>
                <w:szCs w:val="17"/>
                <w:color w:val="auto"/>
              </w:rPr>
            </w:pPr>
          </w:p>
        </w:tc>
        <w:tc>
          <w:tcPr>
            <w:tcW w:w="120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240" w:type="dxa"/>
            <w:vAlign w:val="bottom"/>
          </w:tcPr>
          <w:p>
            <w:pPr>
              <w:spacing w:after="0"/>
              <w:rPr>
                <w:sz w:val="17"/>
                <w:szCs w:val="17"/>
                <w:color w:val="auto"/>
              </w:rPr>
            </w:pPr>
          </w:p>
        </w:tc>
        <w:tc>
          <w:tcPr>
            <w:tcW w:w="122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8"/>
        </w:trPr>
        <w:tc>
          <w:tcPr>
            <w:tcW w:w="4680" w:type="dxa"/>
            <w:vAlign w:val="bottom"/>
            <w:tcBorders>
              <w:top w:val="single" w:sz="8" w:color="CCEEFF"/>
            </w:tcBorders>
            <w:shd w:val="clear" w:color="auto" w:fill="CCEEFF"/>
          </w:tcPr>
          <w:p>
            <w:pPr>
              <w:ind w:left="140"/>
              <w:spacing w:after="0" w:line="218" w:lineRule="exact"/>
              <w:rPr>
                <w:sz w:val="20"/>
                <w:szCs w:val="20"/>
                <w:color w:val="auto"/>
              </w:rPr>
            </w:pPr>
            <w:r>
              <w:rPr>
                <w:rFonts w:ascii="Times New Roman" w:cs="Times New Roman" w:eastAsia="Times New Roman" w:hAnsi="Times New Roman"/>
                <w:sz w:val="18"/>
                <w:szCs w:val="18"/>
                <w:color w:val="auto"/>
              </w:rPr>
              <w:t>Convertible Senior Notes</w:t>
            </w:r>
            <w:r>
              <w:rPr>
                <w:rFonts w:ascii="Times New Roman" w:cs="Times New Roman" w:eastAsia="Times New Roman" w:hAnsi="Times New Roman"/>
                <w:sz w:val="22"/>
                <w:szCs w:val="22"/>
                <w:color w:val="auto"/>
                <w:vertAlign w:val="superscript"/>
              </w:rPr>
              <w:t>(a)</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24"/>
        </w:trPr>
        <w:tc>
          <w:tcPr>
            <w:tcW w:w="4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long-term debt, including current portion</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10,648</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10,252</w:t>
            </w:r>
          </w:p>
        </w:tc>
      </w:tr>
      <w:tr>
        <w:trPr>
          <w:trHeight w:val="242"/>
        </w:trPr>
        <w:tc>
          <w:tcPr>
            <w:tcW w:w="4680" w:type="dxa"/>
            <w:vAlign w:val="bottom"/>
            <w:tcBorders>
              <w:bottom w:val="single" w:sz="8" w:color="CCEEFF"/>
            </w:tcBorders>
            <w:shd w:val="clear" w:color="auto" w:fill="CCEEFF"/>
          </w:tcPr>
          <w:p>
            <w:pPr>
              <w:ind w:left="240"/>
              <w:spacing w:after="0" w:line="217" w:lineRule="exact"/>
              <w:rPr>
                <w:sz w:val="20"/>
                <w:szCs w:val="20"/>
                <w:color w:val="auto"/>
              </w:rPr>
            </w:pPr>
            <w:r>
              <w:rPr>
                <w:rFonts w:ascii="Times New Roman" w:cs="Times New Roman" w:eastAsia="Times New Roman" w:hAnsi="Times New Roman"/>
                <w:sz w:val="18"/>
                <w:szCs w:val="18"/>
                <w:color w:val="auto"/>
              </w:rPr>
              <w:t>Total long-term debt, including current portion</w:t>
            </w:r>
            <w:r>
              <w:rPr>
                <w:rFonts w:ascii="Times New Roman" w:cs="Times New Roman" w:eastAsia="Times New Roman" w:hAnsi="Times New Roman"/>
                <w:sz w:val="22"/>
                <w:szCs w:val="22"/>
                <w:color w:val="auto"/>
                <w:vertAlign w:val="superscript"/>
              </w:rPr>
              <w:t>(b)</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10,880</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10,761</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400" w:hanging="395"/>
        <w:spacing w:after="0"/>
        <w:tabs>
          <w:tab w:leader="none" w:pos="4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settled all of the outstanding Convertible Senior Notes as of July 8, 2025. For further discussion, see Note 12, </w:t>
      </w:r>
      <w:r>
        <w:rPr>
          <w:rFonts w:ascii="Times New Roman" w:cs="Times New Roman" w:eastAsia="Times New Roman" w:hAnsi="Times New Roman"/>
          <w:sz w:val="14"/>
          <w:szCs w:val="14"/>
          <w:i w:val="1"/>
          <w:iCs w:val="1"/>
          <w:color w:val="auto"/>
        </w:rPr>
        <w:t>Long-term Debt and Finance Leases</w:t>
      </w:r>
    </w:p>
    <w:p>
      <w:pPr>
        <w:spacing w:after="0" w:line="14"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deferred financing costs, which are recorded as a reduction to long-term debt on the Company's consolidated balance sheets</w:t>
      </w:r>
    </w:p>
    <w:p>
      <w:pPr>
        <w:spacing w:after="0" w:line="15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fair value of the Company's publicly-traded long-term debt and the Term Loan B are based on quoted market prices and are classified as Level 2 within the fair value hierarchy. The estimated fair values of the T.H. Wharton TEF loan, the Cedar Bayou 5 TEF loan and the Greens Bayou 6 TEF loan are determined using discounted cash flow methodologies, and are classified as Level 3 within the fair value hierarchy. The following table presents the level within the fair value hierarchy for long-term debt, including current portion, as of December 31, 2025 and December 31, 2024:</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20" w:type="dxa"/>
            <w:vAlign w:val="bottom"/>
          </w:tcPr>
          <w:p>
            <w:pPr>
              <w:spacing w:after="0"/>
              <w:rPr>
                <w:sz w:val="16"/>
                <w:szCs w:val="16"/>
                <w:color w:val="auto"/>
              </w:rPr>
            </w:pPr>
          </w:p>
        </w:tc>
        <w:tc>
          <w:tcPr>
            <w:tcW w:w="266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0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Convertible Senior Notes</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long-term debt, including current portion</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5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long-term debt, including current portion</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9"/>
        </w:trPr>
        <w:tc>
          <w:tcPr>
            <w:tcW w:w="5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798"/>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08" w:name="page109"/>
    <w:bookmarkEnd w:id="108"/>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Fair Value Accounting under ASC 820</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ASC 820 establishes a fair value hierarchy that prioritizes the inputs to valuation techniques used to measure fair value into three levels as follows:</w:t>
      </w:r>
    </w:p>
    <w:p>
      <w:pPr>
        <w:spacing w:after="0" w:line="109" w:lineRule="exact"/>
        <w:rPr>
          <w:sz w:val="20"/>
          <w:szCs w:val="20"/>
          <w:color w:val="auto"/>
        </w:rPr>
      </w:pPr>
    </w:p>
    <w:p>
      <w:pPr>
        <w:jc w:val="both"/>
        <w:ind w:left="640" w:hanging="319"/>
        <w:spacing w:after="0" w:line="256" w:lineRule="auto"/>
        <w:tabs>
          <w:tab w:leader="none" w:pos="6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(unadjusted) in active markets for identical assets or liabilities that the Company has the ability to access as of the measurement date. NRG's financial assets and liabilities utilizing Level 1 inputs include active exchange-traded securities, energy derivatives, and trust fund investments.</w:t>
      </w:r>
    </w:p>
    <w:p>
      <w:pPr>
        <w:spacing w:after="0" w:line="74" w:lineRule="exact"/>
        <w:rPr>
          <w:rFonts w:ascii="Times New Roman" w:cs="Times New Roman" w:eastAsia="Times New Roman" w:hAnsi="Times New Roman"/>
          <w:sz w:val="18"/>
          <w:szCs w:val="18"/>
          <w:color w:val="auto"/>
        </w:rPr>
      </w:pPr>
    </w:p>
    <w:p>
      <w:pPr>
        <w:jc w:val="both"/>
        <w:ind w:left="640" w:hanging="319"/>
        <w:spacing w:after="0" w:line="256" w:lineRule="auto"/>
        <w:tabs>
          <w:tab w:leader="none" w:pos="6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directly observable for the asset or liability or indirectly observable through corroboration with observable market data. NRG's financial assets and liabilities utilizing Level 2 inputs include fixed income securities, exchange-based derivatives, and over the counter derivatives such as swaps, options and forward contracts.</w:t>
      </w:r>
    </w:p>
    <w:p>
      <w:pPr>
        <w:spacing w:after="0" w:line="74" w:lineRule="exact"/>
        <w:rPr>
          <w:rFonts w:ascii="Times New Roman" w:cs="Times New Roman" w:eastAsia="Times New Roman" w:hAnsi="Times New Roman"/>
          <w:sz w:val="18"/>
          <w:szCs w:val="18"/>
          <w:color w:val="auto"/>
        </w:rPr>
      </w:pPr>
    </w:p>
    <w:p>
      <w:pPr>
        <w:jc w:val="both"/>
        <w:ind w:left="640" w:hanging="319"/>
        <w:spacing w:after="0" w:line="256" w:lineRule="auto"/>
        <w:tabs>
          <w:tab w:leader="none" w:pos="6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for the asset or liability only used when there is little, if any, market activity for the asset or liability at the measurement date. NRG's financial assets and liabilities utilizing Level 3 inputs include infrequently-traded, non-exchange-based derivatives and commingled investment funds, and are measured using present value pricing models.</w:t>
      </w:r>
    </w:p>
    <w:p>
      <w:pPr>
        <w:spacing w:after="0" w:line="75"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 in its entirety.</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13" w:lineRule="exact"/>
        <w:rPr>
          <w:sz w:val="20"/>
          <w:szCs w:val="20"/>
          <w:color w:val="auto"/>
        </w:rPr>
      </w:pPr>
    </w:p>
    <w:p>
      <w:pPr>
        <w:ind w:firstLine="431"/>
        <w:spacing w:after="0" w:line="268" w:lineRule="auto"/>
        <w:rPr>
          <w:sz w:val="20"/>
          <w:szCs w:val="20"/>
          <w:color w:val="auto"/>
        </w:rPr>
      </w:pPr>
      <w:r>
        <w:rPr>
          <w:rFonts w:ascii="Times New Roman" w:cs="Times New Roman" w:eastAsia="Times New Roman" w:hAnsi="Times New Roman"/>
          <w:sz w:val="18"/>
          <w:szCs w:val="18"/>
          <w:color w:val="auto"/>
        </w:rPr>
        <w:t>Derivative assets and liabilities, debt securities, equity securities and trust fund investments, which were comprised of various U.S. debt and equity securities, are carried at fair market value.</w:t>
      </w:r>
    </w:p>
    <w:p>
      <w:pPr>
        <w:spacing w:after="0" w:line="64"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The following tables present assets and liabilities measured and recorded at fair value on the Company's consolidated balance sheets on a recurring basis and their level within the fair value hierarchy:</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6"/>
                <w:szCs w:val="16"/>
                <w:color w:val="auto"/>
              </w:rPr>
            </w:pPr>
          </w:p>
        </w:tc>
        <w:tc>
          <w:tcPr>
            <w:tcW w:w="7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in securities (classified within other current and non-current assets)</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 rate contracts</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6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6660" w:type="dxa"/>
            <w:vAlign w:val="bottom"/>
            <w:shd w:val="clear" w:color="auto" w:fill="CCEEFF"/>
          </w:tcPr>
          <w:p>
            <w:pPr>
              <w:ind w:left="460"/>
              <w:spacing w:after="0" w:line="224" w:lineRule="exact"/>
              <w:rPr>
                <w:sz w:val="20"/>
                <w:szCs w:val="20"/>
                <w:color w:val="auto"/>
              </w:rPr>
            </w:pPr>
            <w:r>
              <w:rPr>
                <w:rFonts w:ascii="Times New Roman" w:cs="Times New Roman" w:eastAsia="Times New Roman" w:hAnsi="Times New Roman"/>
                <w:sz w:val="18"/>
                <w:szCs w:val="18"/>
                <w:color w:val="auto"/>
              </w:rPr>
              <w:t>Commodity contracts</w:t>
            </w:r>
            <w:r>
              <w:rPr>
                <w:rFonts w:ascii="Times New Roman" w:cs="Times New Roman" w:eastAsia="Times New Roman" w:hAnsi="Times New Roman"/>
                <w:sz w:val="22"/>
                <w:szCs w:val="22"/>
                <w:color w:val="auto"/>
                <w:vertAlign w:val="superscript"/>
              </w:rPr>
              <w:t>(a)</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171"/>
        </w:trPr>
        <w:tc>
          <w:tcPr>
            <w:tcW w:w="6660" w:type="dxa"/>
            <w:vAlign w:val="bottom"/>
          </w:tcPr>
          <w:p>
            <w:pPr>
              <w:ind w:left="40"/>
              <w:spacing w:after="0" w:line="171" w:lineRule="exact"/>
              <w:rPr>
                <w:sz w:val="20"/>
                <w:szCs w:val="20"/>
                <w:color w:val="auto"/>
              </w:rPr>
            </w:pPr>
            <w:r>
              <w:rPr>
                <w:rFonts w:ascii="Times New Roman" w:cs="Times New Roman" w:eastAsia="Times New Roman" w:hAnsi="Times New Roman"/>
                <w:sz w:val="18"/>
                <w:szCs w:val="18"/>
                <w:b w:val="1"/>
                <w:bCs w:val="1"/>
                <w:color w:val="auto"/>
              </w:rPr>
              <w:t>Equity securities measured using net asset value practical expedient (classified within</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6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rate contracts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6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6660" w:type="dxa"/>
            <w:vAlign w:val="bottom"/>
            <w:shd w:val="clear" w:color="auto" w:fill="CCEEFF"/>
          </w:tcPr>
          <w:p>
            <w:pPr>
              <w:ind w:left="420"/>
              <w:spacing w:after="0" w:line="224" w:lineRule="exact"/>
              <w:rPr>
                <w:sz w:val="20"/>
                <w:szCs w:val="20"/>
                <w:color w:val="auto"/>
              </w:rPr>
            </w:pPr>
            <w:r>
              <w:rPr>
                <w:rFonts w:ascii="Times New Roman" w:cs="Times New Roman" w:eastAsia="Times New Roman" w:hAnsi="Times New Roman"/>
                <w:sz w:val="18"/>
                <w:szCs w:val="18"/>
                <w:color w:val="auto"/>
              </w:rPr>
              <w:t>Commodity contracts</w:t>
            </w:r>
            <w:r>
              <w:rPr>
                <w:rFonts w:ascii="Times New Roman" w:cs="Times New Roman" w:eastAsia="Times New Roman" w:hAnsi="Times New Roman"/>
                <w:sz w:val="22"/>
                <w:szCs w:val="22"/>
                <w:color w:val="auto"/>
                <w:vertAlign w:val="superscript"/>
              </w:rPr>
              <w:t>(a)</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4"/>
        </w:trPr>
        <w:tc>
          <w:tcPr>
            <w:tcW w:w="6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Consumer Financing Program</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42"/>
        </w:trPr>
        <w:tc>
          <w:tcPr>
            <w:tcW w:w="666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400" w:hanging="395"/>
        <w:spacing w:after="0" w:line="268" w:lineRule="auto"/>
        <w:tabs>
          <w:tab w:leader="none" w:pos="398"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Excludes $622 million of derivative assets and $138 million of derivative liabilities that were elected as NPNS on October 1, 2024 and are no longer valued at fair value on a recurring basis. For further discussion, see Item 15 — Note 6, </w:t>
      </w:r>
      <w:r>
        <w:rPr>
          <w:rFonts w:ascii="Times New Roman" w:cs="Times New Roman" w:eastAsia="Times New Roman" w:hAnsi="Times New Roman"/>
          <w:sz w:val="14"/>
          <w:szCs w:val="14"/>
          <w:i w:val="1"/>
          <w:iCs w:val="1"/>
          <w:color w:val="auto"/>
        </w:rPr>
        <w:t>Accounting for Derivative Instruments and Hedging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6"/>
                <w:szCs w:val="16"/>
                <w:color w:val="auto"/>
              </w:rPr>
            </w:pPr>
          </w:p>
        </w:tc>
        <w:tc>
          <w:tcPr>
            <w:tcW w:w="7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in securities (classified within other current and non-current assets)</w:t>
            </w: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 rate contracts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6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460"/>
              <w:spacing w:after="0" w:line="224" w:lineRule="exact"/>
              <w:rPr>
                <w:sz w:val="20"/>
                <w:szCs w:val="20"/>
                <w:color w:val="auto"/>
              </w:rPr>
            </w:pPr>
            <w:r>
              <w:rPr>
                <w:rFonts w:ascii="Times New Roman" w:cs="Times New Roman" w:eastAsia="Times New Roman" w:hAnsi="Times New Roman"/>
                <w:sz w:val="18"/>
                <w:szCs w:val="18"/>
                <w:color w:val="auto"/>
              </w:rPr>
              <w:t>Commodity contracts</w:t>
            </w:r>
            <w:r>
              <w:rPr>
                <w:rFonts w:ascii="Times New Roman" w:cs="Times New Roman" w:eastAsia="Times New Roman" w:hAnsi="Times New Roman"/>
                <w:sz w:val="22"/>
                <w:szCs w:val="22"/>
                <w:color w:val="auto"/>
                <w:vertAlign w:val="superscript"/>
              </w:rPr>
              <w:t>(a)</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171"/>
        </w:trPr>
        <w:tc>
          <w:tcPr>
            <w:tcW w:w="67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b w:val="1"/>
                <w:bCs w:val="1"/>
                <w:color w:val="auto"/>
              </w:rPr>
              <w:t>Equity securities measured using net asset value practical expedient (classified within</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7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 rate contracts</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6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460"/>
              <w:spacing w:after="0" w:line="224" w:lineRule="exact"/>
              <w:rPr>
                <w:sz w:val="20"/>
                <w:szCs w:val="20"/>
                <w:color w:val="auto"/>
              </w:rPr>
            </w:pPr>
            <w:r>
              <w:rPr>
                <w:rFonts w:ascii="Times New Roman" w:cs="Times New Roman" w:eastAsia="Times New Roman" w:hAnsi="Times New Roman"/>
                <w:sz w:val="18"/>
                <w:szCs w:val="18"/>
                <w:color w:val="auto"/>
              </w:rPr>
              <w:t>Commodity contracts</w:t>
            </w:r>
            <w:r>
              <w:rPr>
                <w:rFonts w:ascii="Times New Roman" w:cs="Times New Roman" w:eastAsia="Times New Roman" w:hAnsi="Times New Roman"/>
                <w:sz w:val="22"/>
                <w:szCs w:val="22"/>
                <w:color w:val="auto"/>
                <w:vertAlign w:val="superscript"/>
              </w:rPr>
              <w:t>(a)</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4"/>
        </w:trPr>
        <w:tc>
          <w:tcPr>
            <w:tcW w:w="6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Consumer Financing Program</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42"/>
        </w:trPr>
        <w:tc>
          <w:tcPr>
            <w:tcW w:w="672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400" w:hanging="395"/>
        <w:spacing w:after="0" w:line="268" w:lineRule="auto"/>
        <w:tabs>
          <w:tab w:leader="none" w:pos="398"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Excludes $997 million of derivative assets and $227 million of derivative liabilities that were elected as NPNS on October 1, 2024 and are no longer valued at fair value on a recurring basis. For further discussion, see Item 15 — Note 6, </w:t>
      </w:r>
      <w:r>
        <w:rPr>
          <w:rFonts w:ascii="Times New Roman" w:cs="Times New Roman" w:eastAsia="Times New Roman" w:hAnsi="Times New Roman"/>
          <w:sz w:val="14"/>
          <w:szCs w:val="14"/>
          <w:i w:val="1"/>
          <w:iCs w:val="1"/>
          <w:color w:val="auto"/>
        </w:rPr>
        <w:t>Accounting for Derivative Instruments and Hedging Activities</w:t>
      </w:r>
    </w:p>
    <w:p>
      <w:pPr>
        <w:spacing w:after="0" w:line="210" w:lineRule="exact"/>
        <w:rPr>
          <w:sz w:val="20"/>
          <w:szCs w:val="20"/>
          <w:color w:val="auto"/>
        </w:rPr>
      </w:pPr>
    </w:p>
    <w:p>
      <w:pPr>
        <w:ind w:firstLine="434"/>
        <w:spacing w:after="0" w:line="263" w:lineRule="auto"/>
        <w:rPr>
          <w:sz w:val="20"/>
          <w:szCs w:val="20"/>
          <w:color w:val="auto"/>
        </w:rPr>
      </w:pPr>
      <w:r>
        <w:rPr>
          <w:rFonts w:ascii="Times New Roman" w:cs="Times New Roman" w:eastAsia="Times New Roman" w:hAnsi="Times New Roman"/>
          <w:sz w:val="18"/>
          <w:szCs w:val="18"/>
          <w:color w:val="auto"/>
        </w:rPr>
        <w:t>The following table reconciles, for the years ended December 31, 2025 and 2024, the beginning and ending balances for financial instruments that are recognized at fair value in the consolidated financial statements using significant unobservable inputs, for commodity derivatives:</w:t>
      </w:r>
    </w:p>
    <w:p>
      <w:pPr>
        <w:spacing w:after="0" w:line="1"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4"/>
          <w:szCs w:val="14"/>
          <w:b w:val="1"/>
          <w:bCs w:val="1"/>
          <w:color w:val="auto"/>
        </w:rPr>
        <w:t>Fair Value Measurement Using Significant Unobservable</w:t>
      </w:r>
    </w:p>
    <w:p>
      <w:pPr>
        <w:spacing w:after="0" w:line="2"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4"/>
          <w:szCs w:val="14"/>
          <w:b w:val="1"/>
          <w:bCs w:val="1"/>
          <w:color w:val="auto"/>
        </w:rPr>
        <w:t>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4690745</wp:posOffset>
            </wp:positionH>
            <wp:positionV relativeFrom="paragraph">
              <wp:posOffset>10795</wp:posOffset>
            </wp:positionV>
            <wp:extent cx="24479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ind w:left="8540"/>
        <w:spacing w:after="0"/>
        <w:rPr>
          <w:sz w:val="20"/>
          <w:szCs w:val="20"/>
          <w:color w:val="auto"/>
        </w:rPr>
      </w:pPr>
      <w:r>
        <w:rPr>
          <w:rFonts w:ascii="Times New Roman" w:cs="Times New Roman" w:eastAsia="Times New Roman" w:hAnsi="Times New Roman"/>
          <w:sz w:val="14"/>
          <w:szCs w:val="14"/>
          <w:b w:val="1"/>
          <w:bCs w:val="1"/>
          <w:color w:val="auto"/>
        </w:rPr>
        <w:t xml:space="preserve">Commodity Derivatives </w:t>
      </w:r>
      <w:r>
        <w:rPr>
          <w:rFonts w:ascii="Times New Roman" w:cs="Times New Roman" w:eastAsia="Times New Roman" w:hAnsi="Times New Roman"/>
          <w:sz w:val="9"/>
          <w:szCs w:val="9"/>
          <w:b w:val="1"/>
          <w:bCs w:val="1"/>
          <w:color w:val="auto"/>
        </w:rPr>
        <w: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380" w:type="dxa"/>
            <w:vAlign w:val="bottom"/>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3400" w:type="dxa"/>
            <w:vAlign w:val="bottom"/>
            <w:tcBorders>
              <w:top w:val="single" w:sz="8" w:color="auto"/>
              <w:bottom w:val="single" w:sz="8" w:color="auto"/>
            </w:tcBorders>
            <w:gridSpan w:val="4"/>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91"/>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4"/>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Contracts added from Texas Generation Portfolio acquisition</w:t>
            </w: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gains/(losses) realized/unrealized included in earnings</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4"/>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w:t>
            </w: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4"/>
        </w:trPr>
        <w:tc>
          <w:tcPr>
            <w:tcW w:w="738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Transfers into Level 3</w:t>
            </w:r>
            <w:r>
              <w:rPr>
                <w:rFonts w:ascii="Times New Roman" w:cs="Times New Roman" w:eastAsia="Times New Roman" w:hAnsi="Times New Roman"/>
                <w:sz w:val="22"/>
                <w:szCs w:val="22"/>
                <w:color w:val="auto"/>
                <w:vertAlign w:val="superscript"/>
              </w:rPr>
              <w:t>(b)</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4"/>
        </w:trPr>
        <w:tc>
          <w:tcPr>
            <w:tcW w:w="7380" w:type="dxa"/>
            <w:vAlign w:val="bottom"/>
          </w:tcPr>
          <w:p>
            <w:pPr>
              <w:ind w:left="140"/>
              <w:spacing w:after="0" w:line="224" w:lineRule="exact"/>
              <w:rPr>
                <w:sz w:val="20"/>
                <w:szCs w:val="20"/>
                <w:color w:val="auto"/>
              </w:rPr>
            </w:pPr>
            <w:r>
              <w:rPr>
                <w:rFonts w:ascii="Times New Roman" w:cs="Times New Roman" w:eastAsia="Times New Roman" w:hAnsi="Times New Roman"/>
                <w:sz w:val="18"/>
                <w:szCs w:val="18"/>
                <w:color w:val="auto"/>
              </w:rPr>
              <w:t>Transfers out of Level 3</w:t>
            </w:r>
            <w:r>
              <w:rPr>
                <w:rFonts w:ascii="Times New Roman" w:cs="Times New Roman" w:eastAsia="Times New Roman" w:hAnsi="Times New Roman"/>
                <w:sz w:val="22"/>
                <w:szCs w:val="22"/>
                <w:color w:val="auto"/>
                <w:vertAlign w:val="superscript"/>
              </w:rPr>
              <w:t>(b)</w:t>
            </w:r>
          </w:p>
        </w:tc>
        <w:tc>
          <w:tcPr>
            <w:tcW w:w="46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2"/>
        </w:trPr>
        <w:tc>
          <w:tcPr>
            <w:tcW w:w="7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46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20"/>
              <w:spacing w:after="0" w:line="205" w:lineRule="exact"/>
              <w:rPr>
                <w:sz w:val="20"/>
                <w:szCs w:val="20"/>
                <w:color w:val="auto"/>
              </w:rPr>
            </w:pPr>
            <w:r>
              <w:rPr>
                <w:rFonts w:ascii="Times New Roman" w:cs="Times New Roman" w:eastAsia="Times New Roman" w:hAnsi="Times New Roman"/>
                <w:sz w:val="18"/>
                <w:szCs w:val="18"/>
                <w:color w:val="auto"/>
              </w:rPr>
              <w:t>Gains/(Losses) for the period included in earnings attributable to the change in unrealized gains or</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3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relating to assets or liabilities still held as of year-end</w:t>
            </w:r>
          </w:p>
        </w:tc>
        <w:tc>
          <w:tcPr>
            <w:tcW w:w="4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400" w:hanging="395"/>
        <w:spacing w:after="0"/>
        <w:tabs>
          <w:tab w:leader="none" w:pos="4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derivatives assets and liabilities, net, excluding derivative liabilities from Consumer Financing Program, which are presented in a separate table below</w:t>
      </w:r>
    </w:p>
    <w:p>
      <w:pPr>
        <w:spacing w:after="0" w:line="21" w:lineRule="exact"/>
        <w:rPr>
          <w:rFonts w:ascii="Times New Roman" w:cs="Times New Roman" w:eastAsia="Times New Roman" w:hAnsi="Times New Roman"/>
          <w:sz w:val="14"/>
          <w:szCs w:val="14"/>
          <w:color w:val="auto"/>
        </w:rPr>
      </w:pPr>
    </w:p>
    <w:p>
      <w:pPr>
        <w:ind w:left="400" w:hanging="395"/>
        <w:spacing w:after="0" w:line="270" w:lineRule="auto"/>
        <w:tabs>
          <w:tab w:leader="none" w:pos="392"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into/out of Level 3 within the fair value hierarchy are related to the availability of consensus pricing and external broker quotes, including volatilities, and are valued as of the end of the reporting period. All other transfers into/out of Level 3 are from/to Level 2</w:t>
      </w:r>
    </w:p>
    <w:p>
      <w:pPr>
        <w:spacing w:after="0" w:line="196" w:lineRule="exact"/>
        <w:rPr>
          <w:sz w:val="20"/>
          <w:szCs w:val="20"/>
          <w:color w:val="auto"/>
        </w:rPr>
      </w:pPr>
    </w:p>
    <w:p>
      <w:pPr>
        <w:ind w:right="760" w:firstLine="395"/>
        <w:spacing w:after="0" w:line="268" w:lineRule="auto"/>
        <w:rPr>
          <w:sz w:val="20"/>
          <w:szCs w:val="20"/>
          <w:color w:val="auto"/>
        </w:rPr>
      </w:pPr>
      <w:r>
        <w:rPr>
          <w:rFonts w:ascii="Times New Roman" w:cs="Times New Roman" w:eastAsia="Times New Roman" w:hAnsi="Times New Roman"/>
          <w:sz w:val="18"/>
          <w:szCs w:val="18"/>
          <w:color w:val="auto"/>
        </w:rPr>
        <w:t>Realized and unrealized gains and losses included in earnings that are related to the commodity derivatives are recorded in revenues and cost of operations.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0" w:name="page111"/>
    <w:bookmarkEnd w:id="110"/>
    <w:p>
      <w:pPr>
        <w:jc w:val="both"/>
        <w:ind w:firstLine="395"/>
        <w:spacing w:after="0" w:line="296" w:lineRule="auto"/>
        <w:rPr>
          <w:sz w:val="20"/>
          <w:szCs w:val="20"/>
          <w:color w:val="auto"/>
        </w:rPr>
      </w:pPr>
      <w:r>
        <w:rPr>
          <w:rFonts w:ascii="Times New Roman" w:cs="Times New Roman" w:eastAsia="Times New Roman" w:hAnsi="Times New Roman"/>
          <w:sz w:val="16"/>
          <w:szCs w:val="16"/>
          <w:color w:val="auto"/>
        </w:rPr>
        <w:t>The following table reconciles, for the years ended December 31, 2025 and 2024, the beginning and ending balances of the contractual obligations from the Consumer Financing Program that are recognized at fair value in the condensed consolidated financial statements, using significant unobservable inputs:</w:t>
      </w:r>
    </w:p>
    <w:p>
      <w:pPr>
        <w:spacing w:after="0" w:line="1"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4"/>
          <w:szCs w:val="14"/>
          <w:b w:val="1"/>
          <w:bCs w:val="1"/>
          <w:color w:val="auto"/>
        </w:rPr>
        <w:t>Fair Value Measurement Using Significant Unobservable</w:t>
      </w:r>
    </w:p>
    <w:p>
      <w:pPr>
        <w:spacing w:after="0" w:line="2"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4"/>
          <w:szCs w:val="14"/>
          <w:b w:val="1"/>
          <w:bCs w:val="1"/>
          <w:color w:val="auto"/>
        </w:rPr>
        <w:t>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4724400</wp:posOffset>
            </wp:positionH>
            <wp:positionV relativeFrom="paragraph">
              <wp:posOffset>10795</wp:posOffset>
            </wp:positionV>
            <wp:extent cx="241490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ind w:left="8420"/>
        <w:spacing w:after="0"/>
        <w:rPr>
          <w:sz w:val="20"/>
          <w:szCs w:val="20"/>
          <w:color w:val="auto"/>
        </w:rPr>
      </w:pPr>
      <w:r>
        <w:rPr>
          <w:rFonts w:ascii="Times New Roman" w:cs="Times New Roman" w:eastAsia="Times New Roman" w:hAnsi="Times New Roman"/>
          <w:sz w:val="14"/>
          <w:szCs w:val="14"/>
          <w:b w:val="1"/>
          <w:bCs w:val="1"/>
          <w:color w:val="auto"/>
        </w:rPr>
        <w:t>Consumer Financing Program</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4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3360" w:type="dxa"/>
            <w:vAlign w:val="bottom"/>
            <w:tcBorders>
              <w:top w:val="single" w:sz="8" w:color="auto"/>
              <w:bottom w:val="single" w:sz="8" w:color="auto"/>
            </w:tcBorders>
            <w:gridSpan w:val="4"/>
          </w:tcPr>
          <w:p>
            <w:pPr>
              <w:jc w:val="right"/>
              <w:ind w:right="803"/>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91"/>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0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09"/>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New contractual obligations</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12"/>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Settlements</w:t>
            </w: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09"/>
        </w:trPr>
        <w:tc>
          <w:tcPr>
            <w:tcW w:w="7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losses included in earnings</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31"/>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Gains and losses that are related to the Consumer Financing Program derivative are recorded in other income, net.</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Derivative fair value measurements</w:t>
      </w:r>
    </w:p>
    <w:p>
      <w:pPr>
        <w:spacing w:after="0" w:line="113"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The Company's contracts consist primarily of non-exchange-traded contracts based on consensus pricing provided by independent pricing services and exchange-traded contracts with readily available quoted market prices. The remainder of the assets and liabilities represents contracts for which external sources or observable market quotes are not available. These contracts are valued based on various valuation techniques including but not limited to internal models based on a fundamental analysis of the market and extrapolation of observable market data with similar characteristics. As of December 31, 2025, contracts valued with prices provided by models and other valuation techniques make up 10% of derivative assets and 15% of derivative liabilities. The fair value of each contract is discounted using a risk free interest rate. In addition, the Company applies a credit reserve to reflect credit risk, which for foreign exchange contracts and interest rate swaps is calculated utilizing the bilateral method based on published default probabilities. For commodities, to the extent that NRG's net exposure under a specific master agreement is an asset, the Company uses the counterparty's default swap rate. If the exposure under a specific master agreement is a liability, the Company uses NRG's default swap rate. For foreign exchange contracts, interest rate swaps, and commodities, the credit reserve is added to the discounted fair value to reflect the exit price that a market participant would be willing to receive to assume NRG's liabilities or that a market participant would be willing to pay for NRG's assets. As of December 31, 2025, the credit reserve was immaterial. As of December 31, 2024, the credit reserve resulted in $1 million decrease primarily within cost of operations.</w:t>
      </w:r>
    </w:p>
    <w:p>
      <w:pPr>
        <w:spacing w:after="0" w:line="8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fair values in each category reflect the level of forward prices and volatility factors as of December 31, 2025 and may change as a result of changes in these factors. Management uses its best estimates to determine the fair value of commodity and derivative contracts NRG holds and sells. These estimates consider various factors including closing exchange, consensus and over-the-counter price quotations, time value, volatility factors and credit exposure. It is possible, however, that future market prices could vary from those used in recording assets and liabilities from energy marketing and trading activities and such variations could be material.</w:t>
      </w:r>
    </w:p>
    <w:p>
      <w:pPr>
        <w:spacing w:after="0" w:line="80"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NRG's significant positions classified as Level 3 include physical and financial natural gas, power, capacity contracts and renewable energy certificates executed in illiquid markets as well as financial transmission rights. The significant unobservable inputs used in developing fair value include illiquid natural gas and power location pricing, which is derived as a basis to liquid locations. The basis spread is based on observable market data when available or derived from historic prices and forward market prices from similar observable markets when not available. Forward capacity prices are based on market information, forecasted future electricity demand and supply, past auctions and internally developed pricing models. Renewable energy certificate prices are based on market information and internally developed pricing models. Power options are valued using industry standard option models. The valuation of certain power options includes significant unobservable inputs such as forward volatilities. For FTRs, NRG uses the most recent auction prices to derive the fair value. The Consumer Financing Program derivatives are valued using a discounted cash flow model, with inputs consisting of available market data, such as market yield discount rates, as well as unobservable internally derived assumptions, such as collateral prepayment rates, collateral default rates and credit loss rates.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11" w:name="page112"/>
    <w:bookmarkEnd w:id="111"/>
    <w:p>
      <w:pPr>
        <w:ind w:left="400"/>
        <w:spacing w:after="0"/>
        <w:rPr>
          <w:sz w:val="20"/>
          <w:szCs w:val="20"/>
          <w:color w:val="auto"/>
        </w:rPr>
      </w:pPr>
      <w:r>
        <w:rPr>
          <w:rFonts w:ascii="Times New Roman" w:cs="Times New Roman" w:eastAsia="Times New Roman" w:hAnsi="Times New Roman"/>
          <w:sz w:val="18"/>
          <w:szCs w:val="18"/>
          <w:color w:val="auto"/>
        </w:rPr>
        <w:t>The following tables quantify the significant unobservable inputs used in developing the fair value of the Company's Level 3 positions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133" w:lineRule="exact"/>
        <w:rPr>
          <w:sz w:val="20"/>
          <w:szCs w:val="20"/>
          <w:color w:val="auto"/>
        </w:rPr>
      </w:pPr>
    </w:p>
    <w:p>
      <w:pPr>
        <w:jc w:val="center"/>
        <w:ind w:left="1800"/>
        <w:spacing w:after="0"/>
        <w:rPr>
          <w:sz w:val="20"/>
          <w:szCs w:val="20"/>
          <w:color w:val="auto"/>
        </w:rPr>
      </w:pPr>
      <w:r>
        <w:rPr>
          <w:rFonts w:ascii="Times New Roman" w:cs="Times New Roman" w:eastAsia="Times New Roman" w:hAnsi="Times New Roman"/>
          <w:sz w:val="16"/>
          <w:szCs w:val="16"/>
          <w:b w:val="1"/>
          <w:bCs w:val="1"/>
          <w:color w:val="auto"/>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1148080</wp:posOffset>
            </wp:positionH>
            <wp:positionV relativeFrom="paragraph">
              <wp:posOffset>18415</wp:posOffset>
            </wp:positionV>
            <wp:extent cx="59912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91225" cy="8255"/>
                    </a:xfrm>
                    <a:prstGeom prst="rect">
                      <a:avLst/>
                    </a:prstGeom>
                    <a:noFill/>
                  </pic:spPr>
                </pic:pic>
              </a:graphicData>
            </a:graphic>
          </wp:anchor>
        </w:drawing>
      </w:r>
    </w:p>
    <w:p>
      <w:pPr>
        <w:spacing w:after="0" w:line="20" w:lineRule="exact"/>
        <w:rPr>
          <w:sz w:val="20"/>
          <w:szCs w:val="20"/>
          <w:color w:val="auto"/>
        </w:rPr>
      </w:pPr>
    </w:p>
    <w:p>
      <w:pPr>
        <w:jc w:val="center"/>
        <w:ind w:left="1800"/>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8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620" w:type="dxa"/>
            <w:vAlign w:val="bottom"/>
            <w:tcBorders>
              <w:top w:val="single" w:sz="8" w:color="auto"/>
              <w:bottom w:val="single" w:sz="8" w:color="auto"/>
            </w:tcBorders>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Input/Range</w:t>
            </w: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 w:type="dxa"/>
            <w:vAlign w:val="bottom"/>
          </w:tcPr>
          <w:p>
            <w:pPr>
              <w:spacing w:after="0"/>
              <w:rPr>
                <w:sz w:val="13"/>
                <w:szCs w:val="13"/>
                <w:color w:val="auto"/>
              </w:rPr>
            </w:pPr>
          </w:p>
        </w:tc>
        <w:tc>
          <w:tcPr>
            <w:tcW w:w="1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Valuation Technique</w:t>
            </w:r>
          </w:p>
        </w:tc>
        <w:tc>
          <w:tcPr>
            <w:tcW w:w="1800" w:type="dxa"/>
            <w:vAlign w:val="bottom"/>
            <w:gridSpan w:val="2"/>
          </w:tcPr>
          <w:p>
            <w:pPr>
              <w:ind w:left="480"/>
              <w:spacing w:after="0" w:line="152" w:lineRule="exact"/>
              <w:rPr>
                <w:sz w:val="20"/>
                <w:szCs w:val="20"/>
                <w:color w:val="auto"/>
              </w:rPr>
            </w:pPr>
            <w:r>
              <w:rPr>
                <w:rFonts w:ascii="Times New Roman" w:cs="Times New Roman" w:eastAsia="Times New Roman" w:hAnsi="Times New Roman"/>
                <w:sz w:val="16"/>
                <w:szCs w:val="16"/>
                <w:b w:val="1"/>
                <w:bCs w:val="1"/>
                <w:color w:val="auto"/>
              </w:rPr>
              <w:t>Significant</w:t>
            </w:r>
          </w:p>
        </w:tc>
        <w:tc>
          <w:tcPr>
            <w:tcW w:w="260" w:type="dxa"/>
            <w:vAlign w:val="bottom"/>
          </w:tcPr>
          <w:p>
            <w:pPr>
              <w:spacing w:after="0"/>
              <w:rPr>
                <w:sz w:val="13"/>
                <w:szCs w:val="13"/>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Low</w:t>
            </w:r>
          </w:p>
        </w:tc>
        <w:tc>
          <w:tcPr>
            <w:tcW w:w="160" w:type="dxa"/>
            <w:vAlign w:val="bottom"/>
          </w:tcPr>
          <w:p>
            <w:pPr>
              <w:spacing w:after="0"/>
              <w:rPr>
                <w:sz w:val="13"/>
                <w:szCs w:val="13"/>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High</w:t>
            </w:r>
          </w:p>
        </w:tc>
        <w:tc>
          <w:tcPr>
            <w:tcW w:w="180" w:type="dxa"/>
            <w:vAlign w:val="bottom"/>
          </w:tcPr>
          <w:p>
            <w:pPr>
              <w:spacing w:after="0"/>
              <w:rPr>
                <w:sz w:val="13"/>
                <w:szCs w:val="13"/>
                <w:color w:val="auto"/>
              </w:rPr>
            </w:pPr>
          </w:p>
        </w:tc>
        <w:tc>
          <w:tcPr>
            <w:tcW w:w="1020" w:type="dxa"/>
            <w:vAlign w:val="bottom"/>
          </w:tcPr>
          <w:p>
            <w:pPr>
              <w:jc w:val="right"/>
              <w:ind w:right="194"/>
              <w:spacing w:after="0" w:line="152"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210"/>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as noted)</w:t>
            </w: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2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5"/>
        </w:trPr>
        <w:tc>
          <w:tcPr>
            <w:tcW w:w="18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rPr>
              <w:t>Discounted Cash</w:t>
            </w:r>
          </w:p>
        </w:tc>
        <w:tc>
          <w:tcPr>
            <w:tcW w:w="12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line="165" w:lineRule="exact"/>
              <w:rPr>
                <w:sz w:val="20"/>
                <w:szCs w:val="20"/>
                <w:color w:val="auto"/>
              </w:rPr>
            </w:pPr>
            <w:r>
              <w:rPr>
                <w:rFonts w:ascii="Times New Roman" w:cs="Times New Roman" w:eastAsia="Times New Roman" w:hAnsi="Times New Roman"/>
                <w:sz w:val="18"/>
                <w:szCs w:val="18"/>
                <w:color w:val="auto"/>
              </w:rPr>
              <w:t>Forward Market Price</w:t>
            </w: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Contracts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per MMBtu)</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71"/>
        </w:trPr>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Discounted Cash</w:t>
            </w:r>
          </w:p>
        </w:tc>
        <w:tc>
          <w:tcPr>
            <w:tcW w:w="180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Forward Market Price</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Power Contracts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per MWh)</w:t>
            </w:r>
          </w:p>
        </w:tc>
        <w:tc>
          <w:tcPr>
            <w:tcW w:w="260" w:type="dxa"/>
            <w:vAlign w:val="bottom"/>
          </w:tcPr>
          <w:p>
            <w:pPr>
              <w:spacing w:after="0"/>
              <w:rPr>
                <w:sz w:val="20"/>
                <w:szCs w:val="20"/>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71"/>
        </w:trPr>
        <w:tc>
          <w:tcPr>
            <w:tcW w:w="1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Discounted Cash</w:t>
            </w:r>
          </w:p>
        </w:tc>
        <w:tc>
          <w:tcPr>
            <w:tcW w:w="180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Forward Market Price</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Capacity Contracts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per MW/Day)</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171"/>
        </w:trPr>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Discounted Cash</w:t>
            </w:r>
          </w:p>
        </w:tc>
        <w:tc>
          <w:tcPr>
            <w:tcW w:w="180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Forward Market Price</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per Certificate)</w:t>
            </w:r>
          </w:p>
        </w:tc>
        <w:tc>
          <w:tcPr>
            <w:tcW w:w="260" w:type="dxa"/>
            <w:vAlign w:val="bottom"/>
          </w:tcPr>
          <w:p>
            <w:pPr>
              <w:spacing w:after="0"/>
              <w:rPr>
                <w:sz w:val="20"/>
                <w:szCs w:val="20"/>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71"/>
        </w:trPr>
        <w:tc>
          <w:tcPr>
            <w:tcW w:w="1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Discounted Cash</w:t>
            </w:r>
          </w:p>
        </w:tc>
        <w:tc>
          <w:tcPr>
            <w:tcW w:w="180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Auction Prices ($ per</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FTRs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MWh)</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19,100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4"/>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Power Options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Option Models</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171"/>
        </w:trPr>
        <w:tc>
          <w:tcPr>
            <w:tcW w:w="18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Consumer Financing</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Discounted Cash</w:t>
            </w:r>
          </w:p>
        </w:tc>
        <w:tc>
          <w:tcPr>
            <w:tcW w:w="180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Collateral Default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Rates</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172"/>
        </w:trPr>
        <w:tc>
          <w:tcPr>
            <w:tcW w:w="1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Discounted Cash</w:t>
            </w:r>
          </w:p>
        </w:tc>
        <w:tc>
          <w:tcPr>
            <w:tcW w:w="180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Collateral Prepayment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Rates</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172"/>
        </w:trPr>
        <w:tc>
          <w:tcPr>
            <w:tcW w:w="1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Discounted Cash</w:t>
            </w: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8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Loss Rates</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0" w:type="dxa"/>
            <w:vAlign w:val="bottom"/>
          </w:tcPr>
          <w:p>
            <w:pPr>
              <w:spacing w:after="0"/>
              <w:rPr>
                <w:sz w:val="1"/>
                <w:szCs w:val="1"/>
                <w:color w:val="auto"/>
              </w:rPr>
            </w:pPr>
          </w:p>
        </w:tc>
      </w:tr>
      <w:tr>
        <w:trPr>
          <w:trHeight w:val="217"/>
        </w:trPr>
        <w:tc>
          <w:tcPr>
            <w:tcW w:w="18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12" w:name="page113"/>
    <w:bookmarkEnd w:id="112"/>
    <w:p>
      <w:pPr>
        <w:jc w:val="center"/>
        <w:ind w:left="1780"/>
        <w:spacing w:after="0"/>
        <w:rPr>
          <w:sz w:val="20"/>
          <w:szCs w:val="20"/>
          <w:color w:val="auto"/>
        </w:rPr>
      </w:pPr>
      <w:r>
        <w:rPr>
          <w:rFonts w:ascii="Times New Roman" w:cs="Times New Roman" w:eastAsia="Times New Roman" w:hAnsi="Times New Roman"/>
          <w:sz w:val="16"/>
          <w:szCs w:val="16"/>
          <w:b w:val="1"/>
          <w:bCs w:val="1"/>
          <w:color w:val="auto"/>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1148080</wp:posOffset>
            </wp:positionH>
            <wp:positionV relativeFrom="paragraph">
              <wp:posOffset>18415</wp:posOffset>
            </wp:positionV>
            <wp:extent cx="59912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91225" cy="8255"/>
                    </a:xfrm>
                    <a:prstGeom prst="rect">
                      <a:avLst/>
                    </a:prstGeom>
                    <a:noFill/>
                  </pic:spPr>
                </pic:pic>
              </a:graphicData>
            </a:graphic>
          </wp:anchor>
        </w:drawing>
      </w:r>
    </w:p>
    <w:p>
      <w:pPr>
        <w:spacing w:after="0" w:line="20" w:lineRule="exact"/>
        <w:rPr>
          <w:sz w:val="20"/>
          <w:szCs w:val="20"/>
          <w:color w:val="auto"/>
        </w:rPr>
      </w:pPr>
    </w:p>
    <w:p>
      <w:pPr>
        <w:jc w:val="center"/>
        <w:ind w:left="1780"/>
        <w:spacing w:after="0"/>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8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620" w:type="dxa"/>
            <w:vAlign w:val="bottom"/>
            <w:tcBorders>
              <w:top w:val="single" w:sz="8" w:color="auto"/>
              <w:bottom w:val="single" w:sz="8" w:color="auto"/>
            </w:tcBorders>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Input/Range</w:t>
            </w: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3"/>
                <w:szCs w:val="13"/>
                <w:color w:val="auto"/>
              </w:rPr>
            </w:pPr>
          </w:p>
        </w:tc>
        <w:tc>
          <w:tcPr>
            <w:tcW w:w="920" w:type="dxa"/>
            <w:vAlign w:val="bottom"/>
            <w:vMerge w:val="restart"/>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 w:type="dxa"/>
            <w:vAlign w:val="bottom"/>
          </w:tcPr>
          <w:p>
            <w:pPr>
              <w:spacing w:after="0"/>
              <w:rPr>
                <w:sz w:val="13"/>
                <w:szCs w:val="13"/>
                <w:color w:val="auto"/>
              </w:rPr>
            </w:pPr>
          </w:p>
        </w:tc>
        <w:tc>
          <w:tcPr>
            <w:tcW w:w="1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Valuation Technique</w:t>
            </w:r>
          </w:p>
        </w:tc>
        <w:tc>
          <w:tcPr>
            <w:tcW w:w="1800" w:type="dxa"/>
            <w:vAlign w:val="bottom"/>
            <w:gridSpan w:val="2"/>
          </w:tcPr>
          <w:p>
            <w:pPr>
              <w:ind w:left="480"/>
              <w:spacing w:after="0" w:line="152" w:lineRule="exact"/>
              <w:rPr>
                <w:sz w:val="20"/>
                <w:szCs w:val="20"/>
                <w:color w:val="auto"/>
              </w:rPr>
            </w:pPr>
            <w:r>
              <w:rPr>
                <w:rFonts w:ascii="Times New Roman" w:cs="Times New Roman" w:eastAsia="Times New Roman" w:hAnsi="Times New Roman"/>
                <w:sz w:val="16"/>
                <w:szCs w:val="16"/>
                <w:b w:val="1"/>
                <w:bCs w:val="1"/>
                <w:color w:val="auto"/>
              </w:rPr>
              <w:t>Significant</w:t>
            </w:r>
          </w:p>
        </w:tc>
        <w:tc>
          <w:tcPr>
            <w:tcW w:w="260" w:type="dxa"/>
            <w:vAlign w:val="bottom"/>
          </w:tcPr>
          <w:p>
            <w:pPr>
              <w:spacing w:after="0"/>
              <w:rPr>
                <w:sz w:val="13"/>
                <w:szCs w:val="13"/>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Low</w:t>
            </w:r>
          </w:p>
        </w:tc>
        <w:tc>
          <w:tcPr>
            <w:tcW w:w="160" w:type="dxa"/>
            <w:vAlign w:val="bottom"/>
          </w:tcPr>
          <w:p>
            <w:pPr>
              <w:spacing w:after="0"/>
              <w:rPr>
                <w:sz w:val="13"/>
                <w:szCs w:val="13"/>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High</w:t>
            </w:r>
          </w:p>
        </w:tc>
        <w:tc>
          <w:tcPr>
            <w:tcW w:w="180" w:type="dxa"/>
            <w:vAlign w:val="bottom"/>
          </w:tcPr>
          <w:p>
            <w:pPr>
              <w:spacing w:after="0"/>
              <w:rPr>
                <w:sz w:val="13"/>
                <w:szCs w:val="13"/>
                <w:color w:val="auto"/>
              </w:rPr>
            </w:pPr>
          </w:p>
        </w:tc>
        <w:tc>
          <w:tcPr>
            <w:tcW w:w="1020" w:type="dxa"/>
            <w:vAlign w:val="bottom"/>
          </w:tcPr>
          <w:p>
            <w:pPr>
              <w:jc w:val="right"/>
              <w:ind w:right="194"/>
              <w:spacing w:after="0" w:line="152"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210"/>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as noted)</w:t>
            </w: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2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5"/>
        </w:trPr>
        <w:tc>
          <w:tcPr>
            <w:tcW w:w="18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rPr>
              <w:t>Discounted Cash</w:t>
            </w:r>
          </w:p>
        </w:tc>
        <w:tc>
          <w:tcPr>
            <w:tcW w:w="12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line="165" w:lineRule="exact"/>
              <w:rPr>
                <w:sz w:val="20"/>
                <w:szCs w:val="20"/>
                <w:color w:val="auto"/>
              </w:rPr>
            </w:pPr>
            <w:r>
              <w:rPr>
                <w:rFonts w:ascii="Times New Roman" w:cs="Times New Roman" w:eastAsia="Times New Roman" w:hAnsi="Times New Roman"/>
                <w:sz w:val="18"/>
                <w:szCs w:val="18"/>
                <w:color w:val="auto"/>
              </w:rPr>
              <w:t>Forward Market Price</w:t>
            </w: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Contracts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per MMBtu)</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71"/>
        </w:trPr>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Discounted Cash</w:t>
            </w:r>
          </w:p>
        </w:tc>
        <w:tc>
          <w:tcPr>
            <w:tcW w:w="180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Forward Market Price</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Power Contracts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per MWh)</w:t>
            </w:r>
          </w:p>
        </w:tc>
        <w:tc>
          <w:tcPr>
            <w:tcW w:w="260" w:type="dxa"/>
            <w:vAlign w:val="bottom"/>
          </w:tcPr>
          <w:p>
            <w:pPr>
              <w:spacing w:after="0"/>
              <w:rPr>
                <w:sz w:val="20"/>
                <w:szCs w:val="20"/>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71"/>
        </w:trPr>
        <w:tc>
          <w:tcPr>
            <w:tcW w:w="1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Discounted Cash</w:t>
            </w:r>
          </w:p>
        </w:tc>
        <w:tc>
          <w:tcPr>
            <w:tcW w:w="180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Forward Market Price</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Capacity Contracts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per MW/Day)</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171"/>
        </w:trPr>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Discounted Cash</w:t>
            </w:r>
          </w:p>
        </w:tc>
        <w:tc>
          <w:tcPr>
            <w:tcW w:w="180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Forward Market Price</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per Certificate)</w:t>
            </w:r>
          </w:p>
        </w:tc>
        <w:tc>
          <w:tcPr>
            <w:tcW w:w="260" w:type="dxa"/>
            <w:vAlign w:val="bottom"/>
          </w:tcPr>
          <w:p>
            <w:pPr>
              <w:spacing w:after="0"/>
              <w:rPr>
                <w:sz w:val="20"/>
                <w:szCs w:val="20"/>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71"/>
        </w:trPr>
        <w:tc>
          <w:tcPr>
            <w:tcW w:w="1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Discounted Cash</w:t>
            </w:r>
          </w:p>
        </w:tc>
        <w:tc>
          <w:tcPr>
            <w:tcW w:w="180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Auction Prices ($ per</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FTRs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MWh)</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16,180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1"/>
        </w:trPr>
        <w:tc>
          <w:tcPr>
            <w:tcW w:w="196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Consumer Financing</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Discounted Cash</w:t>
            </w:r>
          </w:p>
        </w:tc>
        <w:tc>
          <w:tcPr>
            <w:tcW w:w="180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Collateral Default</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Program</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0" w:type="dxa"/>
            <w:vAlign w:val="bottom"/>
          </w:tcPr>
          <w:p>
            <w:pPr>
              <w:spacing w:after="0"/>
              <w:rPr>
                <w:sz w:val="1"/>
                <w:szCs w:val="1"/>
                <w:color w:val="auto"/>
              </w:rPr>
            </w:pPr>
          </w:p>
        </w:tc>
      </w:tr>
      <w:tr>
        <w:trPr>
          <w:trHeight w:val="176"/>
        </w:trPr>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Discounted Cash</w:t>
            </w:r>
          </w:p>
        </w:tc>
        <w:tc>
          <w:tcPr>
            <w:tcW w:w="18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Collateral Prepayment</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176"/>
        </w:trPr>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Discounted Cash</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8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1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Credit Loss Rates</w:t>
            </w:r>
          </w:p>
        </w:tc>
        <w:tc>
          <w:tcPr>
            <w:tcW w:w="26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0" w:type="dxa"/>
            <w:vAlign w:val="bottom"/>
          </w:tcPr>
          <w:p>
            <w:pPr>
              <w:spacing w:after="0"/>
              <w:rPr>
                <w:sz w:val="1"/>
                <w:szCs w:val="1"/>
                <w:color w:val="auto"/>
              </w:rPr>
            </w:pPr>
          </w:p>
        </w:tc>
      </w:tr>
      <w:tr>
        <w:trPr>
          <w:trHeight w:val="242"/>
        </w:trPr>
        <w:tc>
          <w:tcPr>
            <w:tcW w:w="18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8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provides sensitivity of fair value measurements to increases/(decreases) in significant unobservable inputs as of December 31, 2025 and 2024:</w:t>
      </w: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Significant Unobservable Input</w:t>
            </w:r>
          </w:p>
        </w:tc>
        <w:tc>
          <w:tcPr>
            <w:tcW w:w="100" w:type="dxa"/>
            <w:vAlign w:val="bottom"/>
            <w:vMerge w:val="restart"/>
          </w:tcPr>
          <w:p>
            <w:pPr>
              <w:spacing w:after="0"/>
              <w:rPr>
                <w:sz w:val="14"/>
                <w:szCs w:val="14"/>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Position</w:t>
            </w:r>
          </w:p>
        </w:tc>
        <w:tc>
          <w:tcPr>
            <w:tcW w:w="100" w:type="dxa"/>
            <w:vAlign w:val="bottom"/>
            <w:vMerge w:val="restart"/>
          </w:tcPr>
          <w:p>
            <w:pPr>
              <w:spacing w:after="0"/>
              <w:rPr>
                <w:sz w:val="14"/>
                <w:szCs w:val="14"/>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Change In Input</w:t>
            </w:r>
          </w:p>
        </w:tc>
        <w:tc>
          <w:tcPr>
            <w:tcW w:w="100" w:type="dxa"/>
            <w:vAlign w:val="bottom"/>
            <w:vMerge w:val="restart"/>
          </w:tcPr>
          <w:p>
            <w:pPr>
              <w:spacing w:after="0"/>
              <w:rPr>
                <w:sz w:val="14"/>
                <w:szCs w:val="14"/>
                <w:color w:val="auto"/>
              </w:rPr>
            </w:pPr>
          </w:p>
        </w:tc>
        <w:tc>
          <w:tcPr>
            <w:tcW w:w="224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7"/>
              </w:rPr>
              <w:t>Impact on Fair Value</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2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Measurement</w:t>
            </w:r>
          </w:p>
        </w:tc>
        <w:tc>
          <w:tcPr>
            <w:tcW w:w="0" w:type="dxa"/>
            <w:vAlign w:val="bottom"/>
          </w:tcPr>
          <w:p>
            <w:pPr>
              <w:spacing w:after="0"/>
              <w:rPr>
                <w:sz w:val="1"/>
                <w:szCs w:val="1"/>
                <w:color w:val="auto"/>
              </w:rPr>
            </w:pPr>
          </w:p>
        </w:tc>
      </w:tr>
      <w:tr>
        <w:trPr>
          <w:trHeight w:val="165"/>
        </w:trPr>
        <w:tc>
          <w:tcPr>
            <w:tcW w:w="47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rPr>
              <w:t>Forward Market Price Natural Gas/Power/Capacity/Renewable</w:t>
            </w:r>
          </w:p>
        </w:tc>
        <w:tc>
          <w:tcPr>
            <w:tcW w:w="100" w:type="dxa"/>
            <w:vAlign w:val="bottom"/>
            <w:shd w:val="clear" w:color="auto" w:fill="CCEEFF"/>
          </w:tcPr>
          <w:p>
            <w:pPr>
              <w:spacing w:after="0"/>
              <w:rPr>
                <w:sz w:val="14"/>
                <w:szCs w:val="14"/>
                <w:color w:val="auto"/>
              </w:rPr>
            </w:pPr>
          </w:p>
        </w:tc>
        <w:tc>
          <w:tcPr>
            <w:tcW w:w="18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3"/>
              </w:rPr>
              <w:t>Buy</w:t>
            </w:r>
          </w:p>
        </w:tc>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8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 Certificates</w:t>
            </w:r>
          </w:p>
        </w:tc>
        <w:tc>
          <w:tcPr>
            <w:tcW w:w="1860" w:type="dxa"/>
            <w:vAlign w:val="bottom"/>
            <w:gridSpan w:val="2"/>
            <w:vMerge w:val="continue"/>
            <w:shd w:val="clear" w:color="auto" w:fill="CCEEFF"/>
          </w:tcPr>
          <w:p>
            <w:pPr>
              <w:spacing w:after="0"/>
              <w:rPr>
                <w:sz w:val="12"/>
                <w:szCs w:val="12"/>
                <w:color w:val="auto"/>
              </w:rPr>
            </w:pPr>
          </w:p>
        </w:tc>
        <w:tc>
          <w:tcPr>
            <w:tcW w:w="23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Increase/(Decrease)</w:t>
            </w:r>
          </w:p>
        </w:tc>
        <w:tc>
          <w:tcPr>
            <w:tcW w:w="2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Higher/(Lower)</w:t>
            </w:r>
          </w:p>
        </w:tc>
        <w:tc>
          <w:tcPr>
            <w:tcW w:w="0" w:type="dxa"/>
            <w:vAlign w:val="bottom"/>
          </w:tcPr>
          <w:p>
            <w:pPr>
              <w:spacing w:after="0"/>
              <w:rPr>
                <w:sz w:val="1"/>
                <w:szCs w:val="1"/>
                <w:color w:val="auto"/>
              </w:rPr>
            </w:pPr>
          </w:p>
        </w:tc>
      </w:tr>
      <w:tr>
        <w:trPr>
          <w:trHeight w:val="93"/>
        </w:trPr>
        <w:tc>
          <w:tcPr>
            <w:tcW w:w="4800" w:type="dxa"/>
            <w:vAlign w:val="bottom"/>
            <w:gridSpan w:val="2"/>
            <w:vMerge w:val="continue"/>
            <w:shd w:val="clear" w:color="auto" w:fill="CCEEFF"/>
          </w:tcPr>
          <w:p>
            <w:pPr>
              <w:spacing w:after="0"/>
              <w:rPr>
                <w:sz w:val="8"/>
                <w:szCs w:val="8"/>
                <w:color w:val="auto"/>
              </w:rPr>
            </w:pPr>
          </w:p>
        </w:tc>
        <w:tc>
          <w:tcPr>
            <w:tcW w:w="1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340" w:type="dxa"/>
            <w:vAlign w:val="bottom"/>
            <w:gridSpan w:val="2"/>
            <w:vMerge w:val="continue"/>
            <w:shd w:val="clear" w:color="auto" w:fill="CCEEFF"/>
          </w:tcPr>
          <w:p>
            <w:pPr>
              <w:spacing w:after="0"/>
              <w:rPr>
                <w:sz w:val="8"/>
                <w:szCs w:val="8"/>
                <w:color w:val="auto"/>
              </w:rPr>
            </w:pPr>
          </w:p>
        </w:tc>
        <w:tc>
          <w:tcPr>
            <w:tcW w:w="22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480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Forward Market Price Natural Gas/Power/Capacity/Renewable</w:t>
            </w: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Energy Certificates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Sell</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Increase/(Decrease)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Lower/(Higher)</w:t>
            </w:r>
          </w:p>
        </w:tc>
        <w:tc>
          <w:tcPr>
            <w:tcW w:w="0" w:type="dxa"/>
            <w:vAlign w:val="bottom"/>
          </w:tcPr>
          <w:p>
            <w:pPr>
              <w:spacing w:after="0"/>
              <w:rPr>
                <w:sz w:val="1"/>
                <w:szCs w:val="1"/>
                <w:color w:val="auto"/>
              </w:rPr>
            </w:pPr>
          </w:p>
        </w:tc>
      </w:tr>
      <w:tr>
        <w:trPr>
          <w:trHeight w:val="224"/>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FTR Prices</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3"/>
              </w:rPr>
              <w:t>Buy</w:t>
            </w: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Increase/(Decrease)</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Higher/(Lower)</w:t>
            </w:r>
          </w:p>
        </w:tc>
        <w:tc>
          <w:tcPr>
            <w:tcW w:w="0" w:type="dxa"/>
            <w:vAlign w:val="bottom"/>
          </w:tcPr>
          <w:p>
            <w:pPr>
              <w:spacing w:after="0"/>
              <w:rPr>
                <w:sz w:val="1"/>
                <w:szCs w:val="1"/>
                <w:color w:val="auto"/>
              </w:rPr>
            </w:pPr>
          </w:p>
        </w:tc>
      </w:tr>
      <w:tr>
        <w:trPr>
          <w:trHeight w:val="224"/>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FTR Prices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Sell</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Increase/(Decrease)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Lower/(Higher)</w:t>
            </w:r>
          </w:p>
        </w:tc>
        <w:tc>
          <w:tcPr>
            <w:tcW w:w="0" w:type="dxa"/>
            <w:vAlign w:val="bottom"/>
          </w:tcPr>
          <w:p>
            <w:pPr>
              <w:spacing w:after="0"/>
              <w:rPr>
                <w:sz w:val="1"/>
                <w:szCs w:val="1"/>
                <w:color w:val="auto"/>
              </w:rPr>
            </w:pPr>
          </w:p>
        </w:tc>
      </w:tr>
      <w:tr>
        <w:trPr>
          <w:trHeight w:val="224"/>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Volatilities</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3"/>
              </w:rPr>
              <w:t>Buy</w:t>
            </w: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Increase/(Decrease)</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Higher/(Lower)</w:t>
            </w:r>
          </w:p>
        </w:tc>
        <w:tc>
          <w:tcPr>
            <w:tcW w:w="0" w:type="dxa"/>
            <w:vAlign w:val="bottom"/>
          </w:tcPr>
          <w:p>
            <w:pPr>
              <w:spacing w:after="0"/>
              <w:rPr>
                <w:sz w:val="1"/>
                <w:szCs w:val="1"/>
                <w:color w:val="auto"/>
              </w:rPr>
            </w:pPr>
          </w:p>
        </w:tc>
      </w:tr>
      <w:tr>
        <w:trPr>
          <w:trHeight w:val="224"/>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Volatilities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Sell</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Increase/(Decrease)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Lower/(Higher)</w:t>
            </w:r>
          </w:p>
        </w:tc>
        <w:tc>
          <w:tcPr>
            <w:tcW w:w="0" w:type="dxa"/>
            <w:vAlign w:val="bottom"/>
          </w:tcPr>
          <w:p>
            <w:pPr>
              <w:spacing w:after="0"/>
              <w:rPr>
                <w:sz w:val="1"/>
                <w:szCs w:val="1"/>
                <w:color w:val="auto"/>
              </w:rPr>
            </w:pPr>
          </w:p>
        </w:tc>
      </w:tr>
      <w:tr>
        <w:trPr>
          <w:trHeight w:val="224"/>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Collateral Default Rates</w:t>
            </w:r>
          </w:p>
        </w:tc>
        <w:tc>
          <w:tcPr>
            <w:tcW w:w="18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n/a</w:t>
            </w: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Increase/(Decrease)</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Higher/(Lower)</w:t>
            </w:r>
          </w:p>
        </w:tc>
        <w:tc>
          <w:tcPr>
            <w:tcW w:w="0" w:type="dxa"/>
            <w:vAlign w:val="bottom"/>
          </w:tcPr>
          <w:p>
            <w:pPr>
              <w:spacing w:after="0"/>
              <w:rPr>
                <w:sz w:val="1"/>
                <w:szCs w:val="1"/>
                <w:color w:val="auto"/>
              </w:rPr>
            </w:pPr>
          </w:p>
        </w:tc>
      </w:tr>
      <w:tr>
        <w:trPr>
          <w:trHeight w:val="224"/>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Collateral Prepayment Rates</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n/a</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Increase/(Decrease)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Lower/(Higher)</w:t>
            </w:r>
          </w:p>
        </w:tc>
        <w:tc>
          <w:tcPr>
            <w:tcW w:w="0" w:type="dxa"/>
            <w:vAlign w:val="bottom"/>
          </w:tcPr>
          <w:p>
            <w:pPr>
              <w:spacing w:after="0"/>
              <w:rPr>
                <w:sz w:val="1"/>
                <w:szCs w:val="1"/>
                <w:color w:val="auto"/>
              </w:rPr>
            </w:pPr>
          </w:p>
        </w:tc>
      </w:tr>
      <w:tr>
        <w:trPr>
          <w:trHeight w:val="224"/>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Loss Rates</w:t>
            </w:r>
          </w:p>
        </w:tc>
        <w:tc>
          <w:tcPr>
            <w:tcW w:w="18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n/a</w:t>
            </w: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Increase/(Decrease)</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Higher/(Lower)</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Under the guidance of ASC 815, entities may choose to offset cash collateral posted or received against the fair value of derivative positions executed with the same counterparties under the same master netting agreements. The Company has chosen not to offset positions as defined in ASC 815. As of December 31, 2025, the Company recorded $365 million of cash collateral posted and $260 million of cash collateral received on its balance sheet.</w:t>
      </w:r>
    </w:p>
    <w:p>
      <w:pPr>
        <w:spacing w:after="0" w:line="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 xml:space="preserve">In addition to the credit risk discussion as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a daily monitoring of counterparties' credit limits; (iii) the use of credit mitigation measures such as margin, collateral, prepayment arrangements, or volumetric limits; (iv) the use of payment netting agreements; and (v) the use of master netting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13" w:name="page114"/>
    <w:bookmarkEnd w:id="113"/>
    <w:p>
      <w:pPr>
        <w:jc w:val="both"/>
        <w:spacing w:after="0" w:line="252" w:lineRule="auto"/>
        <w:rPr>
          <w:sz w:val="20"/>
          <w:szCs w:val="20"/>
          <w:color w:val="auto"/>
        </w:rPr>
      </w:pPr>
      <w:r>
        <w:rPr>
          <w:rFonts w:ascii="Times New Roman" w:cs="Times New Roman" w:eastAsia="Times New Roman" w:hAnsi="Times New Roman"/>
          <w:sz w:val="18"/>
          <w:szCs w:val="18"/>
          <w:color w:val="auto"/>
        </w:rPr>
        <w:t>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 The Company also has credit protection within various agreements to call on additional collateral support if and when necessary. Cash margin is collected and held at the Company to cover the credit risk of the counterparty until positions settle.</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Counterparty Credit Risk</w:t>
      </w:r>
    </w:p>
    <w:p>
      <w:pPr>
        <w:spacing w:after="0" w:line="113"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As of December 31, 2025, counterparty credit exposure, excluding credit exposure from RTOs, ISOs, and registered commodity exchanges and certain long-term agreements, was $1.7 billion and NRG held collateral (cash and letters of credit) against those positions of $408 million, resulting in a net exposure of $1.3 billion. NRG periodically receives collateral from counterparties in excess of their exposure. Collateral amounts shown include such excess while net exposure shown excludes excess collateral received. Approximately 66% of the Company's exposure before collateral is expected to roll off by the end of 2027. Counterparty credit exposure is valued through observable market quotes and discounted at a risk free interest rate. The following tables highlight net counterparty credit exposure by industry sector and by counterparty credit quality. Net counterparty credit exposure is defined as the aggregate net asset position for NRG with counterparties where netting is permitted under the enabling agreement and includes all cash flow, mark-to-market and NPNS, and non-derivative transactions. The exposure is shown net of collateral held and includes amounts net of receivables or payables.</w:t>
      </w:r>
    </w:p>
    <w:p>
      <w:pPr>
        <w:ind w:left="9780"/>
        <w:spacing w:after="0" w:line="186" w:lineRule="auto"/>
        <w:rPr>
          <w:sz w:val="20"/>
          <w:szCs w:val="20"/>
          <w:color w:val="auto"/>
        </w:rPr>
      </w:pPr>
      <w:r>
        <w:rPr>
          <w:rFonts w:ascii="Times New Roman" w:cs="Times New Roman" w:eastAsia="Times New Roman" w:hAnsi="Times New Roman"/>
          <w:sz w:val="14"/>
          <w:szCs w:val="14"/>
          <w:b w:val="1"/>
          <w:bCs w:val="1"/>
          <w:color w:val="auto"/>
        </w:rPr>
        <w:t xml:space="preserve">Net Exposure </w:t>
      </w:r>
      <w:r>
        <w:rPr>
          <w:rFonts w:ascii="Times New Roman" w:cs="Times New Roman" w:eastAsia="Times New Roman" w:hAnsi="Times New Roman"/>
          <w:sz w:val="18"/>
          <w:szCs w:val="18"/>
          <w:b w:val="1"/>
          <w:bCs w:val="1"/>
          <w:color w:val="auto"/>
          <w:vertAlign w:val="superscript"/>
        </w:rPr>
        <w:t>(a) (b)</w:t>
      </w:r>
    </w:p>
    <w:p>
      <w:pPr>
        <w:ind w:left="20"/>
        <w:spacing w:after="0" w:line="238" w:lineRule="auto"/>
        <w:tabs>
          <w:tab w:leader="none" w:pos="9940" w:val="left"/>
        </w:tabs>
        <w:rPr>
          <w:sz w:val="20"/>
          <w:szCs w:val="20"/>
          <w:color w:val="auto"/>
        </w:rPr>
      </w:pPr>
      <w:r>
        <w:rPr>
          <w:rFonts w:ascii="Times New Roman" w:cs="Times New Roman" w:eastAsia="Times New Roman" w:hAnsi="Times New Roman"/>
          <w:sz w:val="16"/>
          <w:szCs w:val="16"/>
          <w:b w:val="1"/>
          <w:bCs w:val="1"/>
          <w:u w:val="single" w:color="auto"/>
          <w:color w:val="auto"/>
        </w:rPr>
        <w:t>Category</w:t>
      </w:r>
      <w:r>
        <w:rPr>
          <w:sz w:val="20"/>
          <w:szCs w:val="20"/>
          <w:color w:val="auto"/>
        </w:rPr>
        <w:tab/>
      </w:r>
      <w:r>
        <w:rPr>
          <w:rFonts w:ascii="Times New Roman" w:cs="Times New Roman" w:eastAsia="Times New Roman" w:hAnsi="Times New Roman"/>
          <w:sz w:val="14"/>
          <w:szCs w:val="14"/>
          <w:b w:val="1"/>
          <w:bCs w:val="1"/>
          <w:color w:val="auto"/>
        </w:rPr>
        <w:t>(% of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118985" cy="1504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18985" cy="15049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Utilities, energy merchants, marketers and other</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Financial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18985" cy="1670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18985" cy="167005"/>
                    </a:xfrm>
                    <a:prstGeom prst="rect">
                      <a:avLst/>
                    </a:prstGeom>
                    <a:noFill/>
                  </pic:spPr>
                </pic:pic>
              </a:graphicData>
            </a:graphic>
          </wp:anchor>
        </w:drawing>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ind w:left="320" w:hanging="234"/>
        <w:spacing w:after="0"/>
        <w:tabs>
          <w:tab w:leader="none" w:pos="32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44" w:lineRule="exact"/>
        <w:rPr>
          <w:rFonts w:ascii="Times New Roman" w:cs="Times New Roman" w:eastAsia="Times New Roman" w:hAnsi="Times New Roman"/>
          <w:sz w:val="16"/>
          <w:szCs w:val="16"/>
          <w:color w:val="auto"/>
        </w:rPr>
      </w:pPr>
    </w:p>
    <w:p>
      <w:pPr>
        <w:spacing w:after="0"/>
        <w:tabs>
          <w:tab w:leader="none" w:pos="0" w:val="left"/>
        </w:tabs>
        <w:numPr>
          <w:ilvl w:val="0"/>
          <w:numId w:val="73"/>
        </w:numPr>
        <w:rPr>
          <w:rFonts w:ascii="Times New Roman" w:cs="Times New Roman" w:eastAsia="Times New Roman" w:hAnsi="Times New Roman"/>
          <w:sz w:val="18"/>
          <w:szCs w:val="18"/>
          <w:color w:val="auto"/>
        </w:r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-833120</wp:posOffset>
            </wp:positionH>
            <wp:positionV relativeFrom="paragraph">
              <wp:posOffset>53340</wp:posOffset>
            </wp:positionV>
            <wp:extent cx="11366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10020" w:space="720"/>
            <w:col w:w="500"/>
          </w:cols>
          <w:pgMar w:left="320" w:top="87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4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180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 xml:space="preserve">Net Exposure </w:t>
            </w:r>
            <w:r>
              <w:rPr>
                <w:rFonts w:ascii="Times New Roman" w:cs="Times New Roman" w:eastAsia="Times New Roman" w:hAnsi="Times New Roman"/>
                <w:sz w:val="18"/>
                <w:szCs w:val="18"/>
                <w:b w:val="1"/>
                <w:bCs w:val="1"/>
                <w:color w:val="auto"/>
                <w:vertAlign w:val="superscript"/>
              </w:rPr>
              <w:t>(a) (b)</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400" w:type="dxa"/>
            <w:vAlign w:val="bottom"/>
            <w:gridSpan w:val="2"/>
            <w:vMerge w:val="continue"/>
          </w:tcPr>
          <w:p>
            <w:pPr>
              <w:spacing w:after="0"/>
              <w:rPr>
                <w:sz w:val="13"/>
                <w:szCs w:val="13"/>
                <w:color w:val="auto"/>
              </w:rPr>
            </w:pPr>
          </w:p>
        </w:tc>
        <w:tc>
          <w:tcPr>
            <w:tcW w:w="1800" w:type="dxa"/>
            <w:vAlign w:val="bottom"/>
          </w:tcPr>
          <w:p>
            <w:pPr>
              <w:jc w:val="right"/>
              <w:ind w:right="459"/>
              <w:spacing w:after="0" w:line="158"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87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grade</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tcPr>
          <w:p>
            <w:pPr>
              <w:spacing w:after="0"/>
              <w:rPr>
                <w:sz w:val="19"/>
                <w:szCs w:val="19"/>
                <w:color w:val="auto"/>
              </w:rPr>
            </w:pPr>
          </w:p>
        </w:tc>
        <w:tc>
          <w:tcPr>
            <w:tcW w:w="9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Non-Investment grade/Non-Rated</w:t>
            </w:r>
          </w:p>
        </w:tc>
        <w:tc>
          <w:tcPr>
            <w:tcW w:w="18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94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7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320" w:hanging="315"/>
        <w:spacing w:after="0"/>
        <w:tabs>
          <w:tab w:leader="none" w:pos="3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Counterparty credit exposure excludes coal transportation contracts because of the unavailability of market prices</w:t>
      </w:r>
    </w:p>
    <w:p>
      <w:pPr>
        <w:spacing w:after="0" w:line="21"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figures in the tables above exclude potential counterparty credit exposure related to RTOs, ISOs, registered commodity exchanges and certain long term contracts</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had no exposure to wholesale counterparties in excess of 10% of the total Net Exposure discussed above as of December 31, 2025.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hedge positions and market prices will affect credit exposure and counterparty concentration.</w:t>
      </w:r>
    </w:p>
    <w:p>
      <w:pPr>
        <w:spacing w:after="0" w:line="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RTOs and ISOs</w:t>
      </w:r>
    </w:p>
    <w:p>
      <w:pPr>
        <w:spacing w:after="0" w:line="11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Company participates in the organized markets of CAISO, ERCOT, AESO, IESO, ISO-NE, MISO, NYISO and PJM, known as RTOs or ISOs. Trading in the majority of these markets is approved by FERC, whereas in the case of ERCOT, it is approved by the PUCT, and whereas in the case of AESO and IESO, both exist provincially with AESO primarily subject to Alberta Utilities Commission and the IESO subject to the Ontario Energy Board. These ISOs may include credit policies that, under certain circumstances, require that losses arising from the default of one member on spot market transactions be shared by the remaining participants. As a result, the counterparty credit risk to these markets is limited to NRG’s share of the overall market and are excluded from the above exposures.</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Exchange Traded Transactions</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 enters into commodity transactions on registered exchanges, notably ICE, NYMEX and Nodal. These clearinghouses act as the counterparty and transactions are subject to extensive collateral and margining requirements. As a result, these commodity transactions have limited counterparty credit risk.</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Long-Term Contracts</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Counterparty credit exposure described above excludes credit risk exposure under certain long term contracts, primarily solar under Renewable PPAs. As external sources or observable market quotes are not always available to estimate such exposure, the Company values these contracts based on various techniques including, but not limited to, internal models based on a fundamental analysis of the market and extrapolation of observable market data with similar characteristics. Based on these valuation techniques, as of December 31, 2025, aggregate credit risk exposure managed by NRG to these counterparties was approximately $789 million for the next five years.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type w:val="continuous"/>
        </w:sectPr>
      </w:pPr>
    </w:p>
    <w:bookmarkStart w:id="114" w:name="page115"/>
    <w:bookmarkEnd w:id="114"/>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Retail Customer Credit Risk</w:t>
      </w:r>
    </w:p>
    <w:p>
      <w:pPr>
        <w:spacing w:after="0" w:line="1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is exposed to retail credit risk through the Company's retail electricity and gas providers, which serve Home and Business customers. Retail credit risk results in losses when a customer fails to pay for services rendered. The losses may result from both nonpayment of customer accounts receivable and the loss of in-the-money forward value. The Company manages retail credit risk through the use of established credit policies that include monitoring of the portfolio and the use of credit mitigation measures such as deposits or prepayment arrangements.</w:t>
      </w:r>
    </w:p>
    <w:p>
      <w:pPr>
        <w:spacing w:after="0" w:line="7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As of December 31, 2025, the Company's retail customer credit exposure to Home and Business customers was diversified across many customers and various industries, as well as government entities. Current economic conditions may affect the Company's customers' ability to pay bills in a timely manner, which could increase customer delinquencies and may lead to an increase in credit losses. The Company's provision for credit losses was $272 million, $314 million, and $251 million for the years ended December 31, 2025, 2024, and 2023,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 </w:t>
      </w:r>
      <w:r>
        <w:rPr>
          <w:rFonts w:ascii="Times New Roman" w:cs="Times New Roman" w:eastAsia="Times New Roman" w:hAnsi="Times New Roman"/>
          <w:sz w:val="18"/>
          <w:szCs w:val="18"/>
          <w:b w:val="1"/>
          <w:bCs w:val="1"/>
          <w:i w:val="1"/>
          <w:iCs w:val="1"/>
          <w:color w:val="auto"/>
        </w:rPr>
        <w:t>Accounting for Derivative Instruments and Hedging Activities</w:t>
      </w:r>
    </w:p>
    <w:p>
      <w:pPr>
        <w:spacing w:after="0" w:line="113"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ASC 815 requires the Company to recognize all derivative instruments on the balance sheet as either assets or liabilities and to measure them at fair value each reporting period unless they qualify for a NPNS exception. The Company may elect to designate certain derivatives as cash flow hedges, if certain conditions are met, and defer the change in fair value of the derivatives to accumulated OCI, until the hedged transactions occur and are recognized in earnings.</w:t>
      </w:r>
    </w:p>
    <w:p>
      <w:pPr>
        <w:spacing w:after="0" w:line="40"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For derivatives that are not designated as cash flow hedges or do not qualify for hedge accounting treatment, the changes in the fair value will be immediately recognized in earnings. Certain derivative instruments may qualify for the NPNS exception and are therefore exempt from fair value accounting treatment. ASC 815 applies to NRG's energy related commodity contracts, foreign exchange contracts, interest rate swaps and Consumer Financing Program.</w:t>
      </w:r>
    </w:p>
    <w:p>
      <w:pPr>
        <w:spacing w:after="0" w:line="4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As the Company engages principally in the trading and marketing of its generation assets and retail operations, some of NRG's commercial activities qualify for NPNS accounting. Most of the retail load contracts either qualify for the NPNS exception or fail to meet the criteria for a derivative and the majority of the retail supply and fuels supply contracts are recorded under mark-to-market accounting. All of NRG's hedging and trading activities are subject to limits within the Company's Risk Management Policy.</w:t>
      </w:r>
    </w:p>
    <w:p>
      <w:pPr>
        <w:spacing w:after="0" w:line="78"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On October 1, 2024, the Company elected NPNS for certain existing derivative contracts. Upon election of NPNS, the Company discontinued derivative accounting treatment and will no longer remeasure the derivative contracts at fair value each reporting period. The fair values of these derivative contracts were frozen as of October 1, 2024 and the Company is derecognizing the fair values to earnings at the same time as the contracts mature. The values of these contracts are included in Derivative instruments captions in the Consolidated Balance Sheets. Subsequent to the election date, costs associated with these contracts will be recorded when the underlying physical transaction is delivered. These derivative contracts extend through 2036.</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Energy-Related Commodities</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To manage the commodity price risk associated with the Company's competitive supply activities and the price risk associated with wholesale power sales from the Company's electric generation facilities and retail power and gas sales from NRG's retail operations, NRG enters into a variety of derivative and non-derivative hedging instruments, utilizing the following:</w:t>
      </w:r>
    </w:p>
    <w:p>
      <w:pPr>
        <w:spacing w:after="0" w:line="75" w:lineRule="exact"/>
        <w:rPr>
          <w:sz w:val="20"/>
          <w:szCs w:val="20"/>
          <w:color w:val="auto"/>
        </w:rPr>
      </w:pPr>
    </w:p>
    <w:p>
      <w:pPr>
        <w:ind w:left="640" w:hanging="319"/>
        <w:spacing w:after="0"/>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 contracts, which commit NRG to purchase or sell energy commodities or fuels in the future;</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Futures contracts, which are exchange-traded standardized commitments to purchase or sell a commodity or financial instrument;</w:t>
      </w:r>
    </w:p>
    <w:p>
      <w:pPr>
        <w:spacing w:after="0" w:line="56"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Swap agreements, which require payments to or from counterparties based upon the differential between two prices for a predetermined contractual, or notional, quantity;</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contracts, which convey to the option holder the right but not the obligation to purchase or sell a commodity; and</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derivative products used to mitigate a portion of lost revenue due to weather.</w:t>
      </w:r>
    </w:p>
    <w:p>
      <w:pPr>
        <w:spacing w:after="0" w:line="1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objectives for entering into derivative contracts designated as hedges include:</w:t>
      </w:r>
    </w:p>
    <w:p>
      <w:pPr>
        <w:spacing w:after="0" w:line="109" w:lineRule="exact"/>
        <w:rPr>
          <w:sz w:val="20"/>
          <w:szCs w:val="20"/>
          <w:color w:val="auto"/>
        </w:rPr>
      </w:pPr>
    </w:p>
    <w:p>
      <w:pPr>
        <w:ind w:left="640" w:hanging="319"/>
        <w:spacing w:after="0"/>
        <w:tabs>
          <w:tab w:leader="none" w:pos="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Fixing the price of a portion of anticipated power and gas purchases for the Company's retail sales;</w:t>
      </w:r>
    </w:p>
    <w:p>
      <w:pPr>
        <w:spacing w:after="0" w:line="56"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Fixing the price for a portion of anticipated future electricity sales that provides an acceptable return on the Company's electric generation operations; and</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Fixing the price of a portion of anticipated fuel purchases for the operation of the Company's power plants.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15" w:name="page116"/>
    <w:bookmarkEnd w:id="115"/>
    <w:p>
      <w:pPr>
        <w:ind w:firstLine="395"/>
        <w:spacing w:after="0" w:line="268" w:lineRule="auto"/>
        <w:rPr>
          <w:sz w:val="20"/>
          <w:szCs w:val="20"/>
          <w:color w:val="auto"/>
        </w:rPr>
      </w:pPr>
      <w:r>
        <w:rPr>
          <w:rFonts w:ascii="Times New Roman" w:cs="Times New Roman" w:eastAsia="Times New Roman" w:hAnsi="Times New Roman"/>
          <w:sz w:val="18"/>
          <w:szCs w:val="18"/>
          <w:color w:val="auto"/>
        </w:rPr>
        <w:t>These contracts are recognized on the balance sheet at fair value and changes in the fair value of these derivative financial instruments are recognized in earnings.</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2025, NRG's derivative assets and liabilities consisted primarily of the following:</w:t>
      </w:r>
    </w:p>
    <w:p>
      <w:pPr>
        <w:spacing w:after="0" w:line="109" w:lineRule="exact"/>
        <w:rPr>
          <w:sz w:val="20"/>
          <w:szCs w:val="20"/>
          <w:color w:val="auto"/>
        </w:rPr>
      </w:pPr>
    </w:p>
    <w:p>
      <w:pPr>
        <w:ind w:left="640" w:right="340" w:hanging="319"/>
        <w:spacing w:after="0" w:line="268" w:lineRule="auto"/>
        <w:tabs>
          <w:tab w:leader="none" w:pos="63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 and financial contracts for the purchase/sale of electricity and related products economically hedging NRG's generation assets' forecasted output or NRG's retail load obligations through 2036;</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 and financial contracts for the purchase of fuel commodities relating to the forecasted usage of NRG's generation assets through 2027;</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energy derivatives instruments extending through 2029.</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Also, as of December 31, 2025, NRG had other energy-related contracts that did not meet the definition of a derivative instrument or qualified for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NPNS exception and were therefore exempt from fair value accounting treatment as follows:</w:t>
      </w:r>
    </w:p>
    <w:p>
      <w:pPr>
        <w:spacing w:after="0" w:line="91" w:lineRule="exact"/>
        <w:rPr>
          <w:sz w:val="20"/>
          <w:szCs w:val="20"/>
          <w:color w:val="auto"/>
        </w:rPr>
      </w:pPr>
    </w:p>
    <w:p>
      <w:pPr>
        <w:ind w:left="640" w:hanging="319"/>
        <w:spacing w:after="0"/>
        <w:tabs>
          <w:tab w:leader="none" w:pos="6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Load-following forward electric sale contracts extending through 2037;</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Load-following forward natural gas purchase and sale contracts extending through 2035;</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tolling contracts through 2036;</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Coal purchase contracts through 2027;</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transmission contracts through 2030;</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transportation contracts through 2050;</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storage agreements through 2035; and</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Coal transportation contracts through 2034.</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Contracts</w:t>
      </w:r>
    </w:p>
    <w:p>
      <w:pPr>
        <w:spacing w:after="0" w:line="11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order to mitigate foreign exchange risk primarily associated with the purchase of USD denominated natural gas for the Company's Canadian business, NRG enters into foreign exchange contract agreements through 2029.</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1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NRG is exposed to changes in interest rate through the Company's issuance of variable rate debt. To mitigate the Company's interest rate risk, NRG enters into interest rate derivatives, including swap agreements. As of December 31, 2025, the Company had $700 million of interest rate swaps extending through 2029 to mitigate the risk of the floating rate of the Term Loan B. In July 2025, the Company had entered into treasury locks with a total notional amount of $1.4 billion which were fully terminated in September 2025.</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Consumer Financing Program</w:t>
      </w:r>
    </w:p>
    <w:p>
      <w:pPr>
        <w:spacing w:after="0" w:line="11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Under the Consumer Financing Program, Vivint Smart Home pays a fee to Financing Providers; either at the time of origination or monthly while the loan is outstanding. For those paid monthly, it is based on either the average daily outstanding balance of the loans or the number of outstanding loans. For certain loans, Vivint Smart Home incurs fees at the time of the loan origination and receives proceeds that are net of these fees. Vivint Smart Home also shares the liability for credit losses on some of the loans. Due to the nature of certain provisions under the Consumer Financing Program, the Company records a derivative liability that is not designated as a hedging instrument and is adjusted to fair value, measured using the present value of the estimated future payments. Changes to the fair value are recorded through other income, net in the consolidated statement of operations. The following represent the contractual future payment obligations with the Financing Providers under the Consumer Financing Program that are components of the derivative:</w:t>
      </w:r>
    </w:p>
    <w:p>
      <w:pPr>
        <w:spacing w:after="0" w:line="82" w:lineRule="exact"/>
        <w:rPr>
          <w:sz w:val="20"/>
          <w:szCs w:val="20"/>
          <w:color w:val="auto"/>
        </w:rPr>
      </w:pPr>
    </w:p>
    <w:p>
      <w:pPr>
        <w:ind w:left="640" w:hanging="240"/>
        <w:spacing w:after="0" w:line="268" w:lineRule="auto"/>
        <w:tabs>
          <w:tab w:leader="none" w:pos="72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Vivint Smart Home pays either a monthly fee based on the average daily outstanding balance of the loans, or the number of outstanding loans, depending on the Financing Provider;</w:t>
      </w:r>
    </w:p>
    <w:p>
      <w:pPr>
        <w:spacing w:after="0" w:line="11"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Vivint Smart Home shares the liability for credit losses depending on the credit quality of the customer; and</w:t>
      </w:r>
    </w:p>
    <w:p>
      <w:pPr>
        <w:spacing w:after="0" w:line="56"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Vivint Smart Home pays transactional fees associated with customer payment processing.</w:t>
      </w:r>
    </w:p>
    <w:p>
      <w:pPr>
        <w:spacing w:after="0" w:line="10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derivative is classified as a Level 3 instrument. The derivative positions are valued using a discounted cash flow model, with inputs consisting of available market data, such as market yield discount rates, as well as unobservable internally derived assumptions, such as collateral prepayment rates, collateral default rates and credit loss rates. In summary, the fair value represents an estimate of the present value of the cash flows Vivint Smart Home will be obligated to pay to the Financing Provider for each component of the derivative.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16" w:name="page117"/>
    <w:bookmarkEnd w:id="116"/>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Volumetric Underlying Derivative Transactions</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following table summarizes the net notional volume buy/(sell) of NRG's open derivative transactions broken out by commodity, excluding those derivatives that qualified for the NPNS exception as of December 31, 2025 and 2024. Option contracts are reflected using delta volume. Delta volume equals the notional volume of an option adjusted for the probability that the option will be in-the-money at its expiration date.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620" w:type="dxa"/>
            <w:vAlign w:val="bottom"/>
            <w:tcBorders>
              <w:bottom w:val="single" w:sz="8" w:color="auto"/>
            </w:tcBorders>
            <w:gridSpan w:val="3"/>
          </w:tcPr>
          <w:p>
            <w:pPr>
              <w:jc w:val="right"/>
              <w:ind w:right="853"/>
              <w:spacing w:after="0"/>
              <w:rPr>
                <w:sz w:val="20"/>
                <w:szCs w:val="20"/>
                <w:color w:val="auto"/>
              </w:rPr>
            </w:pPr>
            <w:r>
              <w:rPr>
                <w:rFonts w:ascii="Times New Roman" w:cs="Times New Roman" w:eastAsia="Times New Roman" w:hAnsi="Times New Roman"/>
                <w:sz w:val="16"/>
                <w:szCs w:val="16"/>
                <w:b w:val="1"/>
                <w:bCs w:val="1"/>
                <w:color w:val="auto"/>
              </w:rPr>
              <w:t>Total Volume (In millions)</w:t>
            </w:r>
          </w:p>
        </w:tc>
      </w:tr>
      <w:tr>
        <w:trPr>
          <w:trHeight w:val="169"/>
        </w:trPr>
        <w:tc>
          <w:tcPr>
            <w:tcW w:w="20" w:type="dxa"/>
            <w:vAlign w:val="bottom"/>
          </w:tcPr>
          <w:p>
            <w:pPr>
              <w:spacing w:after="0"/>
              <w:rPr>
                <w:sz w:val="14"/>
                <w:szCs w:val="14"/>
                <w:color w:val="auto"/>
              </w:rPr>
            </w:pPr>
          </w:p>
        </w:tc>
        <w:tc>
          <w:tcPr>
            <w:tcW w:w="286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Category</w:t>
            </w:r>
          </w:p>
        </w:tc>
        <w:tc>
          <w:tcPr>
            <w:tcW w:w="4740" w:type="dxa"/>
            <w:vAlign w:val="bottom"/>
            <w:gridSpan w:val="3"/>
          </w:tcPr>
          <w:p>
            <w:pPr>
              <w:ind w:left="620"/>
              <w:spacing w:after="0" w:line="169" w:lineRule="exact"/>
              <w:rPr>
                <w:sz w:val="20"/>
                <w:szCs w:val="20"/>
                <w:color w:val="auto"/>
              </w:rPr>
            </w:pPr>
            <w:r>
              <w:rPr>
                <w:rFonts w:ascii="Times New Roman" w:cs="Times New Roman" w:eastAsia="Times New Roman" w:hAnsi="Times New Roman"/>
                <w:sz w:val="16"/>
                <w:szCs w:val="16"/>
                <w:b w:val="1"/>
                <w:bCs w:val="1"/>
                <w:color w:val="auto"/>
              </w:rPr>
              <w:t>Units</w:t>
            </w:r>
          </w:p>
        </w:tc>
        <w:tc>
          <w:tcPr>
            <w:tcW w:w="1860" w:type="dxa"/>
            <w:vAlign w:val="bottom"/>
            <w:gridSpan w:val="2"/>
          </w:tcPr>
          <w:p>
            <w:pPr>
              <w:ind w:left="240"/>
              <w:spacing w:after="0" w:line="169" w:lineRule="exact"/>
              <w:rPr>
                <w:sz w:val="20"/>
                <w:szCs w:val="20"/>
                <w:color w:val="auto"/>
              </w:rPr>
            </w:pPr>
            <w:r>
              <w:rPr>
                <w:rFonts w:ascii="Times New Roman" w:cs="Times New Roman" w:eastAsia="Times New Roman" w:hAnsi="Times New Roman"/>
                <w:sz w:val="16"/>
                <w:szCs w:val="16"/>
                <w:b w:val="1"/>
                <w:bCs w:val="1"/>
                <w:color w:val="auto"/>
              </w:rPr>
              <w:t>December 31, 2025</w:t>
            </w:r>
          </w:p>
        </w:tc>
        <w:tc>
          <w:tcPr>
            <w:tcW w:w="1760" w:type="dxa"/>
            <w:vAlign w:val="bottom"/>
          </w:tcPr>
          <w:p>
            <w:pPr>
              <w:jc w:val="right"/>
              <w:ind w:right="153"/>
              <w:spacing w:after="0" w:line="169" w:lineRule="exact"/>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Emissions</w:t>
            </w:r>
          </w:p>
        </w:tc>
        <w:tc>
          <w:tcPr>
            <w:tcW w:w="474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Short Ton</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4"/>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Renewables Energy Certificates</w:t>
            </w:r>
          </w:p>
        </w:tc>
        <w:tc>
          <w:tcPr>
            <w:tcW w:w="47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Certificates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4"/>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Coal</w:t>
            </w:r>
          </w:p>
        </w:tc>
        <w:tc>
          <w:tcPr>
            <w:tcW w:w="474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Short Ton</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4"/>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Natural Gas</w:t>
            </w:r>
          </w:p>
        </w:tc>
        <w:tc>
          <w:tcPr>
            <w:tcW w:w="47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MMBtu</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r>
      <w:tr>
        <w:trPr>
          <w:trHeight w:val="224"/>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w:t>
            </w:r>
          </w:p>
        </w:tc>
        <w:tc>
          <w:tcPr>
            <w:tcW w:w="474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MWh</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4"/>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w:t>
            </w:r>
          </w:p>
        </w:tc>
        <w:tc>
          <w:tcPr>
            <w:tcW w:w="47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Dollars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4"/>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474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Dollars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28"/>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Financing Program</w:t>
            </w:r>
          </w:p>
        </w:tc>
        <w:tc>
          <w:tcPr>
            <w:tcW w:w="47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Dollars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fair value within the derivative instrument valuation on the balance sheet:</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gridSpan w:val="4"/>
          </w:tcPr>
          <w:p>
            <w:pPr>
              <w:ind w:left="1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4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c>
          <w:tcPr>
            <w:tcW w:w="2980" w:type="dxa"/>
            <w:vAlign w:val="bottom"/>
            <w:tcBorders>
              <w:bottom w:val="single" w:sz="8" w:color="auto"/>
            </w:tcBorders>
            <w:gridSpan w:val="3"/>
          </w:tcPr>
          <w:p>
            <w:pPr>
              <w:spacing w:after="0"/>
              <w:rPr>
                <w:sz w:val="2"/>
                <w:szCs w:val="2"/>
                <w:color w:val="auto"/>
              </w:rPr>
            </w:pPr>
          </w:p>
        </w:tc>
      </w:tr>
      <w:tr>
        <w:trPr>
          <w:trHeight w:val="184"/>
        </w:trPr>
        <w:tc>
          <w:tcPr>
            <w:tcW w:w="5160" w:type="dxa"/>
            <w:vAlign w:val="bottom"/>
          </w:tcPr>
          <w:p>
            <w:pPr>
              <w:spacing w:after="0"/>
              <w:rPr>
                <w:sz w:val="15"/>
                <w:szCs w:val="15"/>
                <w:color w:val="auto"/>
              </w:rPr>
            </w:pPr>
          </w:p>
        </w:tc>
        <w:tc>
          <w:tcPr>
            <w:tcW w:w="306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298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r>
      <w:tr>
        <w:trPr>
          <w:trHeight w:val="191"/>
        </w:trPr>
        <w:tc>
          <w:tcPr>
            <w:tcW w:w="5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14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18985" cy="3257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18985" cy="325755"/>
                    </a:xfrm>
                    <a:prstGeom prst="rect">
                      <a:avLst/>
                    </a:prstGeom>
                    <a:noFill/>
                  </pic:spPr>
                </pic:pic>
              </a:graphicData>
            </a:graphic>
          </wp:anchor>
        </w:drawing>
      </w:r>
    </w:p>
    <w:p>
      <w:pPr>
        <w:spacing w:after="0" w:line="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Cash Flow or Fair Value Hedges</w:t>
      </w:r>
      <w:r>
        <w:rPr>
          <w:rFonts w:ascii="Times New Roman" w:cs="Times New Roman" w:eastAsia="Times New Roman" w:hAnsi="Times New Roman"/>
          <w:sz w:val="18"/>
          <w:szCs w:val="18"/>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contracts - current</w:t>
            </w: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5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4"/>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contracts - long-term</w:t>
            </w:r>
          </w:p>
        </w:tc>
        <w:tc>
          <w:tcPr>
            <w:tcW w:w="5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contracts - current</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contracts - long-term</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4"/>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 - current</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w:t>
            </w:r>
          </w:p>
        </w:tc>
      </w:tr>
      <w:tr>
        <w:trPr>
          <w:trHeight w:val="224"/>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contracts - long-term</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24"/>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Financing Program - current</w:t>
            </w:r>
          </w:p>
        </w:tc>
        <w:tc>
          <w:tcPr>
            <w:tcW w:w="5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4"/>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Financing Program - long-term</w:t>
            </w:r>
          </w:p>
        </w:tc>
        <w:tc>
          <w:tcPr>
            <w:tcW w:w="5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Cash Flow or Fair Value Hedges</w:t>
            </w:r>
          </w:p>
        </w:tc>
        <w:tc>
          <w:tcPr>
            <w:tcW w:w="52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00" w:type="dxa"/>
            <w:vAlign w:val="bottom"/>
          </w:tcPr>
          <w:p>
            <w:pPr>
              <w:spacing w:after="0"/>
              <w:rPr>
                <w:sz w:val="18"/>
                <w:szCs w:val="18"/>
                <w:color w:val="auto"/>
              </w:rPr>
            </w:pPr>
          </w:p>
        </w:tc>
        <w:tc>
          <w:tcPr>
            <w:tcW w:w="54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00" w:type="dxa"/>
            <w:vAlign w:val="bottom"/>
          </w:tcPr>
          <w:p>
            <w:pPr>
              <w:spacing w:after="0"/>
              <w:rPr>
                <w:sz w:val="18"/>
                <w:szCs w:val="18"/>
                <w:color w:val="auto"/>
              </w:rPr>
            </w:pPr>
          </w:p>
        </w:tc>
        <w:tc>
          <w:tcPr>
            <w:tcW w:w="54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100" w:type="dxa"/>
            <w:vAlign w:val="bottom"/>
          </w:tcPr>
          <w:p>
            <w:pPr>
              <w:spacing w:after="0"/>
              <w:rPr>
                <w:sz w:val="18"/>
                <w:szCs w:val="18"/>
                <w:color w:val="auto"/>
              </w:rPr>
            </w:pPr>
          </w:p>
        </w:tc>
        <w:tc>
          <w:tcPr>
            <w:tcW w:w="54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3,177</w:t>
            </w:r>
          </w:p>
        </w:tc>
      </w:tr>
      <w:tr>
        <w:trPr>
          <w:trHeight w:val="224"/>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gains/losses on NPNS contracts - current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4"/>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Deferred gains/losses on NPNS contracts - long-term</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7"/>
        </w:trPr>
        <w:tc>
          <w:tcPr>
            <w:tcW w:w="5180" w:type="dxa"/>
            <w:vAlign w:val="bottom"/>
            <w:shd w:val="clear" w:color="auto" w:fill="CCEEFF"/>
          </w:tcPr>
          <w:p>
            <w:pPr>
              <w:ind w:left="20"/>
              <w:spacing w:after="0" w:line="217" w:lineRule="exact"/>
              <w:rPr>
                <w:sz w:val="20"/>
                <w:szCs w:val="20"/>
                <w:color w:val="auto"/>
              </w:rPr>
            </w:pPr>
            <w:r>
              <w:rPr>
                <w:rFonts w:ascii="Times New Roman" w:cs="Times New Roman" w:eastAsia="Times New Roman" w:hAnsi="Times New Roman"/>
                <w:sz w:val="18"/>
                <w:szCs w:val="18"/>
                <w:b w:val="1"/>
                <w:bCs w:val="1"/>
                <w:color w:val="auto"/>
              </w:rPr>
              <w:t>Deferred gains/losses on NPNS contracts</w:t>
            </w:r>
            <w:r>
              <w:rPr>
                <w:rFonts w:ascii="Times New Roman" w:cs="Times New Roman" w:eastAsia="Times New Roman" w:hAnsi="Times New Roman"/>
                <w:sz w:val="22"/>
                <w:szCs w:val="22"/>
                <w:b w:val="1"/>
                <w:bCs w:val="1"/>
                <w:color w:val="auto"/>
                <w:vertAlign w:val="superscript"/>
              </w:rPr>
              <w:t>(a)</w:t>
            </w: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1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Total Derivatives Not Designated as Cash Flow or Fair Value Hedges</w:t>
            </w:r>
          </w:p>
        </w:tc>
        <w:tc>
          <w:tcPr>
            <w:tcW w:w="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3,404</w:t>
            </w:r>
          </w:p>
        </w:tc>
      </w:tr>
      <w:tr>
        <w:trPr>
          <w:trHeight w:val="20"/>
        </w:trPr>
        <w:tc>
          <w:tcPr>
            <w:tcW w:w="5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0" w:lineRule="exact"/>
        <w:rPr>
          <w:sz w:val="20"/>
          <w:szCs w:val="20"/>
          <w:color w:val="auto"/>
        </w:rPr>
      </w:pPr>
    </w:p>
    <w:p>
      <w:pPr>
        <w:ind w:left="400" w:hanging="395"/>
        <w:spacing w:after="0" w:line="287" w:lineRule="auto"/>
        <w:tabs>
          <w:tab w:leader="none" w:pos="398"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related to certain derivative contracts that were previously accounted for as derivative contracts following the election of the NPNS exemption and the discontinuance of derivative accounting treatment as of the election date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17" w:name="page118"/>
    <w:bookmarkEnd w:id="117"/>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 has elected to present derivative assets and liabilities on the balance sheet on a trade-by-trade basis and does not offset amounts at the counterparty master agreement level. In addition, collateral received or paid on the Company's derivative assets or liabilities are recorded on a separate line item on the balance sheet. The following table summarizes the offsetting derivatives by counterparty master agreement level and collateral received or paid: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960" w:type="dxa"/>
            <w:vAlign w:val="bottom"/>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Gross Amounts Not Offset in the Statement of Financial Position</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4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w w:val="99"/>
              </w:rPr>
              <w:t>Gross Amounts of Recognized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196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Cash Collateral (Held)/Posted</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354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Assets/Liabilities</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vMerge w:val="continue"/>
          </w:tcPr>
          <w:p>
            <w:pPr>
              <w:spacing w:after="0"/>
              <w:rPr>
                <w:sz w:val="16"/>
                <w:szCs w:val="16"/>
                <w:color w:val="auto"/>
              </w:rPr>
            </w:pPr>
          </w:p>
        </w:tc>
        <w:tc>
          <w:tcPr>
            <w:tcW w:w="1960" w:type="dxa"/>
            <w:vAlign w:val="bottom"/>
            <w:tcBorders>
              <w:bottom w:val="single" w:sz="8" w:color="auto"/>
            </w:tcBorders>
            <w:gridSpan w:val="5"/>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shd w:val="clear" w:color="auto" w:fill="CCEEFF"/>
          </w:tcPr>
          <w:p>
            <w:pPr>
              <w:spacing w:after="0"/>
              <w:rPr>
                <w:sz w:val="19"/>
                <w:szCs w:val="19"/>
                <w:color w:val="auto"/>
              </w:rPr>
            </w:pPr>
          </w:p>
        </w:tc>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liabilities</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Foreign exchange contracts: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shd w:val="clear" w:color="auto" w:fill="CCEEFF"/>
          </w:tcPr>
          <w:p>
            <w:pPr>
              <w:spacing w:after="0"/>
              <w:rPr>
                <w:sz w:val="19"/>
                <w:szCs w:val="19"/>
                <w:color w:val="auto"/>
              </w:rPr>
            </w:pPr>
          </w:p>
        </w:tc>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assets</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liabilities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5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foreign exchange contracts</w:t>
            </w:r>
          </w:p>
        </w:tc>
        <w:tc>
          <w:tcPr>
            <w:tcW w:w="28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54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Commodity contracts:</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shd w:val="clear" w:color="auto" w:fill="CCEEFF"/>
          </w:tcPr>
          <w:p>
            <w:pPr>
              <w:spacing w:after="0"/>
              <w:rPr>
                <w:sz w:val="19"/>
                <w:szCs w:val="19"/>
                <w:color w:val="auto"/>
              </w:rPr>
            </w:pPr>
          </w:p>
        </w:tc>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assets</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CCEEFF"/>
            </w:tcBorders>
          </w:tcPr>
          <w:p>
            <w:pPr>
              <w:spacing w:after="0"/>
              <w:rPr>
                <w:sz w:val="19"/>
                <w:szCs w:val="19"/>
                <w:color w:val="auto"/>
              </w:rPr>
            </w:pPr>
          </w:p>
        </w:tc>
        <w:tc>
          <w:tcPr>
            <w:tcW w:w="3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Derivative liabilities</w:t>
            </w: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commodity contracts</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Consumer Financing Program:</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shd w:val="clear" w:color="auto" w:fill="CCEEFF"/>
          </w:tcPr>
          <w:p>
            <w:pPr>
              <w:spacing w:after="0"/>
              <w:rPr>
                <w:sz w:val="19"/>
                <w:szCs w:val="19"/>
                <w:color w:val="auto"/>
              </w:rPr>
            </w:pPr>
          </w:p>
        </w:tc>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liabilities</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28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gridSpan w:val="2"/>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60" w:type="dxa"/>
            <w:vAlign w:val="bottom"/>
            <w:gridSpan w:val="11"/>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Amounts Not Offset in the Statement of Financial Position</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3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10"/>
                <w:szCs w:val="10"/>
                <w:color w:val="auto"/>
              </w:rPr>
            </w:pPr>
          </w:p>
        </w:tc>
        <w:tc>
          <w:tcPr>
            <w:tcW w:w="180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8"/>
              </w:rPr>
              <w:t>Gross Amounts of Recognized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40" w:type="dxa"/>
            <w:vAlign w:val="bottom"/>
          </w:tcPr>
          <w:p>
            <w:pPr>
              <w:spacing w:after="0"/>
              <w:rPr>
                <w:sz w:val="10"/>
                <w:szCs w:val="10"/>
                <w:color w:val="auto"/>
              </w:rPr>
            </w:pPr>
          </w:p>
        </w:tc>
        <w:tc>
          <w:tcPr>
            <w:tcW w:w="1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Collateral (Held)/Posted</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0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50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Assets/Liabilities</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Derivative assets</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Derivative liabilities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interest rate contracts</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500" w:type="dxa"/>
            <w:vAlign w:val="bottom"/>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Foreign exchange contracts:</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Derivative assets</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Derivative liabilities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foreign exchange contracts</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500" w:type="dxa"/>
            <w:vAlign w:val="bottom"/>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Commodity contracts:</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Derivative assets</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5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Derivative liabilities</w:t>
            </w: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commodity contracts</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Consumer Financing Program:</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Derivative liabilities</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18" w:name="page119"/>
    <w:bookmarkEnd w:id="118"/>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Impact of Derivative Instruments on the Statement of Operations</w:t>
      </w:r>
    </w:p>
    <w:p>
      <w:pPr>
        <w:spacing w:after="0" w:line="11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Unrealized gains and losses associated with changes in the fair value of derivative instruments that are not accounted for as cash flow hedges are reflected in current period results of operations.</w:t>
      </w:r>
    </w:p>
    <w:p>
      <w:pPr>
        <w:spacing w:after="0" w:line="6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following tables summarize the pre-tax effects of economic hedges that have not been designated as cash flow hedges or fair value hedges and trading activity on the Company's statement of operations. The effect of foreign exchange and commodity hedges is included within revenues and cost of operations. The effect of the interest rate contracts is included within interest expense. The effect of the Consumer Financing Program is included in other income, net.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20" w:type="dxa"/>
            <w:vAlign w:val="bottom"/>
            <w:tcBorders>
              <w:bottom w:val="single" w:sz="8" w:color="auto"/>
            </w:tcBorders>
          </w:tcPr>
          <w:p>
            <w:pPr>
              <w:spacing w:after="0"/>
              <w:rPr>
                <w:sz w:val="18"/>
                <w:szCs w:val="18"/>
                <w:color w:val="auto"/>
              </w:rPr>
            </w:pPr>
          </w:p>
        </w:tc>
      </w:tr>
      <w:tr>
        <w:trPr>
          <w:trHeight w:val="205"/>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mark-to-market results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71"/>
        </w:trPr>
        <w:tc>
          <w:tcPr>
            <w:tcW w:w="6720" w:type="dxa"/>
            <w:vAlign w:val="bottom"/>
          </w:tcPr>
          <w:p>
            <w:pPr>
              <w:ind w:left="140"/>
              <w:spacing w:after="0" w:line="171" w:lineRule="exact"/>
              <w:rPr>
                <w:sz w:val="20"/>
                <w:szCs w:val="20"/>
                <w:color w:val="auto"/>
              </w:rPr>
            </w:pPr>
            <w:r>
              <w:rPr>
                <w:rFonts w:ascii="Times New Roman" w:cs="Times New Roman" w:eastAsia="Times New Roman" w:hAnsi="Times New Roman"/>
                <w:sz w:val="18"/>
                <w:szCs w:val="18"/>
                <w:color w:val="auto"/>
              </w:rPr>
              <w:t>Reversal of previously recognized unrealized (gains)/losses on settled positions related to</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7"/>
        </w:trPr>
        <w:tc>
          <w:tcPr>
            <w:tcW w:w="6720" w:type="dxa"/>
            <w:vAlign w:val="bottom"/>
          </w:tcPr>
          <w:p>
            <w:pPr>
              <w:ind w:left="300"/>
              <w:spacing w:after="0" w:line="237" w:lineRule="exact"/>
              <w:rPr>
                <w:sz w:val="20"/>
                <w:szCs w:val="20"/>
                <w:color w:val="auto"/>
              </w:rPr>
            </w:pPr>
            <w:r>
              <w:rPr>
                <w:rFonts w:ascii="Times New Roman" w:cs="Times New Roman" w:eastAsia="Times New Roman" w:hAnsi="Times New Roman"/>
                <w:sz w:val="18"/>
                <w:szCs w:val="18"/>
                <w:color w:val="auto"/>
              </w:rPr>
              <w:t>economic hedges</w:t>
            </w:r>
            <w:r>
              <w:rPr>
                <w:rFonts w:ascii="Times New Roman" w:cs="Times New Roman" w:eastAsia="Times New Roman" w:hAnsi="Times New Roman"/>
                <w:sz w:val="22"/>
                <w:szCs w:val="22"/>
                <w:color w:val="auto"/>
                <w:vertAlign w:val="superscript"/>
              </w:rPr>
              <w:t>(a)</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0"/>
                <w:szCs w:val="20"/>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0"/>
                <w:szCs w:val="20"/>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r>
      <w:tr>
        <w:trPr>
          <w:trHeight w:val="224"/>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Reversal of acquired loss positions related to economic hedges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4"/>
        </w:trPr>
        <w:tc>
          <w:tcPr>
            <w:tcW w:w="6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unrealized gains/(losses) on open positions related to economic hedges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w:t>
            </w:r>
          </w:p>
        </w:tc>
      </w:tr>
      <w:tr>
        <w:trPr>
          <w:trHeight w:val="217"/>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unrealized mark-to-market (losses)/gains for economic hedging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r>
      <w:tr>
        <w:trPr>
          <w:trHeight w:val="151"/>
        </w:trPr>
        <w:tc>
          <w:tcPr>
            <w:tcW w:w="6720" w:type="dxa"/>
            <w:vAlign w:val="bottom"/>
          </w:tcPr>
          <w:p>
            <w:pPr>
              <w:ind w:left="140"/>
              <w:spacing w:after="0" w:line="152" w:lineRule="exact"/>
              <w:rPr>
                <w:sz w:val="20"/>
                <w:szCs w:val="20"/>
                <w:color w:val="auto"/>
              </w:rPr>
            </w:pPr>
            <w:r>
              <w:rPr>
                <w:rFonts w:ascii="Times New Roman" w:cs="Times New Roman" w:eastAsia="Times New Roman" w:hAnsi="Times New Roman"/>
                <w:sz w:val="16"/>
                <w:szCs w:val="16"/>
                <w:color w:val="auto"/>
              </w:rPr>
              <w:t>Reversal of previously recognized unrealized losses/(gains) on settled positions related to</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37"/>
        </w:trPr>
        <w:tc>
          <w:tcPr>
            <w:tcW w:w="6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trading activity</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4"/>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unrealized gains on open positions related to trading activity</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7"/>
        </w:trPr>
        <w:tc>
          <w:tcPr>
            <w:tcW w:w="6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unrealized mark-to-market gains for trading activity</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2"/>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unrealized (losses)/gains - commodities and foreign exchange</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firstLine="5"/>
        <w:spacing w:after="0" w:line="268" w:lineRule="auto"/>
        <w:tabs>
          <w:tab w:leader="none" w:pos="197"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2025 and 2024, includes $(286) million and $37 million, respectively, related to derivative contracts that were elected as NPNS on October 1, 2024 and are no longer valued at fair value on a recurring basis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20" w:type="dxa"/>
            <w:vAlign w:val="bottom"/>
            <w:tcBorders>
              <w:bottom w:val="single" w:sz="8" w:color="auto"/>
            </w:tcBorders>
          </w:tcPr>
          <w:p>
            <w:pPr>
              <w:spacing w:after="0"/>
              <w:rPr>
                <w:sz w:val="18"/>
                <w:szCs w:val="18"/>
                <w:color w:val="auto"/>
              </w:rPr>
            </w:pPr>
          </w:p>
        </w:tc>
      </w:tr>
      <w:tr>
        <w:trPr>
          <w:trHeight w:val="205"/>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impact to statement of operations - interest rate contracts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gains/(losses) included in revenues - commodities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(losses)/gains included in cost of operations - commodities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w:t>
            </w:r>
          </w:p>
        </w:tc>
      </w:tr>
      <w:tr>
        <w:trPr>
          <w:trHeight w:val="22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(losses)/gains included in cost of operations - foreign exchange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impact to statement of operations - commodities and foreign exchange</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impact to statement of operations - Consumer Financing Program</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39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reversals of acquired loss/(gain) positions were valued based upon the forward prices on the acquisition date. The roll-off amounts were offset by realized gains or losses at the settled prices and are reflected in revenue or cost of operations during the same period.</w:t>
      </w:r>
    </w:p>
    <w:p>
      <w:pPr>
        <w:spacing w:after="0" w:line="6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gains from open economic hedge positions of $39 million for the year ended December 31, 2025 was primarily the result of an increase in the value of forward positions as a result of increases in Northeast and ERCOT power prices.</w:t>
      </w:r>
    </w:p>
    <w:p>
      <w:pPr>
        <w:spacing w:after="0" w:line="6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gains from open economic hedge positions of $95 million for the year ended December 31, 2024 was primarily the result of an increase in the value of forward positions as a result of increases in natural gas and power prices in the East.</w:t>
      </w:r>
    </w:p>
    <w:p>
      <w:pPr>
        <w:spacing w:after="0" w:line="6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loss from open economic hedge positions of $1.1 billion for the year ended December 31, 2023 was primarily the result of a decrease in the value of forward positions as a result of decreases in natural gas and power prices in the East and West.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 Related Contingent Features</w:t>
      </w:r>
    </w:p>
    <w:p>
      <w:pPr>
        <w:spacing w:after="0" w:line="111"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Certain of the Company's hedging and trading agreements contain provisions that entitle the counterparty to demand that the Company post additional collateral if the counterparty determines that there has been deterioration in the Company's credit quality, generally termed “adequate assurance” under the agreements, or require the Company to post additional collateral if there were a downgrade in the Company's credit rating. The collateral potentially required for contracts with adequate assurance clauses that are in net liability positions as of December 31, 2025 was $1.0 billion. The Company is also a party to certain</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19" w:name="page120"/>
    <w:bookmarkEnd w:id="119"/>
    <w:p>
      <w:pPr>
        <w:jc w:val="both"/>
        <w:spacing w:after="0" w:line="256" w:lineRule="auto"/>
        <w:rPr>
          <w:sz w:val="20"/>
          <w:szCs w:val="20"/>
          <w:color w:val="auto"/>
        </w:rPr>
      </w:pPr>
      <w:r>
        <w:rPr>
          <w:rFonts w:ascii="Times New Roman" w:cs="Times New Roman" w:eastAsia="Times New Roman" w:hAnsi="Times New Roman"/>
          <w:sz w:val="18"/>
          <w:szCs w:val="18"/>
          <w:color w:val="auto"/>
        </w:rPr>
        <w:t>marginable agreements under which it has a net liability position, but the counterparty has not called for the collateral due, which was approximately $207 million as of December 31, 2025. In the event of a downgrade in the Company's credit rating and if called for by the counterparty, $55 million of additional collateral would be required for all contracts with credit rating contingent features as of December 31, 2025.</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See Note 5,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for discussion regarding concentration of credit risk.</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 </w:t>
      </w:r>
      <w:r>
        <w:rPr>
          <w:rFonts w:ascii="Times New Roman" w:cs="Times New Roman" w:eastAsia="Times New Roman" w:hAnsi="Times New Roman"/>
          <w:sz w:val="18"/>
          <w:szCs w:val="18"/>
          <w:b w:val="1"/>
          <w:bCs w:val="1"/>
          <w:i w:val="1"/>
          <w:iCs w:val="1"/>
          <w:color w:val="auto"/>
        </w:rPr>
        <w:t>Inventory</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Inventory consisted of:</w:t>
      </w:r>
    </w:p>
    <w:p>
      <w:pPr>
        <w:spacing w:after="0" w:line="59"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7"/>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Coal</w:t>
            </w: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4"/>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oil</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4"/>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Spare parts</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7"/>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Inventory</w:t>
            </w:r>
          </w:p>
        </w:tc>
        <w:tc>
          <w:tcPr>
            <w:tcW w:w="4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0"/>
        </w:trPr>
        <w:tc>
          <w:tcPr>
            <w:tcW w:w="7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 </w:t>
      </w:r>
      <w:r>
        <w:rPr>
          <w:rFonts w:ascii="Times New Roman" w:cs="Times New Roman" w:eastAsia="Times New Roman" w:hAnsi="Times New Roman"/>
          <w:sz w:val="18"/>
          <w:szCs w:val="18"/>
          <w:b w:val="1"/>
          <w:bCs w:val="1"/>
          <w:i w:val="1"/>
          <w:iCs w:val="1"/>
          <w:color w:val="auto"/>
        </w:rPr>
        <w:t>Property, Plant and Equipment</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major classes of property, plant, and equipment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Depreciable</w:t>
            </w:r>
          </w:p>
        </w:tc>
      </w:tr>
      <w:tr>
        <w:trPr>
          <w:trHeight w:val="207"/>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Lives</w:t>
            </w:r>
          </w:p>
        </w:tc>
      </w:tr>
      <w:tr>
        <w:trPr>
          <w:trHeight w:val="218"/>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Facilities and equipment</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1-40 years</w:t>
            </w:r>
          </w:p>
        </w:tc>
      </w:tr>
      <w:tr>
        <w:trPr>
          <w:trHeight w:val="22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4"/>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2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Hardware and office equipment and furnishings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2-10 years</w:t>
            </w:r>
          </w:p>
        </w:tc>
      </w:tr>
      <w:tr>
        <w:trPr>
          <w:trHeight w:val="224"/>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7"/>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4"/>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7"/>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120" w:type="dxa"/>
            <w:vAlign w:val="bottom"/>
          </w:tcPr>
          <w:p>
            <w:pPr>
              <w:spacing w:after="0"/>
              <w:rPr>
                <w:sz w:val="18"/>
                <w:szCs w:val="18"/>
                <w:color w:val="auto"/>
              </w:rPr>
            </w:pPr>
          </w:p>
        </w:tc>
        <w:tc>
          <w:tcPr>
            <w:tcW w:w="6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Depreciation expense of property, plant and equipment recorded during the years ended December 31, 2025, 2024 and 2023 was $284 million, $271 million and $257 million,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 </w:t>
      </w:r>
      <w:r>
        <w:rPr>
          <w:rFonts w:ascii="Times New Roman" w:cs="Times New Roman" w:eastAsia="Times New Roman" w:hAnsi="Times New Roman"/>
          <w:sz w:val="18"/>
          <w:szCs w:val="18"/>
          <w:b w:val="1"/>
          <w:bCs w:val="1"/>
          <w:i w:val="1"/>
          <w:iCs w:val="1"/>
          <w:color w:val="auto"/>
        </w:rPr>
        <w:t>Leases</w:t>
      </w:r>
    </w:p>
    <w:p>
      <w:pPr>
        <w:spacing w:after="0" w:line="113" w:lineRule="exact"/>
        <w:rPr>
          <w:sz w:val="20"/>
          <w:szCs w:val="20"/>
          <w:color w:val="auto"/>
        </w:rPr>
      </w:pPr>
    </w:p>
    <w:p>
      <w:pPr>
        <w:jc w:val="both"/>
        <w:ind w:firstLine="434"/>
        <w:spacing w:after="0" w:line="282" w:lineRule="auto"/>
        <w:rPr>
          <w:sz w:val="20"/>
          <w:szCs w:val="20"/>
          <w:color w:val="auto"/>
        </w:rPr>
      </w:pPr>
      <w:r>
        <w:rPr>
          <w:rFonts w:ascii="Times New Roman" w:cs="Times New Roman" w:eastAsia="Times New Roman" w:hAnsi="Times New Roman"/>
          <w:sz w:val="16"/>
          <w:szCs w:val="16"/>
          <w:color w:val="auto"/>
        </w:rPr>
        <w:t>The Company leases generating facilities, land, office and equipment, railcars, fleet vehicles and storefront space at retail stores. Operating leases with an initial term greater than twelve months are recognized as right-of-use assets and lease liabilities in the consolidated balance sheets. The Company made an accounting policy election, as permitted by ASC 842, for all asset classes not to recognize right-of-use assets and lease liabilities in the consolidated balance sheets for its short-term leases, which are leases that have a lease term of twelve months or less. For the initial measurement of lease liabilities, the discount rate that the Company uses is either the rate implicit in the lease, if known, or its incremental borrowing rate, which is the rate of interest that the Company would have to pay to borrow, on a collateralized basis, over a similar term an amount equal to the payments for the lease. The Company recognizes lease expense for all operating leases on a straight-line basis over the lease term. In the future, should another systematic basis become more representative of the pattern in which the lessee expects to consume the remaining economic benefit of the right-of-use asset, the Company will use that basis for lease expense.</w:t>
      </w:r>
    </w:p>
    <w:p>
      <w:pPr>
        <w:spacing w:after="0" w:line="60"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Company considers a contract to be or to contain a lease when both of the following conditions apply: 1) an asset is either explicitly or implicitly identified in the contract and 2) the contract conveys to the Company the right to control the use of the identified asset for a period of time. The Company has the right to control the use of the identified asset when the Company has both the right to obtain substantially all the economic benefits from the use of the identified asset and the right to direct how and for what purpose the identified asset is used throughout the period of use.</w:t>
      </w:r>
    </w:p>
    <w:p>
      <w:pPr>
        <w:spacing w:after="0" w:line="78"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Lease payments are typically fixed and payable on a monthly, quarterly, semi-annual or annual basis. Lease payments under certain agreements may escalate over the lease term either by a fixed percentage or a fixed dollar amount. Certain leases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20" w:name="page121"/>
    <w:bookmarkEnd w:id="120"/>
    <w:p>
      <w:pPr>
        <w:jc w:val="both"/>
        <w:spacing w:after="0" w:line="256" w:lineRule="auto"/>
        <w:rPr>
          <w:sz w:val="20"/>
          <w:szCs w:val="20"/>
          <w:color w:val="auto"/>
        </w:rPr>
      </w:pPr>
      <w:r>
        <w:rPr>
          <w:rFonts w:ascii="Times New Roman" w:cs="Times New Roman" w:eastAsia="Times New Roman" w:hAnsi="Times New Roman"/>
          <w:sz w:val="18"/>
          <w:szCs w:val="18"/>
          <w:color w:val="auto"/>
        </w:rPr>
        <w:t>may provide for variable lease payments in the form of payments based on unit availability, usage, a percentage of sales from the location under lease, or index-based (e.g., the U.S. Consumer Price Index) adjustments to lease payments. The Company has no leases which contain residual value guarantees provided by the Company as a lessee.</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Lease Cost: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8"/>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8"/>
              </w:rPr>
              <w:t>For the Year Ended December 31,</w:t>
            </w: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4"/>
        </w:trPr>
        <w:tc>
          <w:tcPr>
            <w:tcW w:w="5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2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4"/>
        </w:trPr>
        <w:tc>
          <w:tcPr>
            <w:tcW w:w="5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4"/>
        </w:trPr>
        <w:tc>
          <w:tcPr>
            <w:tcW w:w="514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2"/>
                <w:szCs w:val="22"/>
                <w:color w:val="auto"/>
                <w:vertAlign w:val="superscript"/>
              </w:rPr>
              <w:t>(a)</w:t>
            </w:r>
          </w:p>
        </w:tc>
        <w:tc>
          <w:tcPr>
            <w:tcW w:w="22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4"/>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2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4"/>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7"/>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    Cottonwood lease ended in May 2025</w:t>
            </w: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1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3"/>
        </w:trPr>
        <w:tc>
          <w:tcPr>
            <w:tcW w:w="5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information:</w:t>
            </w: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8"/>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8"/>
              </w:rPr>
              <w:t>For the Year Ended December 31,</w:t>
            </w:r>
          </w:p>
        </w:tc>
        <w:tc>
          <w:tcPr>
            <w:tcW w:w="1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5"/>
        </w:trPr>
        <w:tc>
          <w:tcPr>
            <w:tcW w:w="51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w w:val="99"/>
              </w:rPr>
              <w:t>Cash paid for amounts included in the measurement of lease liabilities:</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2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24"/>
        </w:trPr>
        <w:tc>
          <w:tcPr>
            <w:tcW w:w="5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79"/>
        </w:trPr>
        <w:tc>
          <w:tcPr>
            <w:tcW w:w="514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Right-of-use assets obtained in exchange for new finance lease</w:t>
            </w: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79"/>
        </w:trPr>
        <w:tc>
          <w:tcPr>
            <w:tcW w:w="514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Right-of-use assets obtained in exchange for new operating lease</w:t>
            </w: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539"/>
        </w:trPr>
        <w:tc>
          <w:tcPr>
            <w:tcW w:w="5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Lease Term and Discount Rate for leases:</w:t>
            </w: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06"/>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2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4"/>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6.26 %</w:t>
            </w:r>
          </w:p>
        </w:tc>
        <w:tc>
          <w:tcPr>
            <w:tcW w:w="0" w:type="dxa"/>
            <w:vAlign w:val="bottom"/>
          </w:tcPr>
          <w:p>
            <w:pPr>
              <w:spacing w:after="0"/>
              <w:rPr>
                <w:sz w:val="1"/>
                <w:szCs w:val="1"/>
                <w:color w:val="auto"/>
              </w:rPr>
            </w:pPr>
          </w:p>
        </w:tc>
      </w:tr>
      <w:tr>
        <w:trPr>
          <w:trHeight w:val="250"/>
        </w:trPr>
        <w:tc>
          <w:tcPr>
            <w:tcW w:w="5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4"/>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6.23 %</w:t>
            </w:r>
          </w:p>
        </w:tc>
        <w:tc>
          <w:tcPr>
            <w:tcW w:w="0" w:type="dxa"/>
            <w:vAlign w:val="bottom"/>
          </w:tcPr>
          <w:p>
            <w:pPr>
              <w:spacing w:after="0"/>
              <w:rPr>
                <w:sz w:val="1"/>
                <w:szCs w:val="1"/>
                <w:color w:val="auto"/>
              </w:rPr>
            </w:pPr>
          </w:p>
        </w:tc>
      </w:tr>
      <w:tr>
        <w:trPr>
          <w:trHeight w:val="539"/>
        </w:trPr>
        <w:tc>
          <w:tcPr>
            <w:tcW w:w="11240" w:type="dxa"/>
            <w:vAlign w:val="bottom"/>
            <w:gridSpan w:val="13"/>
          </w:tcPr>
          <w:p>
            <w:pPr>
              <w:ind w:left="440"/>
              <w:spacing w:after="0"/>
              <w:rPr>
                <w:sz w:val="20"/>
                <w:szCs w:val="20"/>
                <w:color w:val="auto"/>
              </w:rPr>
            </w:pPr>
            <w:r>
              <w:rPr>
                <w:rFonts w:ascii="Times New Roman" w:cs="Times New Roman" w:eastAsia="Times New Roman" w:hAnsi="Times New Roman"/>
                <w:sz w:val="18"/>
                <w:szCs w:val="18"/>
                <w:color w:val="auto"/>
              </w:rPr>
              <w:t>As of December 31, 2025, annual payments based on the maturities of the Company's operating leases are expected to be as follows:</w:t>
            </w:r>
          </w:p>
        </w:tc>
        <w:tc>
          <w:tcPr>
            <w:tcW w:w="0" w:type="dxa"/>
            <w:vAlign w:val="bottom"/>
          </w:tcPr>
          <w:p>
            <w:pPr>
              <w:spacing w:after="0"/>
              <w:rPr>
                <w:sz w:val="1"/>
                <w:szCs w:val="1"/>
                <w:color w:val="auto"/>
              </w:rPr>
            </w:pPr>
          </w:p>
        </w:tc>
      </w:tr>
      <w:tr>
        <w:trPr>
          <w:trHeight w:val="201"/>
        </w:trPr>
        <w:tc>
          <w:tcPr>
            <w:tcW w:w="5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4"/>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4"/>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4"/>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4"/>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7"/>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4"/>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2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42"/>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discounted lease payments</w:t>
            </w:r>
          </w:p>
        </w:tc>
        <w:tc>
          <w:tcPr>
            <w:tcW w:w="2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ind w:right="1153"/>
              <w:spacing w:after="0"/>
              <w:rPr>
                <w:sz w:val="20"/>
                <w:szCs w:val="20"/>
                <w:color w:val="auto"/>
              </w:rPr>
            </w:pPr>
            <w:r>
              <w:rPr>
                <w:rFonts w:ascii="Times New Roman" w:cs="Times New Roman" w:eastAsia="Times New Roman" w:hAnsi="Times New Roman"/>
                <w:sz w:val="18"/>
                <w:szCs w:val="18"/>
                <w:color w:val="auto"/>
              </w:rPr>
              <w:t>121</w:t>
            </w: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1"/>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 xml:space="preserve">Note 10 — </w:t>
      </w:r>
      <w:r>
        <w:rPr>
          <w:rFonts w:ascii="Times New Roman" w:cs="Times New Roman" w:eastAsia="Times New Roman" w:hAnsi="Times New Roman"/>
          <w:sz w:val="18"/>
          <w:szCs w:val="18"/>
          <w:b w:val="1"/>
          <w:bCs w:val="1"/>
          <w:i w:val="1"/>
          <w:iCs w:val="1"/>
          <w:color w:val="auto"/>
        </w:rPr>
        <w:t>Asset Impairments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Impairment Losses</w:t>
      </w:r>
    </w:p>
    <w:p>
      <w:pPr>
        <w:spacing w:after="0" w:line="113"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During the fourth quarter of 2025, the Company completed its annual budget and analyzed the corresponding impact on estimated cash flows associated with its long-lived assets. The fair value of the assets was determined using an income approach by applying a discounted cash flow methodology to the long-term budget for each facility. The income approach utilized estimates of after-tax cash flows, which were Level 3 fair value measurements, and included key inputs such as forecasted power prices, fuel costs, operating and maintenance costs, plant investment capital expenditures and discount rates.</w:t>
      </w:r>
    </w:p>
    <w:p>
      <w:pPr>
        <w:spacing w:after="0" w:line="4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As a result of the evaluation performed, the Company recorded an impairment loss of $39 million related to its equity method investment in Gladstone in the West/Other segment. For further discussion of the Gladstone investment, see Note 16, </w:t>
      </w:r>
      <w:r>
        <w:rPr>
          <w:rFonts w:ascii="Times New Roman" w:cs="Times New Roman" w:eastAsia="Times New Roman" w:hAnsi="Times New Roman"/>
          <w:sz w:val="18"/>
          <w:szCs w:val="18"/>
          <w:i w:val="1"/>
          <w:iCs w:val="1"/>
          <w:color w:val="auto"/>
        </w:rPr>
        <w:t>Investments Accounted for by the Equity Method and Variable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 Entities</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Impairment Losses</w:t>
      </w:r>
    </w:p>
    <w:p>
      <w:pPr>
        <w:spacing w:after="0" w:line="113"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During the fourth quarter of 2024, the Company completed its annual budget and analyzed the corresponding impact on estimated cash flows associated with its long-lived assets. The fair value of the assets was determined using an income approach by applying a discounted cash flow methodology to the long-term budget for each facility. The income approach utilized estimates of after-tax cash flows, which were Level 3 fair value measurements, and included key inputs such as forecasted power prices, fuel costs, operating and maintenance costs, plant investment capital expenditures and discount rates.</w:t>
      </w:r>
    </w:p>
    <w:p>
      <w:pPr>
        <w:spacing w:after="0" w:line="4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As a result of the evaluation performed, the Company recorded impairment losses of $7 million and $14 million related to its equity method investment in Gladstone and property plant and equipment and leases in the West/Other segment, respectively. For further discussion of the Gladstone investment, see Note 16,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w:t>
      </w:r>
    </w:p>
    <w:p>
      <w:pPr>
        <w:spacing w:after="0" w:line="11" w:lineRule="exact"/>
        <w:rPr>
          <w:sz w:val="20"/>
          <w:szCs w:val="20"/>
          <w:color w:val="auto"/>
        </w:rPr>
      </w:pPr>
    </w:p>
    <w:p>
      <w:pPr>
        <w:jc w:val="both"/>
        <w:ind w:firstLine="395"/>
        <w:spacing w:after="0" w:line="288" w:lineRule="auto"/>
        <w:rPr>
          <w:sz w:val="20"/>
          <w:szCs w:val="20"/>
          <w:color w:val="auto"/>
        </w:rPr>
      </w:pPr>
      <w:r>
        <w:rPr>
          <w:rFonts w:ascii="Times New Roman" w:cs="Times New Roman" w:eastAsia="Times New Roman" w:hAnsi="Times New Roman"/>
          <w:sz w:val="18"/>
          <w:szCs w:val="18"/>
          <w:i w:val="1"/>
          <w:iCs w:val="1"/>
          <w:color w:val="auto"/>
        </w:rPr>
        <w:t xml:space="preserve">Other Impairments </w:t>
      </w:r>
      <w:r>
        <w:rPr>
          <w:rFonts w:ascii="Times New Roman" w:cs="Times New Roman" w:eastAsia="Times New Roman" w:hAnsi="Times New Roman"/>
          <w:sz w:val="18"/>
          <w:szCs w:val="18"/>
          <w:color w:val="auto"/>
        </w:rPr>
        <w:t>— The Company recorded impairment losses related to excess SO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allowances of $7 million in the Texas segment and goodwill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losses of $15 million in the West/Other segment.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Impairment Losses</w:t>
      </w:r>
    </w:p>
    <w:p>
      <w:pPr>
        <w:spacing w:after="0" w:line="113"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During the fourth quarter of 2023, the Company completed its annual budget and analyzed the corresponding impact on estimated cash flows associated with its long-lived assets. The fair value of the assets was determined using an income approach by applying a discounted cash flow methodology to the long-term budget for each facility. The income approach utilized estimates of after-tax cash flows, which were Level 3 fair value measurements, and included key inputs such as forecasted power prices, fuel costs, operating and maintenance costs, plant investment capital expenditures and discount rates.</w:t>
      </w:r>
    </w:p>
    <w:p>
      <w:pPr>
        <w:spacing w:after="0" w:line="47"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Gladstone — </w:t>
      </w:r>
      <w:r>
        <w:rPr>
          <w:rFonts w:ascii="Times New Roman" w:cs="Times New Roman" w:eastAsia="Times New Roman" w:hAnsi="Times New Roman"/>
          <w:sz w:val="18"/>
          <w:szCs w:val="18"/>
          <w:color w:val="auto"/>
        </w:rPr>
        <w:t>The Company recorded impairment losses of $102 million on its equity method investment in Gladstone within the West/Other segment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result of changes in the long-term outlook of the Gladstone facility, prompted by evolving energy policy conditions in Australia and an assessment of the long-term operational landscape of the facility, which concluded with the annual budget process. For further discussion of the Gladstone investment, see Note 16,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Other Impairments </w:t>
      </w:r>
      <w:r>
        <w:rPr>
          <w:rFonts w:ascii="Times New Roman" w:cs="Times New Roman" w:eastAsia="Times New Roman" w:hAnsi="Times New Roman"/>
          <w:sz w:val="18"/>
          <w:szCs w:val="18"/>
          <w:color w:val="auto"/>
        </w:rPr>
        <w:t>— The Company additionally recorded impairment losses related to property plant and equipment and leases of $2 million, $4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 million in the Texas, East and West/Other segments, respectively.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 xml:space="preserve">Note 11 — </w:t>
      </w:r>
      <w:r>
        <w:rPr>
          <w:rFonts w:ascii="Times New Roman" w:cs="Times New Roman" w:eastAsia="Times New Roman" w:hAnsi="Times New Roman"/>
          <w:sz w:val="18"/>
          <w:szCs w:val="18"/>
          <w:b w:val="1"/>
          <w:bCs w:val="1"/>
          <w:i w:val="1"/>
          <w:iCs w:val="1"/>
          <w:color w:val="auto"/>
        </w:rPr>
        <w:t>Goodwill and Other Intangibles</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changes in goodwill for the years ended December 31, 2025 and 2024 based on the Company's reportable segments: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Texas</w:t>
            </w:r>
          </w:p>
        </w:tc>
        <w:tc>
          <w:tcPr>
            <w:tcW w:w="300" w:type="dxa"/>
            <w:vAlign w:val="bottom"/>
          </w:tcPr>
          <w:p>
            <w:pPr>
              <w:spacing w:after="0"/>
              <w:rPr>
                <w:sz w:val="16"/>
                <w:szCs w:val="16"/>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East</w:t>
            </w:r>
          </w:p>
        </w:tc>
        <w:tc>
          <w:tcPr>
            <w:tcW w:w="220" w:type="dxa"/>
            <w:vAlign w:val="bottom"/>
          </w:tcPr>
          <w:p>
            <w:pPr>
              <w:spacing w:after="0"/>
              <w:rPr>
                <w:sz w:val="16"/>
                <w:szCs w:val="16"/>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West/Other</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Vivint Smart</w:t>
            </w:r>
          </w:p>
        </w:tc>
        <w:tc>
          <w:tcPr>
            <w:tcW w:w="300" w:type="dxa"/>
            <w:vAlign w:val="bottom"/>
          </w:tcPr>
          <w:p>
            <w:pPr>
              <w:spacing w:after="0"/>
              <w:rPr>
                <w:sz w:val="16"/>
                <w:szCs w:val="16"/>
                <w:color w:val="auto"/>
              </w:rPr>
            </w:pPr>
          </w:p>
        </w:tc>
        <w:tc>
          <w:tcPr>
            <w:tcW w:w="102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Home</w:t>
            </w: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30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0" w:type="dxa"/>
            <w:vAlign w:val="bottom"/>
          </w:tcPr>
          <w:p>
            <w:pPr>
              <w:spacing w:after="0"/>
              <w:rPr>
                <w:sz w:val="1"/>
                <w:szCs w:val="1"/>
                <w:color w:val="auto"/>
              </w:rPr>
            </w:pPr>
          </w:p>
        </w:tc>
      </w:tr>
      <w:tr>
        <w:trPr>
          <w:trHeight w:val="224"/>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4"/>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 of Airtron</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4"/>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7"/>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30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5,011</w:t>
            </w:r>
          </w:p>
        </w:tc>
        <w:tc>
          <w:tcPr>
            <w:tcW w:w="0" w:type="dxa"/>
            <w:vAlign w:val="bottom"/>
          </w:tcPr>
          <w:p>
            <w:pPr>
              <w:spacing w:after="0"/>
              <w:rPr>
                <w:sz w:val="1"/>
                <w:szCs w:val="1"/>
                <w:color w:val="auto"/>
              </w:rPr>
            </w:pPr>
          </w:p>
        </w:tc>
      </w:tr>
      <w:tr>
        <w:trPr>
          <w:trHeight w:val="224"/>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2"/>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3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5,017</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1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Company's intangible assets as of December 31, 2025, primarily reflect intangible assets established with the acquisitions of various companies, including Vivint Smart Home, Direct Energy, other retail acquisitions and Texas Genco. Intangible assets are comprised of the following:</w:t>
      </w:r>
    </w:p>
    <w:p>
      <w:pPr>
        <w:spacing w:after="0" w:line="62" w:lineRule="exact"/>
        <w:rPr>
          <w:sz w:val="20"/>
          <w:szCs w:val="20"/>
          <w:color w:val="auto"/>
        </w:rPr>
      </w:pPr>
    </w:p>
    <w:p>
      <w:pPr>
        <w:jc w:val="both"/>
        <w:ind w:left="640" w:hanging="319"/>
        <w:spacing w:after="0" w:line="251" w:lineRule="auto"/>
        <w:tabs>
          <w:tab w:leader="none" w:pos="636" w:val="left"/>
        </w:tabs>
        <w:numPr>
          <w:ilvl w:val="0"/>
          <w:numId w:val="8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Customer relationships </w:t>
      </w:r>
      <w:r>
        <w:rPr>
          <w:rFonts w:ascii="Times New Roman" w:cs="Times New Roman" w:eastAsia="Times New Roman" w:hAnsi="Times New Roman"/>
          <w:sz w:val="18"/>
          <w:szCs w:val="18"/>
          <w:color w:val="auto"/>
        </w:rPr>
        <w:t>— These intangibles represent the fair value at the acquisition date of acquired businesses' customer base from the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Vivint Smart Home, Direct Energy and other acquisitions. Customer relationships are amortized to depreciation and amortization expense based on the expected discounted future net cash flows by year.</w:t>
      </w:r>
    </w:p>
    <w:p>
      <w:pPr>
        <w:spacing w:after="0" w:line="1" w:lineRule="exact"/>
        <w:rPr>
          <w:rFonts w:ascii="Times New Roman" w:cs="Times New Roman" w:eastAsia="Times New Roman" w:hAnsi="Times New Roman"/>
          <w:sz w:val="18"/>
          <w:szCs w:val="18"/>
          <w:i w:val="1"/>
          <w:iCs w:val="1"/>
          <w:color w:val="auto"/>
        </w:rPr>
      </w:pPr>
    </w:p>
    <w:p>
      <w:pPr>
        <w:jc w:val="both"/>
        <w:ind w:left="640" w:hanging="319"/>
        <w:spacing w:after="0" w:line="249" w:lineRule="auto"/>
        <w:tabs>
          <w:tab w:leader="none" w:pos="6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Emission Allowances </w:t>
      </w:r>
      <w:r>
        <w:rPr>
          <w:rFonts w:ascii="Times New Roman" w:cs="Times New Roman" w:eastAsia="Times New Roman" w:hAnsi="Times New Roman"/>
          <w:sz w:val="18"/>
          <w:szCs w:val="18"/>
          <w:color w:val="auto"/>
        </w:rPr>
        <w:t>— These intangibles primarily consist of SO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emission allowances, including those established with the 2006 acquisition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Texas Genco, RGGI emission credits and California carbon allowances. These emission allowances are held-for-use and are amortized to cost of operations based on units of production.</w:t>
      </w:r>
    </w:p>
    <w:p>
      <w:pPr>
        <w:spacing w:after="0" w:line="25" w:lineRule="exact"/>
        <w:rPr>
          <w:rFonts w:ascii="Times New Roman" w:cs="Times New Roman" w:eastAsia="Times New Roman" w:hAnsi="Times New Roman"/>
          <w:sz w:val="18"/>
          <w:szCs w:val="18"/>
          <w:color w:val="auto"/>
        </w:rPr>
      </w:pPr>
    </w:p>
    <w:p>
      <w:pPr>
        <w:jc w:val="both"/>
        <w:ind w:left="640" w:hanging="319"/>
        <w:spacing w:after="0" w:line="257" w:lineRule="auto"/>
        <w:tabs>
          <w:tab w:leader="none" w:pos="6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Customer and supply contracts </w:t>
      </w:r>
      <w:r>
        <w:rPr>
          <w:rFonts w:ascii="Times New Roman" w:cs="Times New Roman" w:eastAsia="Times New Roman" w:hAnsi="Times New Roman"/>
          <w:sz w:val="18"/>
          <w:szCs w:val="18"/>
          <w:color w:val="auto"/>
        </w:rPr>
        <w:t>— These intangibles include the fair value at the acquisition date of in-market and out-of-market customer and supply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from the acquisition of Direct Energy and are amortized to revenue and cost of operations, respectively, based upon the fair market value, as of the acquisition date, for each delivery month.</w:t>
      </w:r>
    </w:p>
    <w:p>
      <w:pPr>
        <w:spacing w:after="0" w:line="19" w:lineRule="exact"/>
        <w:rPr>
          <w:rFonts w:ascii="Times New Roman" w:cs="Times New Roman" w:eastAsia="Times New Roman" w:hAnsi="Times New Roman"/>
          <w:sz w:val="18"/>
          <w:szCs w:val="18"/>
          <w:color w:val="auto"/>
        </w:rPr>
      </w:pPr>
    </w:p>
    <w:p>
      <w:pPr>
        <w:jc w:val="both"/>
        <w:ind w:left="640" w:hanging="319"/>
        <w:spacing w:after="0" w:line="257" w:lineRule="auto"/>
        <w:tabs>
          <w:tab w:leader="none" w:pos="6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Marketing partnerships </w:t>
      </w:r>
      <w:r>
        <w:rPr>
          <w:rFonts w:ascii="Times New Roman" w:cs="Times New Roman" w:eastAsia="Times New Roman" w:hAnsi="Times New Roman"/>
          <w:sz w:val="18"/>
          <w:szCs w:val="18"/>
          <w:color w:val="auto"/>
        </w:rPr>
        <w:t>— These intangibles represent the fair value at the acquisition date of existing agreements with marketing vendors and loyalty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affinity partners for customer acquisition. Marketing partnerships are amortized to depreciation and amortization expense based on the expected discounted future net cash flows by year.</w:t>
      </w:r>
    </w:p>
    <w:p>
      <w:pPr>
        <w:spacing w:after="0" w:line="19" w:lineRule="exact"/>
        <w:rPr>
          <w:rFonts w:ascii="Times New Roman" w:cs="Times New Roman" w:eastAsia="Times New Roman" w:hAnsi="Times New Roman"/>
          <w:sz w:val="18"/>
          <w:szCs w:val="18"/>
          <w:color w:val="auto"/>
        </w:rPr>
      </w:pPr>
    </w:p>
    <w:p>
      <w:pPr>
        <w:jc w:val="both"/>
        <w:ind w:left="640" w:hanging="319"/>
        <w:spacing w:after="0" w:line="257" w:lineRule="auto"/>
        <w:tabs>
          <w:tab w:leader="none" w:pos="6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Technology </w:t>
      </w:r>
      <w:r>
        <w:rPr>
          <w:rFonts w:ascii="Times New Roman" w:cs="Times New Roman" w:eastAsia="Times New Roman" w:hAnsi="Times New Roman"/>
          <w:sz w:val="18"/>
          <w:szCs w:val="18"/>
          <w:color w:val="auto"/>
        </w:rPr>
        <w:t>— These intangibles represent the fair value at the acquisition date of developed technology for Vivint Smart Home integrated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products. Technology is amortized to depreciation and amortization expense, ratably based on the expected discounted future net cash flows by year.</w:t>
      </w:r>
    </w:p>
    <w:p>
      <w:pPr>
        <w:spacing w:after="0" w:line="1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Trade names </w:t>
      </w:r>
      <w:r>
        <w:rPr>
          <w:rFonts w:ascii="Times New Roman" w:cs="Times New Roman" w:eastAsia="Times New Roman" w:hAnsi="Times New Roman"/>
          <w:sz w:val="18"/>
          <w:szCs w:val="18"/>
          <w:color w:val="auto"/>
        </w:rPr>
        <w:t>— These intangibles are amortized to depreciation and amortization expense on a straight-line basis.</w:t>
      </w:r>
    </w:p>
    <w:p>
      <w:pPr>
        <w:spacing w:after="0" w:line="56" w:lineRule="exact"/>
        <w:rPr>
          <w:rFonts w:ascii="Times New Roman" w:cs="Times New Roman" w:eastAsia="Times New Roman" w:hAnsi="Times New Roman"/>
          <w:sz w:val="18"/>
          <w:szCs w:val="18"/>
          <w:color w:val="auto"/>
        </w:rPr>
      </w:pPr>
    </w:p>
    <w:p>
      <w:pPr>
        <w:jc w:val="both"/>
        <w:ind w:left="640" w:hanging="319"/>
        <w:spacing w:after="0" w:line="257" w:lineRule="auto"/>
        <w:tabs>
          <w:tab w:leader="none" w:pos="6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 These intangibles primarily include renewable energy certificates. RECs are retired, as required, for the applicable compliance period. RECs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expensed to cost of operations based on NRG’s customer usage. Other also included in-market nuclear fuel contracts established from the Texas Genco acquisition in 2006 which were amortized to cost of operations over expected volumes over the life of each contract.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23" w:name="page124"/>
    <w:bookmarkEnd w:id="123"/>
    <w:p>
      <w:pPr>
        <w:ind w:left="400"/>
        <w:spacing w:after="0"/>
        <w:rPr>
          <w:sz w:val="20"/>
          <w:szCs w:val="20"/>
          <w:color w:val="auto"/>
        </w:rPr>
      </w:pPr>
      <w:r>
        <w:rPr>
          <w:rFonts w:ascii="Times New Roman" w:cs="Times New Roman" w:eastAsia="Times New Roman" w:hAnsi="Times New Roman"/>
          <w:sz w:val="18"/>
          <w:szCs w:val="18"/>
          <w:color w:val="auto"/>
        </w:rPr>
        <w:t>The following tables summarize the components of NRG's intangible assets: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Customer</w:t>
            </w:r>
          </w:p>
        </w:tc>
        <w:tc>
          <w:tcPr>
            <w:tcW w:w="14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Emission</w:t>
            </w:r>
          </w:p>
        </w:tc>
        <w:tc>
          <w:tcPr>
            <w:tcW w:w="1080" w:type="dxa"/>
            <w:vAlign w:val="bottom"/>
            <w:gridSpan w:val="3"/>
          </w:tcPr>
          <w:p>
            <w:pPr>
              <w:jc w:val="center"/>
              <w:ind w:right="120"/>
              <w:spacing w:after="0" w:line="157" w:lineRule="exact"/>
              <w:rPr>
                <w:sz w:val="20"/>
                <w:szCs w:val="20"/>
                <w:color w:val="auto"/>
              </w:rPr>
            </w:pPr>
            <w:r>
              <w:rPr>
                <w:rFonts w:ascii="Times New Roman" w:cs="Times New Roman" w:eastAsia="Times New Roman" w:hAnsi="Times New Roman"/>
                <w:sz w:val="14"/>
                <w:szCs w:val="14"/>
                <w:b w:val="1"/>
                <w:bCs w:val="1"/>
                <w:color w:val="auto"/>
                <w:w w:val="98"/>
              </w:rPr>
              <w:t>Customer and</w:t>
            </w:r>
          </w:p>
        </w:tc>
        <w:tc>
          <w:tcPr>
            <w:tcW w:w="120" w:type="dxa"/>
            <w:vAlign w:val="bottom"/>
          </w:tcPr>
          <w:p>
            <w:pPr>
              <w:spacing w:after="0"/>
              <w:rPr>
                <w:sz w:val="13"/>
                <w:szCs w:val="13"/>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Marketing</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Trade</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 2025</w:t>
            </w: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Supply</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w:t>
            </w:r>
            <w:r>
              <w:rPr>
                <w:rFonts w:ascii="Times New Roman" w:cs="Times New Roman" w:eastAsia="Times New Roman" w:hAnsi="Times New Roman"/>
                <w:sz w:val="18"/>
                <w:szCs w:val="18"/>
                <w:b w:val="1"/>
                <w:bCs w:val="1"/>
                <w:color w:val="auto"/>
                <w:vertAlign w:val="superscript"/>
              </w:rPr>
              <w:t>(a)</w:t>
            </w:r>
          </w:p>
        </w:tc>
        <w:tc>
          <w:tcPr>
            <w:tcW w:w="240" w:type="dxa"/>
            <w:vAlign w:val="bottom"/>
          </w:tcPr>
          <w:p>
            <w:pPr>
              <w:spacing w:after="0"/>
              <w:rPr>
                <w:sz w:val="12"/>
                <w:szCs w:val="12"/>
                <w:color w:val="auto"/>
              </w:rPr>
            </w:pPr>
          </w:p>
        </w:tc>
        <w:tc>
          <w:tcPr>
            <w:tcW w:w="82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Relationships</w:t>
            </w:r>
          </w:p>
        </w:tc>
        <w:tc>
          <w:tcPr>
            <w:tcW w:w="140" w:type="dxa"/>
            <w:vAlign w:val="bottom"/>
          </w:tcPr>
          <w:p>
            <w:pPr>
              <w:spacing w:after="0"/>
              <w:rPr>
                <w:sz w:val="13"/>
                <w:szCs w:val="13"/>
                <w:color w:val="auto"/>
              </w:rPr>
            </w:pPr>
          </w:p>
        </w:tc>
        <w:tc>
          <w:tcPr>
            <w:tcW w:w="96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Allowances</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Contracts</w:t>
            </w:r>
          </w:p>
        </w:tc>
        <w:tc>
          <w:tcPr>
            <w:tcW w:w="120" w:type="dxa"/>
            <w:vAlign w:val="bottom"/>
          </w:tcPr>
          <w:p>
            <w:pPr>
              <w:spacing w:after="0"/>
              <w:rPr>
                <w:sz w:val="13"/>
                <w:szCs w:val="13"/>
                <w:color w:val="auto"/>
              </w:rPr>
            </w:pPr>
          </w:p>
        </w:tc>
        <w:tc>
          <w:tcPr>
            <w:tcW w:w="10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w w:val="98"/>
              </w:rPr>
              <w:t>Partnerships</w:t>
            </w: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4"/>
                <w:szCs w:val="14"/>
                <w:b w:val="1"/>
                <w:bCs w:val="1"/>
                <w:color w:val="auto"/>
                <w:w w:val="98"/>
              </w:rPr>
              <w:t>Names</w:t>
            </w:r>
          </w:p>
        </w:tc>
        <w:tc>
          <w:tcPr>
            <w:tcW w:w="16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2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spacing w:after="0" w:line="224" w:lineRule="exact"/>
              <w:rPr>
                <w:sz w:val="20"/>
                <w:szCs w:val="20"/>
                <w:color w:val="auto"/>
              </w:rPr>
            </w:pPr>
            <w:r>
              <w:rPr>
                <w:rFonts w:ascii="Times New Roman" w:cs="Times New Roman" w:eastAsia="Times New Roman" w:hAnsi="Times New Roman"/>
                <w:sz w:val="18"/>
                <w:szCs w:val="18"/>
                <w:color w:val="auto"/>
              </w:rPr>
              <w:t>Acquisition of businesses</w:t>
            </w:r>
            <w:r>
              <w:rPr>
                <w:rFonts w:ascii="Times New Roman" w:cs="Times New Roman" w:eastAsia="Times New Roman" w:hAnsi="Times New Roman"/>
                <w:sz w:val="22"/>
                <w:szCs w:val="22"/>
                <w:color w:val="auto"/>
                <w:vertAlign w:val="superscript"/>
              </w:rPr>
              <w:t>(b)</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Usage/Sales/Retirements/Transfers</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48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Write-off of fully amortized</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tcPr>
          <w:p>
            <w:pPr>
              <w:spacing w:after="0"/>
              <w:rPr>
                <w:sz w:val="19"/>
                <w:szCs w:val="19"/>
                <w:color w:val="auto"/>
              </w:rPr>
            </w:pPr>
          </w:p>
        </w:tc>
        <w:tc>
          <w:tcPr>
            <w:tcW w:w="2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tcPr>
          <w:p>
            <w:pPr>
              <w:spacing w:after="0"/>
              <w:rPr>
                <w:sz w:val="19"/>
                <w:szCs w:val="19"/>
                <w:color w:val="auto"/>
              </w:rPr>
            </w:pPr>
          </w:p>
        </w:tc>
        <w:tc>
          <w:tcPr>
            <w:tcW w:w="2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0" w:type="dxa"/>
            <w:vAlign w:val="bottom"/>
          </w:tcPr>
          <w:p>
            <w:pPr>
              <w:spacing w:after="0"/>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2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400" w:hanging="395"/>
        <w:spacing w:after="0"/>
        <w:tabs>
          <w:tab w:leader="none" w:pos="4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RECs are not subject to amortization and had a carrying value of $248 million</w:t>
      </w:r>
    </w:p>
    <w:p>
      <w:pPr>
        <w:spacing w:after="0" w:line="12"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amortization period for total amortizable intangible assets is approximately 5 years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Emission</w:t>
            </w:r>
          </w:p>
        </w:tc>
        <w:tc>
          <w:tcPr>
            <w:tcW w:w="1120" w:type="dxa"/>
            <w:vAlign w:val="bottom"/>
            <w:gridSpan w:val="3"/>
          </w:tcPr>
          <w:p>
            <w:pPr>
              <w:jc w:val="center"/>
              <w:ind w:right="100"/>
              <w:spacing w:after="0" w:line="157" w:lineRule="exact"/>
              <w:rPr>
                <w:sz w:val="20"/>
                <w:szCs w:val="20"/>
                <w:color w:val="auto"/>
              </w:rPr>
            </w:pPr>
            <w:r>
              <w:rPr>
                <w:rFonts w:ascii="Times New Roman" w:cs="Times New Roman" w:eastAsia="Times New Roman" w:hAnsi="Times New Roman"/>
                <w:sz w:val="14"/>
                <w:szCs w:val="14"/>
                <w:b w:val="1"/>
                <w:bCs w:val="1"/>
                <w:color w:val="auto"/>
              </w:rPr>
              <w:t>Customer and</w:t>
            </w:r>
          </w:p>
        </w:tc>
        <w:tc>
          <w:tcPr>
            <w:tcW w:w="140" w:type="dxa"/>
            <w:vAlign w:val="bottom"/>
          </w:tcPr>
          <w:p>
            <w:pPr>
              <w:spacing w:after="0"/>
              <w:rPr>
                <w:sz w:val="13"/>
                <w:szCs w:val="13"/>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Marketing</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Trade</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23" w:lineRule="exact"/>
              <w:rPr>
                <w:sz w:val="20"/>
                <w:szCs w:val="20"/>
                <w:color w:val="auto"/>
              </w:rPr>
            </w:pPr>
            <w:r>
              <w:rPr>
                <w:rFonts w:ascii="Times New Roman" w:cs="Times New Roman" w:eastAsia="Times New Roman" w:hAnsi="Times New Roman"/>
                <w:sz w:val="14"/>
                <w:szCs w:val="14"/>
                <w:b w:val="1"/>
                <w:bCs w:val="1"/>
                <w:color w:val="auto"/>
                <w:w w:val="99"/>
              </w:rPr>
              <w:t>Supply</w:t>
            </w: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r>
              <w:rPr>
                <w:rFonts w:ascii="Times New Roman" w:cs="Times New Roman" w:eastAsia="Times New Roman" w:hAnsi="Times New Roman"/>
                <w:sz w:val="9"/>
                <w:szCs w:val="9"/>
                <w:b w:val="1"/>
                <w:bCs w:val="1"/>
                <w:color w:val="auto"/>
              </w:rPr>
              <w:t>(a)</w:t>
            </w:r>
          </w:p>
        </w:tc>
        <w:tc>
          <w:tcPr>
            <w:tcW w:w="240" w:type="dxa"/>
            <w:vAlign w:val="bottom"/>
          </w:tcPr>
          <w:p>
            <w:pPr>
              <w:spacing w:after="0"/>
              <w:rPr>
                <w:sz w:val="12"/>
                <w:szCs w:val="12"/>
                <w:color w:val="auto"/>
              </w:rPr>
            </w:pPr>
          </w:p>
        </w:tc>
        <w:tc>
          <w:tcPr>
            <w:tcW w:w="86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60" w:type="dxa"/>
            <w:vAlign w:val="bottom"/>
            <w:tcBorders>
              <w:top w:val="single" w:sz="8" w:color="auto"/>
            </w:tcBorders>
            <w:gridSpan w:val="2"/>
          </w:tcPr>
          <w:p>
            <w:pPr>
              <w:spacing w:after="0" w:line="138" w:lineRule="exact"/>
              <w:rPr>
                <w:sz w:val="20"/>
                <w:szCs w:val="20"/>
                <w:color w:val="auto"/>
              </w:rPr>
            </w:pPr>
            <w:r>
              <w:rPr>
                <w:rFonts w:ascii="Times New Roman" w:cs="Times New Roman" w:eastAsia="Times New Roman" w:hAnsi="Times New Roman"/>
                <w:sz w:val="15"/>
                <w:szCs w:val="15"/>
                <w:b w:val="1"/>
                <w:bCs w:val="1"/>
                <w:color w:val="auto"/>
              </w:rPr>
              <w:t>2024</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4"/>
                <w:szCs w:val="14"/>
                <w:b w:val="1"/>
                <w:bCs w:val="1"/>
                <w:color w:val="auto"/>
                <w:w w:val="98"/>
              </w:rPr>
              <w:t>Relationships</w:t>
            </w:r>
          </w:p>
        </w:tc>
        <w:tc>
          <w:tcPr>
            <w:tcW w:w="160" w:type="dxa"/>
            <w:vAlign w:val="bottom"/>
          </w:tcPr>
          <w:p>
            <w:pPr>
              <w:spacing w:after="0"/>
              <w:rPr>
                <w:sz w:val="11"/>
                <w:szCs w:val="11"/>
                <w:color w:val="auto"/>
              </w:rPr>
            </w:pPr>
          </w:p>
        </w:tc>
        <w:tc>
          <w:tcPr>
            <w:tcW w:w="1000" w:type="dxa"/>
            <w:vAlign w:val="bottom"/>
            <w:gridSpan w:val="2"/>
          </w:tcPr>
          <w:p>
            <w:pPr>
              <w:jc w:val="center"/>
              <w:ind w:right="280"/>
              <w:spacing w:after="0" w:line="138" w:lineRule="exact"/>
              <w:rPr>
                <w:sz w:val="20"/>
                <w:szCs w:val="20"/>
                <w:color w:val="auto"/>
              </w:rPr>
            </w:pPr>
            <w:r>
              <w:rPr>
                <w:rFonts w:ascii="Times New Roman" w:cs="Times New Roman" w:eastAsia="Times New Roman" w:hAnsi="Times New Roman"/>
                <w:sz w:val="14"/>
                <w:szCs w:val="14"/>
                <w:b w:val="1"/>
                <w:bCs w:val="1"/>
                <w:color w:val="auto"/>
              </w:rPr>
              <w:t>Allowances</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8" w:lineRule="exact"/>
              <w:rPr>
                <w:sz w:val="20"/>
                <w:szCs w:val="20"/>
                <w:color w:val="auto"/>
              </w:rPr>
            </w:pPr>
            <w:r>
              <w:rPr>
                <w:rFonts w:ascii="Times New Roman" w:cs="Times New Roman" w:eastAsia="Times New Roman" w:hAnsi="Times New Roman"/>
                <w:sz w:val="14"/>
                <w:szCs w:val="14"/>
                <w:b w:val="1"/>
                <w:bCs w:val="1"/>
                <w:color w:val="auto"/>
                <w:w w:val="98"/>
              </w:rPr>
              <w:t>Contracts</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8" w:lineRule="exact"/>
              <w:rPr>
                <w:sz w:val="20"/>
                <w:szCs w:val="20"/>
                <w:color w:val="auto"/>
              </w:rPr>
            </w:pPr>
            <w:r>
              <w:rPr>
                <w:rFonts w:ascii="Times New Roman" w:cs="Times New Roman" w:eastAsia="Times New Roman" w:hAnsi="Times New Roman"/>
                <w:sz w:val="14"/>
                <w:szCs w:val="14"/>
                <w:b w:val="1"/>
                <w:bCs w:val="1"/>
                <w:color w:val="auto"/>
              </w:rPr>
              <w:t>Partnerships</w:t>
            </w: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center"/>
              <w:ind w:right="300"/>
              <w:spacing w:after="0" w:line="138" w:lineRule="exact"/>
              <w:rPr>
                <w:sz w:val="20"/>
                <w:szCs w:val="20"/>
                <w:color w:val="auto"/>
              </w:rPr>
            </w:pPr>
            <w:r>
              <w:rPr>
                <w:rFonts w:ascii="Times New Roman" w:cs="Times New Roman" w:eastAsia="Times New Roman" w:hAnsi="Times New Roman"/>
                <w:sz w:val="14"/>
                <w:szCs w:val="14"/>
                <w:b w:val="1"/>
                <w:bCs w:val="1"/>
                <w:color w:val="auto"/>
                <w:w w:val="98"/>
              </w:rPr>
              <w:t>Names</w:t>
            </w:r>
          </w:p>
        </w:tc>
        <w:tc>
          <w:tcPr>
            <w:tcW w:w="18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Purchases</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206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8"/>
                <w:szCs w:val="18"/>
                <w:color w:val="auto"/>
              </w:rPr>
              <w:t>Acquisition of businesses</w:t>
            </w:r>
            <w:r>
              <w:rPr>
                <w:rFonts w:ascii="Times New Roman" w:cs="Times New Roman" w:eastAsia="Times New Roman" w:hAnsi="Times New Roman"/>
                <w:sz w:val="22"/>
                <w:szCs w:val="22"/>
                <w:color w:val="auto"/>
                <w:vertAlign w:val="superscript"/>
              </w:rPr>
              <w:t>(b)</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Usage/Sales/Retirements</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2060" w:type="dxa"/>
            <w:vAlign w:val="bottom"/>
            <w:gridSpan w:val="3"/>
            <w:shd w:val="clear" w:color="auto" w:fill="CCEEFF"/>
          </w:tcPr>
          <w:p>
            <w:pPr>
              <w:spacing w:after="0" w:line="179" w:lineRule="exact"/>
              <w:rPr>
                <w:sz w:val="20"/>
                <w:szCs w:val="20"/>
                <w:color w:val="auto"/>
              </w:rPr>
            </w:pPr>
            <w:r>
              <w:rPr>
                <w:rFonts w:ascii="Times New Roman" w:cs="Times New Roman" w:eastAsia="Times New Roman" w:hAnsi="Times New Roman"/>
                <w:sz w:val="18"/>
                <w:szCs w:val="18"/>
                <w:color w:val="auto"/>
              </w:rPr>
              <w:t>Write-off of fully amortized</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60" w:type="dxa"/>
            <w:vAlign w:val="bottom"/>
            <w:gridSpan w:val="3"/>
          </w:tcPr>
          <w:p>
            <w:pPr>
              <w:spacing w:after="0" w:line="224" w:lineRule="exact"/>
              <w:rPr>
                <w:sz w:val="20"/>
                <w:szCs w:val="20"/>
                <w:color w:val="auto"/>
              </w:rPr>
            </w:pPr>
            <w:r>
              <w:rPr>
                <w:rFonts w:ascii="Times New Roman" w:cs="Times New Roman" w:eastAsia="Times New Roman" w:hAnsi="Times New Roman"/>
                <w:sz w:val="18"/>
                <w:szCs w:val="18"/>
                <w:color w:val="auto"/>
              </w:rPr>
              <w:t>Sale of Airtron</w:t>
            </w:r>
            <w:r>
              <w:rPr>
                <w:rFonts w:ascii="Times New Roman" w:cs="Times New Roman" w:eastAsia="Times New Roman" w:hAnsi="Times New Roman"/>
                <w:sz w:val="22"/>
                <w:szCs w:val="22"/>
                <w:color w:val="auto"/>
                <w:vertAlign w:val="superscript"/>
              </w:rPr>
              <w:t>(c)</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2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6,540</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2060" w:type="dxa"/>
            <w:vAlign w:val="bottom"/>
            <w:gridSpan w:val="3"/>
            <w:shd w:val="clear" w:color="auto" w:fill="CCEEFF"/>
          </w:tcPr>
          <w:p>
            <w:pPr>
              <w:spacing w:after="0" w:line="179" w:lineRule="exact"/>
              <w:rPr>
                <w:sz w:val="20"/>
                <w:szCs w:val="20"/>
                <w:color w:val="auto"/>
              </w:rPr>
            </w:pPr>
            <w:r>
              <w:rPr>
                <w:rFonts w:ascii="Times New Roman" w:cs="Times New Roman" w:eastAsia="Times New Roman" w:hAnsi="Times New Roman"/>
                <w:sz w:val="18"/>
                <w:szCs w:val="18"/>
                <w:color w:val="auto"/>
              </w:rPr>
              <w:t>Less accumulated</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0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400" w:hanging="395"/>
        <w:spacing w:after="0"/>
        <w:tabs>
          <w:tab w:leader="none" w:pos="4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RECs are not subject to amortization and had a carrying value of $213 million</w:t>
      </w:r>
    </w:p>
    <w:p>
      <w:pPr>
        <w:spacing w:after="0" w:line="21"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amortization period for total amortizable intangible assets is approximately 5 years</w:t>
      </w:r>
    </w:p>
    <w:p>
      <w:pPr>
        <w:spacing w:after="0" w:line="10"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$81 million of intangibles that were amortized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24" w:name="page125"/>
    <w:bookmarkEnd w:id="124"/>
    <w:p>
      <w:pPr>
        <w:ind w:left="400"/>
        <w:spacing w:after="0"/>
        <w:rPr>
          <w:sz w:val="20"/>
          <w:szCs w:val="20"/>
          <w:color w:val="auto"/>
        </w:rPr>
      </w:pPr>
      <w:r>
        <w:rPr>
          <w:rFonts w:ascii="Times New Roman" w:cs="Times New Roman" w:eastAsia="Times New Roman" w:hAnsi="Times New Roman"/>
          <w:sz w:val="18"/>
          <w:szCs w:val="18"/>
          <w:color w:val="auto"/>
        </w:rPr>
        <w:t>The following table presents NRG's amortization of intangible assets for each of the past three years: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205"/>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8"/>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2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and supply contracts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4"/>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Emission allowances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partnerships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4"/>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4"/>
        </w:trPr>
        <w:tc>
          <w:tcPr>
            <w:tcW w:w="66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2"/>
                <w:szCs w:val="22"/>
                <w:color w:val="auto"/>
                <w:vertAlign w:val="superscript"/>
              </w:rPr>
              <w:t>(a)</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7"/>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amortization</w:t>
            </w: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400" w:hanging="395"/>
        <w:spacing w:after="0" w:line="268" w:lineRule="auto"/>
        <w:tabs>
          <w:tab w:leader="none" w:pos="398"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2025 and 2023, other intangibles amortized to depreciation and amortization expense were de minimis. For the year ended December 31, 2024, other intangibles amortized to depreciation and amortization expense was $15 million</w:t>
      </w:r>
    </w:p>
    <w:p>
      <w:pPr>
        <w:spacing w:after="0" w:line="79"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presents estimated amortization of NRG's intangible assets included in the Company’s balance sheet as of December 31, 2025 for each of the next five years: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3"/>
                <w:szCs w:val="13"/>
                <w:color w:val="auto"/>
              </w:rPr>
            </w:pPr>
          </w:p>
        </w:tc>
        <w:tc>
          <w:tcPr>
            <w:tcW w:w="1220" w:type="dxa"/>
            <w:vAlign w:val="bottom"/>
            <w:gridSpan w:val="2"/>
          </w:tcPr>
          <w:p>
            <w:pPr>
              <w:jc w:val="center"/>
              <w:ind w:right="280"/>
              <w:spacing w:after="0" w:line="157" w:lineRule="exact"/>
              <w:rPr>
                <w:sz w:val="20"/>
                <w:szCs w:val="20"/>
                <w:color w:val="auto"/>
              </w:rPr>
            </w:pPr>
            <w:r>
              <w:rPr>
                <w:rFonts w:ascii="Times New Roman" w:cs="Times New Roman" w:eastAsia="Times New Roman" w:hAnsi="Times New Roman"/>
                <w:sz w:val="14"/>
                <w:szCs w:val="14"/>
                <w:b w:val="1"/>
                <w:bCs w:val="1"/>
                <w:color w:val="auto"/>
                <w:w w:val="98"/>
              </w:rPr>
              <w:t>Customer</w:t>
            </w: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4"/>
                <w:szCs w:val="14"/>
                <w:b w:val="1"/>
                <w:bCs w:val="1"/>
                <w:color w:val="auto"/>
              </w:rPr>
              <w:t>Emission</w:t>
            </w:r>
          </w:p>
        </w:tc>
        <w:tc>
          <w:tcPr>
            <w:tcW w:w="120" w:type="dxa"/>
            <w:vAlign w:val="bottom"/>
          </w:tcPr>
          <w:p>
            <w:pPr>
              <w:spacing w:after="0"/>
              <w:rPr>
                <w:sz w:val="13"/>
                <w:szCs w:val="13"/>
                <w:color w:val="auto"/>
              </w:rPr>
            </w:pPr>
          </w:p>
        </w:tc>
        <w:tc>
          <w:tcPr>
            <w:tcW w:w="108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Customer and</w:t>
            </w:r>
          </w:p>
        </w:tc>
        <w:tc>
          <w:tcPr>
            <w:tcW w:w="1040" w:type="dxa"/>
            <w:vAlign w:val="bottom"/>
          </w:tcPr>
          <w:p>
            <w:pPr>
              <w:jc w:val="center"/>
              <w:ind w:left="164"/>
              <w:spacing w:after="0" w:line="157" w:lineRule="exact"/>
              <w:rPr>
                <w:sz w:val="20"/>
                <w:szCs w:val="20"/>
                <w:color w:val="auto"/>
              </w:rPr>
            </w:pPr>
            <w:r>
              <w:rPr>
                <w:rFonts w:ascii="Times New Roman" w:cs="Times New Roman" w:eastAsia="Times New Roman" w:hAnsi="Times New Roman"/>
                <w:sz w:val="14"/>
                <w:szCs w:val="14"/>
                <w:b w:val="1"/>
                <w:bCs w:val="1"/>
                <w:color w:val="auto"/>
              </w:rPr>
              <w:t>Marketing</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720" w:type="dxa"/>
            <w:vAlign w:val="bottom"/>
          </w:tcPr>
          <w:p>
            <w:pPr>
              <w:jc w:val="center"/>
              <w:ind w:left="204"/>
              <w:spacing w:after="0" w:line="157" w:lineRule="exact"/>
              <w:rPr>
                <w:sz w:val="20"/>
                <w:szCs w:val="20"/>
                <w:color w:val="auto"/>
              </w:rPr>
            </w:pPr>
            <w:r>
              <w:rPr>
                <w:rFonts w:ascii="Times New Roman" w:cs="Times New Roman" w:eastAsia="Times New Roman" w:hAnsi="Times New Roman"/>
                <w:sz w:val="14"/>
                <w:szCs w:val="14"/>
                <w:b w:val="1"/>
                <w:bCs w:val="1"/>
                <w:color w:val="auto"/>
                <w:w w:val="98"/>
              </w:rPr>
              <w:t>Trade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8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280"/>
              <w:spacing w:after="0" w:line="123" w:lineRule="exact"/>
              <w:rPr>
                <w:sz w:val="20"/>
                <w:szCs w:val="20"/>
                <w:color w:val="auto"/>
              </w:rPr>
            </w:pPr>
            <w:r>
              <w:rPr>
                <w:rFonts w:ascii="Times New Roman" w:cs="Times New Roman" w:eastAsia="Times New Roman" w:hAnsi="Times New Roman"/>
                <w:sz w:val="14"/>
                <w:szCs w:val="14"/>
                <w:b w:val="1"/>
                <w:bCs w:val="1"/>
                <w:color w:val="auto"/>
              </w:rPr>
              <w:t>Relationships</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23" w:lineRule="exact"/>
              <w:rPr>
                <w:sz w:val="20"/>
                <w:szCs w:val="20"/>
                <w:color w:val="auto"/>
              </w:rPr>
            </w:pPr>
            <w:r>
              <w:rPr>
                <w:rFonts w:ascii="Times New Roman" w:cs="Times New Roman" w:eastAsia="Times New Roman" w:hAnsi="Times New Roman"/>
                <w:sz w:val="14"/>
                <w:szCs w:val="14"/>
                <w:b w:val="1"/>
                <w:bCs w:val="1"/>
                <w:color w:val="auto"/>
              </w:rPr>
              <w:t>Allowances</w:t>
            </w:r>
          </w:p>
        </w:tc>
        <w:tc>
          <w:tcPr>
            <w:tcW w:w="1200" w:type="dxa"/>
            <w:vAlign w:val="bottom"/>
            <w:gridSpan w:val="3"/>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Supply Contracts</w:t>
            </w:r>
          </w:p>
        </w:tc>
        <w:tc>
          <w:tcPr>
            <w:tcW w:w="1040" w:type="dxa"/>
            <w:vAlign w:val="bottom"/>
          </w:tcPr>
          <w:p>
            <w:pPr>
              <w:jc w:val="center"/>
              <w:ind w:left="164"/>
              <w:spacing w:after="0" w:line="123" w:lineRule="exact"/>
              <w:rPr>
                <w:sz w:val="20"/>
                <w:szCs w:val="20"/>
                <w:color w:val="auto"/>
              </w:rPr>
            </w:pPr>
            <w:r>
              <w:rPr>
                <w:rFonts w:ascii="Times New Roman" w:cs="Times New Roman" w:eastAsia="Times New Roman" w:hAnsi="Times New Roman"/>
                <w:sz w:val="14"/>
                <w:szCs w:val="14"/>
                <w:b w:val="1"/>
                <w:bCs w:val="1"/>
                <w:color w:val="auto"/>
                <w:w w:val="98"/>
              </w:rPr>
              <w:t>Partnerships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20" w:type="dxa"/>
            <w:vAlign w:val="bottom"/>
          </w:tcPr>
          <w:p>
            <w:pPr>
              <w:jc w:val="center"/>
              <w:ind w:left="204"/>
              <w:spacing w:after="0" w:line="123" w:lineRule="exact"/>
              <w:rPr>
                <w:sz w:val="20"/>
                <w:szCs w:val="20"/>
                <w:color w:val="auto"/>
              </w:rPr>
            </w:pPr>
            <w:r>
              <w:rPr>
                <w:rFonts w:ascii="Times New Roman" w:cs="Times New Roman" w:eastAsia="Times New Roman" w:hAnsi="Times New Roman"/>
                <w:sz w:val="14"/>
                <w:szCs w:val="14"/>
                <w:b w:val="1"/>
                <w:bCs w:val="1"/>
                <w:color w:val="auto"/>
                <w:w w:val="98"/>
              </w:rPr>
              <w:t>Names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560" w:type="dxa"/>
            <w:vAlign w:val="bottom"/>
            <w:tcBorders>
              <w:top w:val="single" w:sz="8" w:color="auto"/>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4"/>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44"/>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24"/>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24"/>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24"/>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24"/>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 xml:space="preserve">Note 12 — </w:t>
      </w:r>
      <w:r>
        <w:rPr>
          <w:rFonts w:ascii="Times New Roman" w:cs="Times New Roman" w:eastAsia="Times New Roman" w:hAnsi="Times New Roman"/>
          <w:sz w:val="18"/>
          <w:szCs w:val="18"/>
          <w:b w:val="1"/>
          <w:bCs w:val="1"/>
          <w:i w:val="1"/>
          <w:iCs w:val="1"/>
          <w:color w:val="auto"/>
        </w:rPr>
        <w:t>Long-term Debt and Finance Leases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Long-term debt and finance leases consisted of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4"/>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rates)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 %</w:t>
            </w: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4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3"/>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Recourse debt: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Notes, due 2028</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Pr>
          <w:p>
            <w:pPr>
              <w:spacing w:after="0"/>
              <w:rPr>
                <w:sz w:val="19"/>
                <w:szCs w:val="19"/>
                <w:color w:val="auto"/>
              </w:rPr>
            </w:pPr>
          </w:p>
        </w:tc>
        <w:tc>
          <w:tcPr>
            <w:tcW w:w="44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5.750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Notes, due 2029</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5.250</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Notes, due 2029</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3.375</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Notes, due 2029</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5.750</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Notes, due 2031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3.625</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Notes, due 2032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3.875</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Notes, due 2033</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6.000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Notes, due 2034</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6.250</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Notes, due 2034</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5.750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Notes, due 2036</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6.000</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Senior Notes, due 2048</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2.750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Secured First Lien Notes, due 2025</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2.000</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Secured First Lien Notes, due 2027</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2.450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Secured First Lien Notes, due 2029</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4.450</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Secured First Lien Notes, due 2030</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4.734</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Secured First Lien Notes, due 2033</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7.000</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Secured First Lien Notes, due 2035</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5.407</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Term Loan B, due 2031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SOFR + 1.750</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Tax-exempt bonds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4.000 - 4.750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 Wharton TEF loan, due 2045</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3.000</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Cedar Bayou 5 TEF loan, due 2045</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3.000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Greens Bayou 6 TEF loan, due 2045</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3.000</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6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Subtotal recourse debt</w:t>
            </w: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16,576</w:t>
            </w:r>
          </w:p>
        </w:tc>
        <w:tc>
          <w:tcPr>
            <w:tcW w:w="1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8"/>
              </w:rPr>
              <w:t>various</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Subtotal long-term debt and finance leases (including current maturities)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Less current maturities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Less debt issuance costs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Discounts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6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long-term debt and finance leases</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16,412</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Debt includes the following discounts:</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66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6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gridSpan w:val="5"/>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gridSpan w:val="2"/>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First Lien Notes, due 2027, 2029 and 2033</w:t>
            </w:r>
          </w:p>
        </w:tc>
        <w:tc>
          <w:tcPr>
            <w:tcW w:w="3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24"/>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Term Loan B, due 2031</w:t>
            </w: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2"/>
        </w:trPr>
        <w:tc>
          <w:tcPr>
            <w:tcW w:w="6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discounts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5500"/>
              <w:spacing w:after="0"/>
              <w:rPr>
                <w:sz w:val="20"/>
                <w:szCs w:val="20"/>
                <w:color w:val="auto"/>
              </w:rPr>
            </w:pPr>
            <w:r>
              <w:rPr>
                <w:rFonts w:ascii="Times New Roman" w:cs="Times New Roman" w:eastAsia="Times New Roman" w:hAnsi="Times New Roman"/>
                <w:sz w:val="18"/>
                <w:szCs w:val="18"/>
                <w:color w:val="auto"/>
              </w:rPr>
              <w:t>126</w:t>
            </w: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6"/>
        </w:trPr>
        <w:tc>
          <w:tcPr>
            <w:tcW w:w="66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66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32"/>
        </w:trPr>
        <w:tc>
          <w:tcPr>
            <w:tcW w:w="99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Consolidated Annual Maturities</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16"/>
        </w:trPr>
        <w:tc>
          <w:tcPr>
            <w:tcW w:w="99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As of December 31, 2025, annual payments based on the maturities of NRG’s debt and finance leases are expected to be as follows:</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7"/>
        </w:trPr>
        <w:tc>
          <w:tcPr>
            <w:tcW w:w="9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
        </w:trPr>
        <w:tc>
          <w:tcPr>
            <w:tcW w:w="9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4"/>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24"/>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24"/>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w:t>
            </w:r>
          </w:p>
        </w:tc>
      </w:tr>
      <w:tr>
        <w:trPr>
          <w:trHeight w:val="224"/>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24"/>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11,504</w:t>
            </w:r>
          </w:p>
        </w:tc>
      </w:tr>
      <w:tr>
        <w:trPr>
          <w:trHeight w:val="242"/>
        </w:trPr>
        <w:tc>
          <w:tcPr>
            <w:tcW w:w="9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16,600</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Recourse Debt</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Issuance of Unsecured Notes and Secured Notes</w:t>
      </w:r>
    </w:p>
    <w:p>
      <w:pPr>
        <w:spacing w:after="0" w:line="1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October 8, 2025, the Company issued $3.65 billion in aggregate principal amount of the New Unsecured Notes. The New Unsecured Notes are senior unsecured obligations of the Company and are guaranteed by its wholly-owned U.S. subsidiaries that guarantee the term loans under the Senior Credit Facility. Interest on the 2034 Notes is paid semi-annually beginning on July 15, 2026 until the maturity date of January 15, 2034. Interest on the 2036 Notes is paid semi-annually beginning on July 15, 2026 until the maturity date of January 15, 2036.</w:t>
      </w:r>
    </w:p>
    <w:p>
      <w:pPr>
        <w:spacing w:after="0" w:line="78"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On October 8, 2025, the Company also issued $1.25 billion in aggregate principal amount of the New Secured Notes. The New Secured Notes are senior secured obligations of the Company and are guaranteed by its wholly-owned U.S. subsidiaries that guarantee the term loans under the Senior Credit Facility. The New Secured Notes are secured by a first priority security interest in the same collateral that is pledged for the benefit of the lenders under the Senior Credit Facility, which collateral consists of a substantial portion of the property and assets owned by the Company and the guarantors. Interest on the 2030 Notes is paid semi-annually beginning on April 15, 2026 until the maturity date of October 15, 2030. Interest on the 2035 Notes is paid semi-annually beginning on April 15, 2026 until the maturity date of October 15, 2035.</w:t>
      </w:r>
    </w:p>
    <w:p>
      <w:pPr>
        <w:spacing w:after="0" w:line="8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used the net proceeds from the New Unsecured Notes and a portion of the net proceeds from the New Secured Notes to partially fund the cash portion of the purchase price of the acquisition of the LSP Portfolio, which closed on January 30, 2026. In addition, the Company used a portion of the net proceeds from the 2035 Notes to repay in full $500 million aggregate principal amount of its 2.000% Senior Secured Notes due 2025 on the maturity date of December 2, 2025.</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Senior Secured Note Redemption</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December 2, 2025, the Company redeemed $500 million in aggregate principal amount of its 2.000% Senior Secured Notes due 2025, at a redemption price equal to 100.000% for $505 million, which included the payment of $5 million of accrued interest, using part of the net proceeds from the offering of the 2035 Notes.</w:t>
      </w:r>
    </w:p>
    <w:p>
      <w:pPr>
        <w:spacing w:after="0" w:line="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Senior Note Redemptions</w:t>
      </w:r>
    </w:p>
    <w:p>
      <w:pPr>
        <w:spacing w:after="0" w:line="1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2024, the Company redeemed $375 million in aggregate principal amount of its 6.625% Senior Notes due 2027, at a redemption price equal to 100.000% for $382 million, which included the payment of $7 million of accrued interest, using the net proceeds from the offering of the Notes and cash on hand. In connection with the redemption, the Company wrote-off $1 million of previously deferred financing costs and other fees, which was recorded to loss on debt extinguishment.</w:t>
      </w:r>
    </w:p>
    <w:p>
      <w:pPr>
        <w:spacing w:after="0" w:line="7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2023, the Company redeemed $620 million in aggregate principal amount of its 3.875% Senior Notes, due 2032, for $509 million, which included the payment of $7 million of accrued interest, using cash on hand at an average early redemption percentage of 81%. In connection with the redemption, a $109 million gain on debt extinguishment was recorded, which included the write-off of previously deferred financing costs and other fees of $9 million.</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Senior Secured Bridge Facility</w:t>
      </w:r>
    </w:p>
    <w:p>
      <w:pPr>
        <w:spacing w:after="0" w:line="1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connection with the acquisition of the LSP Portfolio, the Company entered into a commitment letter for a senior secured bridge facility with certain financial institutions in a principal amount not to exceed $4.4 billion for the purposes of paying a portion of the cash consideration for the acquisition and related fees and expenses. The Bridge Facility was terminated on October 8, 2025 following the issuance of the New Unsecured Notes and the New Secured Notes.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27" w:name="page128"/>
    <w:bookmarkEnd w:id="127"/>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Senior Credit Facility</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Amendment to Term Loan</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On July 22, 2025, the Company and APX Group LLC, as borrowers, and certain subsidiaries of the Company, as guarantors, entered into the Fifteenth Amendment with, among others, the Agent, and certain financial institutions, as lenders, which amended the Credit Agreement.</w:t>
      </w:r>
    </w:p>
    <w:p>
      <w:pPr>
        <w:spacing w:after="0" w:line="6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Fifteenth Amendment amended the Credit Agreement by adding a new incremental Term Loan B in an aggregate principal amount of $1.0 billion (the “Incremental Term Loan B Facility” and the loans thereunder, the “Incremental Term Loans”), which Incremental Term Loan B Facility is fungible with the Company’s existing Term Loan B facility (the “Existing Term Loan B Facility”). The terms of the Incremental Term Loans are identical to those applicable to the Company’s Existing Term Loan B Facility.</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At the Company’s election, the Incremental Term Loans will bear interest at a rate per annum equal to either: (1) a fluctuating rate equal to the highest of</w:t>
      </w:r>
    </w:p>
    <w:p>
      <w:pPr>
        <w:spacing w:after="0" w:line="44" w:lineRule="exact"/>
        <w:rPr>
          <w:sz w:val="20"/>
          <w:szCs w:val="20"/>
          <w:color w:val="auto"/>
        </w:rPr>
      </w:pPr>
    </w:p>
    <w:p>
      <w:pPr>
        <w:jc w:val="both"/>
        <w:ind w:firstLine="5"/>
        <w:spacing w:after="0" w:line="245" w:lineRule="auto"/>
        <w:tabs>
          <w:tab w:leader="none" w:pos="29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published by the Federal Reserve Bank of New York in effect on such day, plus 0.50%, (B) the rate of interest per annum publicly announced from time to time by The Wall Street Journal as the “Prime Rate” in the United States and (C) a rate of one-month Term SOFR (as defined in the Credit Agreement) plus 1.00%, in each case, plus a margin of 0.75%, or (2) Term SOFR (as defined in the Credit Agreement) (which will not be less than 0.00%) for a one-, three-, six-month or twelve-month interest period (or such other period as agreed to by the Agent and the lenders, as selected by the Company), plus a margin of 1.75%.</w:t>
      </w:r>
    </w:p>
    <w:p>
      <w:pPr>
        <w:spacing w:after="0" w:line="8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Incremental Term Loan B Facility is guaranteed by each of the Company’s subsidiaries that guarantee the Company’s Revolving Credit Facility and Existing Term Loan B Facility and is secured on a first lien basis by substantially all of the Company’s and such subsidiaries’ assets, in each case, subject to certain customary exceptions and limitations set forth in the Credit Agreement.</w:t>
      </w:r>
    </w:p>
    <w:p>
      <w:pPr>
        <w:spacing w:after="0" w:line="7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Incremental Term Loan B Facility has a final maturity date of April 16, 2031 and amortizes at a rate of 1.00% per annum in equal quarterly installments (subject to any adjustments to such amortization payments to ensure that such Incremental Term Loan B Facility is fungible for U.S. federal tax purposes with the Company’s Existing Term Loan B Facility).</w:t>
      </w:r>
    </w:p>
    <w:p>
      <w:pPr>
        <w:spacing w:after="0" w:line="7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If an event of default occurs under the Incremental Term Loan B Facility, the entire principal amount outstanding thereunder, together with all accrued unpaid interest and other amounts owing in respect thereof, may be declared immediately due and payable, subject, in certain instances, to the expiration of applicable cure periods.</w:t>
      </w:r>
    </w:p>
    <w:p>
      <w:pPr>
        <w:spacing w:after="0" w:line="7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Incremental Term Loan B Facility also provides for customary asset sale mandatory prepayments, reporting covenants and negative covenants governing dividends, investments, indebtedness, and other matters that are customary for similar term loan “B” facilities.</w:t>
      </w:r>
    </w:p>
    <w:p>
      <w:pPr>
        <w:spacing w:after="0" w:line="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May 27, 2025, the Company, as borrower, and certain of its subsidiaries, as guarantors, entered into the Fourteenth Amendment to the Credit Agreement in order to (i) increase the commitments under the Revolving Credit Facility by the Incremental Commitments to an aggregate amount equal to $4.6 billion and (ii) make certain other amendments to the Credit Agreement. The terms of the Incremental Commitments (including pricing) are identical to those applicable to, and constitute the same class as the existing commitments under, the Revolving Credit Facility.</w:t>
      </w:r>
    </w:p>
    <w:p>
      <w:pPr>
        <w:spacing w:after="0" w:line="7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As of December 31, 2025, there were no outstanding borrowings and there were $200 million in letters of credit issued under the Revolving Credit Facility. As of January 31, 2026, $2.8 billion of borrowings were outstanding.</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2048 Convertible Senior Notes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Convertible Senior Notes Redemption</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May 15, 2025, the Company issued a notice of redemption for the Convertible Senior Notes. On the Redemption Date, the Company used cash on hand to redeem $12 million in aggregate principal amount of the Convertible Senior Notes, at a redemption price equal to 100.000%. The holders of the remaining outstanding Convertible Senior Notes elected to convert their Convertible Senior Notes prior to the Redemption Date and received $220 million in cash with respect to the remaining principal amount of the Convertible Senior Notes and a total of 3,986,335 shares for the conversion premium.</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28" w:name="page129"/>
    <w:bookmarkEnd w:id="128"/>
    <w:p>
      <w:pPr>
        <w:ind w:left="400"/>
        <w:spacing w:after="0"/>
        <w:rPr>
          <w:sz w:val="20"/>
          <w:szCs w:val="20"/>
          <w:color w:val="auto"/>
        </w:rPr>
      </w:pPr>
      <w:r>
        <w:rPr>
          <w:rFonts w:ascii="Times New Roman" w:cs="Times New Roman" w:eastAsia="Times New Roman" w:hAnsi="Times New Roman"/>
          <w:sz w:val="18"/>
          <w:szCs w:val="18"/>
          <w:color w:val="auto"/>
        </w:rPr>
        <w:t>The following table details the interest expense recorded in connection with the Convertible Senior Notes: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w w:val="97"/>
              </w:rPr>
              <w:t>For the years ended December 31,</w:t>
            </w:r>
          </w:p>
        </w:tc>
        <w:tc>
          <w:tcPr>
            <w:tcW w:w="1200" w:type="dxa"/>
            <w:vAlign w:val="bottom"/>
            <w:tcBorders>
              <w:bottom w:val="single" w:sz="8" w:color="auto"/>
            </w:tcBorders>
          </w:tcPr>
          <w:p>
            <w:pPr>
              <w:spacing w:after="0"/>
              <w:rPr>
                <w:sz w:val="18"/>
                <w:szCs w:val="18"/>
                <w:color w:val="auto"/>
              </w:rPr>
            </w:pPr>
          </w:p>
        </w:tc>
      </w:tr>
      <w:tr>
        <w:trPr>
          <w:trHeight w:val="205"/>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8"/>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w:t>
            </w:r>
          </w:p>
        </w:tc>
      </w:tr>
      <w:tr>
        <w:trPr>
          <w:trHeight w:val="224"/>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discount and deferred finance costs</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w:t>
            </w:r>
          </w:p>
        </w:tc>
      </w:tr>
      <w:tr>
        <w:trPr>
          <w:trHeight w:val="242"/>
        </w:trPr>
        <w:tc>
          <w:tcPr>
            <w:tcW w:w="6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6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4"/>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Interest Rate</w:t>
            </w:r>
          </w:p>
        </w:tc>
        <w:tc>
          <w:tcPr>
            <w:tcW w:w="3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3.08 %</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3.18 %</w:t>
            </w:r>
          </w:p>
        </w:tc>
      </w:tr>
    </w:tbl>
    <w:p>
      <w:pPr>
        <w:spacing w:after="0" w:line="1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Convertible Senior Notes Repurchases</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During the year ended December 31, 2024, the Company repurchased $343 million in aggregate principal of the Convertible Senior Notes using cash of $603 million, as detailed in the table below, which resulted in a $260 million loss on debt extinguishment for the period.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221"/>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Settlement Period</w:t>
            </w:r>
          </w:p>
        </w:tc>
        <w:tc>
          <w:tcPr>
            <w:tcW w:w="340" w:type="dxa"/>
            <w:vAlign w:val="bottom"/>
          </w:tcPr>
          <w:p>
            <w:pPr>
              <w:spacing w:after="0"/>
              <w:rPr>
                <w:sz w:val="19"/>
                <w:szCs w:val="19"/>
                <w:color w:val="auto"/>
              </w:rPr>
            </w:pPr>
          </w:p>
        </w:tc>
        <w:tc>
          <w:tcPr>
            <w:tcW w:w="23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Principal Repurchased</w:t>
            </w:r>
          </w:p>
        </w:tc>
        <w:tc>
          <w:tcPr>
            <w:tcW w:w="500" w:type="dxa"/>
            <w:vAlign w:val="bottom"/>
          </w:tcPr>
          <w:p>
            <w:pPr>
              <w:spacing w:after="0"/>
              <w:rPr>
                <w:sz w:val="19"/>
                <w:szCs w:val="19"/>
                <w:color w:val="auto"/>
              </w:rPr>
            </w:pPr>
          </w:p>
        </w:tc>
        <w:tc>
          <w:tcPr>
            <w:tcW w:w="2000" w:type="dxa"/>
            <w:vAlign w:val="bottom"/>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Cash Paid</w:t>
            </w:r>
            <w:r>
              <w:rPr>
                <w:rFonts w:ascii="Times New Roman" w:cs="Times New Roman" w:eastAsia="Times New Roman" w:hAnsi="Times New Roman"/>
                <w:sz w:val="18"/>
                <w:szCs w:val="18"/>
                <w:b w:val="1"/>
                <w:bCs w:val="1"/>
                <w:color w:val="auto"/>
                <w:vertAlign w:val="superscript"/>
              </w:rPr>
              <w:t>(a)</w:t>
            </w:r>
          </w:p>
        </w:tc>
        <w:tc>
          <w:tcPr>
            <w:tcW w:w="16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Average Repurchase Percentage</w:t>
            </w:r>
          </w:p>
        </w:tc>
      </w:tr>
      <w:tr>
        <w:trPr>
          <w:trHeight w:val="217"/>
        </w:trPr>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2024</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162.356%</w:t>
            </w:r>
          </w:p>
        </w:tc>
      </w:tr>
      <w:tr>
        <w:trPr>
          <w:trHeight w:val="224"/>
        </w:trPr>
        <w:tc>
          <w:tcPr>
            <w:tcW w:w="3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April 2024</w:t>
            </w:r>
          </w:p>
        </w:tc>
        <w:tc>
          <w:tcPr>
            <w:tcW w:w="3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320" w:type="dxa"/>
            <w:vAlign w:val="bottom"/>
            <w:tcBorders>
              <w:bottom w:val="single" w:sz="8" w:color="CCEEFF"/>
            </w:tcBorders>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7"/>
              </w:rPr>
              <w:t>179.454%</w:t>
            </w:r>
          </w:p>
        </w:tc>
      </w:tr>
      <w:tr>
        <w:trPr>
          <w:trHeight w:val="242"/>
        </w:trPr>
        <w:tc>
          <w:tcPr>
            <w:tcW w:w="37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Repurchases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6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bl>
    <w:p>
      <w:pPr>
        <w:spacing w:after="0" w:line="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(a) Includes accrued interest of $1 million and $2 million for the March and April repurchases, respectively</w:t>
      </w: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Capped Call Options</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During the second quarter of 2024, the Company entered into privately negotiated capped call transactions with certain counterparties to effectively lock in a conversion premium of $257 million on the remaining $232 million in aggregate principal amount of the Convertible Senior Notes. In the second quarter of 2025, the expiration date of the options was extended from June 1, 2025 to July 8, 2025. The Capped Calls were exercised and settled on July 8, 2025 in connection with the redemption of the Convertible Senior Notes. For further discussion see Note 15, </w:t>
      </w:r>
      <w:r>
        <w:rPr>
          <w:rFonts w:ascii="Times New Roman" w:cs="Times New Roman" w:eastAsia="Times New Roman" w:hAnsi="Times New Roman"/>
          <w:sz w:val="18"/>
          <w:szCs w:val="18"/>
          <w:i w:val="1"/>
          <w:iCs w:val="1"/>
          <w:color w:val="auto"/>
        </w:rPr>
        <w:t>Capital Structure.</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Senior Notes Early Redemption</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2025, the Company had the following outstanding issuances of senior notes with an early redemption feature, or Senior Notes:</w:t>
      </w:r>
    </w:p>
    <w:p>
      <w:pPr>
        <w:spacing w:after="0" w:line="109" w:lineRule="exact"/>
        <w:rPr>
          <w:sz w:val="20"/>
          <w:szCs w:val="20"/>
          <w:color w:val="auto"/>
        </w:rPr>
      </w:pPr>
    </w:p>
    <w:p>
      <w:pPr>
        <w:ind w:left="940" w:hanging="619"/>
        <w:spacing w:after="0"/>
        <w:tabs>
          <w:tab w:leader="none" w:pos="9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5.250% senior notes, issued May 24, 2019 and due June 15, 2029, or the 5.250% 2029 Senior Notes;</w:t>
      </w:r>
    </w:p>
    <w:p>
      <w:pPr>
        <w:spacing w:after="0" w:line="56" w:lineRule="exact"/>
        <w:rPr>
          <w:rFonts w:ascii="Times New Roman" w:cs="Times New Roman" w:eastAsia="Times New Roman" w:hAnsi="Times New Roman"/>
          <w:sz w:val="18"/>
          <w:szCs w:val="18"/>
          <w:color w:val="auto"/>
        </w:rPr>
      </w:pPr>
    </w:p>
    <w:p>
      <w:pPr>
        <w:ind w:left="940" w:hanging="619"/>
        <w:spacing w:after="0"/>
        <w:tabs>
          <w:tab w:leader="none" w:pos="9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5.750% senior notes, issued October 30, 2024 and due July 15, 2029, or the 5.750% 2029 Senior Notes;</w:t>
      </w:r>
    </w:p>
    <w:p>
      <w:pPr>
        <w:spacing w:after="0" w:line="56" w:lineRule="exact"/>
        <w:rPr>
          <w:rFonts w:ascii="Times New Roman" w:cs="Times New Roman" w:eastAsia="Times New Roman" w:hAnsi="Times New Roman"/>
          <w:sz w:val="18"/>
          <w:szCs w:val="18"/>
          <w:color w:val="auto"/>
        </w:rPr>
      </w:pPr>
    </w:p>
    <w:p>
      <w:pPr>
        <w:ind w:left="940" w:hanging="619"/>
        <w:spacing w:after="0"/>
        <w:tabs>
          <w:tab w:leader="none" w:pos="9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3.625% senior notes, issued December 2, 2020 and due February 15, 2031, or the 2031 Senior Notes;</w:t>
      </w:r>
    </w:p>
    <w:p>
      <w:pPr>
        <w:spacing w:after="0" w:line="56" w:lineRule="exact"/>
        <w:rPr>
          <w:rFonts w:ascii="Times New Roman" w:cs="Times New Roman" w:eastAsia="Times New Roman" w:hAnsi="Times New Roman"/>
          <w:sz w:val="18"/>
          <w:szCs w:val="18"/>
          <w:color w:val="auto"/>
        </w:rPr>
      </w:pPr>
    </w:p>
    <w:p>
      <w:pPr>
        <w:ind w:left="940" w:hanging="619"/>
        <w:spacing w:after="0"/>
        <w:tabs>
          <w:tab w:leader="none" w:pos="9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3.875% senior notes, issued August 23, 2021 and due February 15, 2032, or the 2032 Senior Notes;</w:t>
      </w:r>
    </w:p>
    <w:p>
      <w:pPr>
        <w:spacing w:after="0" w:line="56" w:lineRule="exact"/>
        <w:rPr>
          <w:rFonts w:ascii="Times New Roman" w:cs="Times New Roman" w:eastAsia="Times New Roman" w:hAnsi="Times New Roman"/>
          <w:sz w:val="18"/>
          <w:szCs w:val="18"/>
          <w:color w:val="auto"/>
        </w:rPr>
      </w:pPr>
    </w:p>
    <w:p>
      <w:pPr>
        <w:ind w:left="940" w:hanging="619"/>
        <w:spacing w:after="0"/>
        <w:tabs>
          <w:tab w:leader="none" w:pos="9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6.000% senior notes, issued October 30, 2024 and due February 1, 2033, or the 2033 Senior Notes;</w:t>
      </w:r>
    </w:p>
    <w:p>
      <w:pPr>
        <w:spacing w:after="0" w:line="56" w:lineRule="exact"/>
        <w:rPr>
          <w:rFonts w:ascii="Times New Roman" w:cs="Times New Roman" w:eastAsia="Times New Roman" w:hAnsi="Times New Roman"/>
          <w:sz w:val="18"/>
          <w:szCs w:val="18"/>
          <w:color w:val="auto"/>
        </w:rPr>
      </w:pPr>
    </w:p>
    <w:p>
      <w:pPr>
        <w:ind w:left="940" w:hanging="619"/>
        <w:spacing w:after="0"/>
        <w:tabs>
          <w:tab w:leader="none" w:pos="9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6.250% senior notes, issued October 30, 2024 and due November 1, 2034, or the 6.250% 2034 Senior Notes;</w:t>
      </w:r>
    </w:p>
    <w:p>
      <w:pPr>
        <w:spacing w:after="0" w:line="56" w:lineRule="exact"/>
        <w:rPr>
          <w:rFonts w:ascii="Times New Roman" w:cs="Times New Roman" w:eastAsia="Times New Roman" w:hAnsi="Times New Roman"/>
          <w:sz w:val="18"/>
          <w:szCs w:val="18"/>
          <w:color w:val="auto"/>
        </w:rPr>
      </w:pPr>
    </w:p>
    <w:p>
      <w:pPr>
        <w:ind w:left="940" w:hanging="619"/>
        <w:spacing w:after="0"/>
        <w:tabs>
          <w:tab w:leader="none" w:pos="9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5.750% senior notes, issued October 8, 2025 and due January 15, 2034, or the 5.750% 2034 Senior Notes; and</w:t>
      </w:r>
    </w:p>
    <w:p>
      <w:pPr>
        <w:spacing w:after="0" w:line="56" w:lineRule="exact"/>
        <w:rPr>
          <w:rFonts w:ascii="Times New Roman" w:cs="Times New Roman" w:eastAsia="Times New Roman" w:hAnsi="Times New Roman"/>
          <w:sz w:val="18"/>
          <w:szCs w:val="18"/>
          <w:color w:val="auto"/>
        </w:rPr>
      </w:pPr>
    </w:p>
    <w:p>
      <w:pPr>
        <w:ind w:left="940" w:hanging="619"/>
        <w:spacing w:after="0"/>
        <w:tabs>
          <w:tab w:leader="none" w:pos="9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6.000% senior notes, issued October 8, 2025 and due January 15, 2036, or the 2036 Senior Notes.</w:t>
      </w:r>
    </w:p>
    <w:p>
      <w:pPr>
        <w:spacing w:after="0" w:line="109"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The indentures and the forms of notes provide, among other things, that the Senior Notes will be senior unsecured obligations of the Company. The indentures also provide for customary events of default, which include, among others: nonpayment of principal or interest; breach of other covenants in the indentures; defaults in failure to pay certain other indebtedness; the rendering of judgments to pay certain amounts of money against the Company and certain of its subsidiaries; the failure of certain guarantees to be enforceable; and certain events of bankruptcy or insolvency. Generally, if an event of default occurs and continues, the trustee or the holders of at least 25% or 30% (depending on the series of Senior Notes) in principal amount of the then-outstanding series of Senior Notes may declare all of the Senior Notes of such series to be due and payable immediately. The terms of the indentures contain certain restrictions on incurring secured debt and consolidating, merging or transferring all or substantially all of the Company’s assets. Interest is payable semi-annually on the Senior Notes until their maturity dates.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29" w:name="page130"/>
    <w:bookmarkEnd w:id="129"/>
    <w:p>
      <w:pPr>
        <w:ind w:left="400"/>
        <w:spacing w:after="0"/>
        <w:rPr>
          <w:sz w:val="20"/>
          <w:szCs w:val="20"/>
          <w:color w:val="auto"/>
        </w:rPr>
      </w:pPr>
      <w:r>
        <w:rPr>
          <w:rFonts w:ascii="Times New Roman" w:cs="Times New Roman" w:eastAsia="Times New Roman" w:hAnsi="Times New Roman"/>
          <w:sz w:val="18"/>
          <w:szCs w:val="18"/>
          <w:i w:val="1"/>
          <w:iCs w:val="1"/>
          <w:color w:val="auto"/>
        </w:rPr>
        <w:t>5.250% 2029 Senior Notes</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may redeem some or all of the notes at redemption prices expressed as percentages of principal amount as set forth in the following table, plus accrued and unpaid interest on the notes redeemed up to the redemption date: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4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Redemption Period</w:t>
            </w:r>
          </w:p>
        </w:tc>
        <w:tc>
          <w:tcPr>
            <w:tcW w:w="1800" w:type="dxa"/>
            <w:vAlign w:val="bottom"/>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Redemption Percentage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80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June 15,</w:t>
            </w:r>
          </w:p>
        </w:tc>
        <w:tc>
          <w:tcPr>
            <w:tcW w:w="88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2026 to June 14, 2027</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100.875 %</w:t>
            </w:r>
          </w:p>
        </w:tc>
      </w:tr>
      <w:tr>
        <w:trPr>
          <w:trHeight w:val="228"/>
        </w:trPr>
        <w:tc>
          <w:tcPr>
            <w:tcW w:w="2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w w:val="96"/>
              </w:rPr>
              <w:t>June 15,</w:t>
            </w:r>
          </w:p>
        </w:tc>
        <w:tc>
          <w:tcPr>
            <w:tcW w:w="8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2027 and thereafter</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5.750% 2029 Senior Notes</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may redeem some or all of the notes at redemption prices expressed as percentages of principal amount as set forth in the following table, plus accrued and unpaid interest on the notes redeemed up to the redemption date: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4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Redemption Period</w:t>
            </w:r>
          </w:p>
        </w:tc>
        <w:tc>
          <w:tcPr>
            <w:tcW w:w="1800" w:type="dxa"/>
            <w:vAlign w:val="bottom"/>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Redemption Percentage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80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July 15,</w:t>
            </w:r>
          </w:p>
        </w:tc>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to July 14, 2026</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101.438 %</w:t>
            </w:r>
          </w:p>
        </w:tc>
      </w:tr>
      <w:tr>
        <w:trPr>
          <w:trHeight w:val="228"/>
        </w:trPr>
        <w:tc>
          <w:tcPr>
            <w:tcW w:w="2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98"/>
              </w:rPr>
              <w:t>July 15,</w:t>
            </w:r>
          </w:p>
        </w:tc>
        <w:tc>
          <w:tcPr>
            <w:tcW w:w="8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 and thereafter</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1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2031 Senior Notes</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may redeem some or all of the notes at redemption prices expressed as percentages of principal amount as set forth in the following table, plus accrued and unpaid interest on the notes redeemed up to the redemption date: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4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Redemption Period</w:t>
            </w:r>
          </w:p>
        </w:tc>
        <w:tc>
          <w:tcPr>
            <w:tcW w:w="1800" w:type="dxa"/>
            <w:vAlign w:val="bottom"/>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Redemption Percentage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80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15, 2026 to February 14, 2027</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101.813 %</w:t>
            </w:r>
          </w:p>
        </w:tc>
      </w:tr>
      <w:tr>
        <w:trPr>
          <w:trHeight w:val="224"/>
        </w:trPr>
        <w:tc>
          <w:tcPr>
            <w:tcW w:w="20" w:type="dxa"/>
            <w:vAlign w:val="bottom"/>
          </w:tcPr>
          <w:p>
            <w:pPr>
              <w:spacing w:after="0"/>
              <w:rPr>
                <w:sz w:val="19"/>
                <w:szCs w:val="19"/>
                <w:color w:val="auto"/>
              </w:rPr>
            </w:pPr>
          </w:p>
        </w:tc>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February 15, 2027 to February 14, 2028</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101.208 %</w:t>
            </w:r>
          </w:p>
        </w:tc>
      </w:tr>
      <w:tr>
        <w:trPr>
          <w:trHeight w:val="224"/>
        </w:trPr>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February 15,</w:t>
            </w:r>
          </w:p>
        </w:tc>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to February 14, 2029</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100.604 %</w:t>
            </w:r>
          </w:p>
        </w:tc>
      </w:tr>
      <w:tr>
        <w:trPr>
          <w:trHeight w:val="228"/>
        </w:trPr>
        <w:tc>
          <w:tcPr>
            <w:tcW w:w="2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w w:val="97"/>
              </w:rPr>
              <w:t>February 15,</w:t>
            </w:r>
          </w:p>
        </w:tc>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2032 Senior Notes</w:t>
      </w:r>
    </w:p>
    <w:p>
      <w:pPr>
        <w:spacing w:after="0" w:line="111"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At any time prior to February 15, 2027, the Company may redeem all or a part of the 2032 Senior Notes, at a redemption price equal to 100% of the principal amount of the notes redeemed, plus accrued and unpaid interest to the redemption date, plus a premium. The premium is the greater of: (i) 1% of the principal amount of the notes; or (ii) the excess of (A) the present value of (1) the redemption price of the note at February 15, 2027 (such redemption price being set forth in the table appearing below in the column “Redemption Percentage (If Sustainability Performance Target has not been satisfied and/or confirmed by External Verifier)” unless the Sustainability Performance Target has been satisfied in respect of the year ended December 31, 2025 and the Company has provided confirmation thereof to the trustee together with a related confirmation by the External Verifier by the date that is at least 15 days prior to August 15, 2026 in which case the redemption price shall be as set forth in the column “Redemption Percentage (If Sustainability Performance Target has been satisfied and confirmed by External Verifier)”) plus (2) interest payments due on the note through February 15, 2027 (excluding accrued but unpaid interest to the redemption date) computed using a discount rate equal to the Treasury Rate as of such redemption date plus 0.50%, over (B) the principal amount of the note. In addition, on or after February 15, 2027, the Company may redeem some or all of the notes at redemption prices expressed as percentages of principal amount as set forth in the following table during the twelve-month period beginning on February 15 of the years indicated below, plus accrued and unpaid interest on the notes redeemed up to the redemption date: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Redemption Percentage</w:t>
            </w:r>
          </w:p>
        </w:tc>
        <w:tc>
          <w:tcPr>
            <w:tcW w:w="3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Redemption Percentage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5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Year</w:t>
            </w:r>
          </w:p>
        </w:tc>
        <w:tc>
          <w:tcPr>
            <w:tcW w:w="392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(If Sustainability Performance Target has been</w:t>
            </w:r>
          </w:p>
        </w:tc>
        <w:tc>
          <w:tcPr>
            <w:tcW w:w="37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(If Sustainability Performance Target has not been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gridSpan w:val="2"/>
            <w:vMerge w:val="continue"/>
          </w:tcPr>
          <w:p>
            <w:pPr>
              <w:spacing w:after="0"/>
              <w:rPr>
                <w:sz w:val="14"/>
                <w:szCs w:val="14"/>
                <w:color w:val="auto"/>
              </w:rPr>
            </w:pPr>
          </w:p>
        </w:tc>
        <w:tc>
          <w:tcPr>
            <w:tcW w:w="3920" w:type="dxa"/>
            <w:vAlign w:val="bottom"/>
            <w:gridSpan w:val="2"/>
          </w:tcPr>
          <w:p>
            <w:pPr>
              <w:jc w:val="center"/>
              <w:ind w:right="140"/>
              <w:spacing w:after="0" w:line="171" w:lineRule="exact"/>
              <w:rPr>
                <w:sz w:val="20"/>
                <w:szCs w:val="20"/>
                <w:color w:val="auto"/>
              </w:rPr>
            </w:pPr>
            <w:r>
              <w:rPr>
                <w:rFonts w:ascii="Times New Roman" w:cs="Times New Roman" w:eastAsia="Times New Roman" w:hAnsi="Times New Roman"/>
                <w:sz w:val="16"/>
                <w:szCs w:val="16"/>
                <w:b w:val="1"/>
                <w:bCs w:val="1"/>
                <w:color w:val="auto"/>
                <w:w w:val="98"/>
              </w:rPr>
              <w:t>satisfied and confirmed by External Verifier)</w:t>
            </w:r>
          </w:p>
        </w:tc>
        <w:tc>
          <w:tcPr>
            <w:tcW w:w="378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8"/>
              </w:rPr>
              <w:t>satisfied and/or confirmed by External Verifier)</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101.938 %</w:t>
            </w:r>
          </w:p>
        </w:tc>
        <w:tc>
          <w:tcPr>
            <w:tcW w:w="140" w:type="dxa"/>
            <w:vAlign w:val="bottom"/>
            <w:shd w:val="clear" w:color="auto" w:fill="CCEEFF"/>
          </w:tcPr>
          <w:p>
            <w:pPr>
              <w:spacing w:after="0"/>
              <w:rPr>
                <w:sz w:val="18"/>
                <w:szCs w:val="18"/>
                <w:color w:val="auto"/>
              </w:rPr>
            </w:pPr>
          </w:p>
        </w:tc>
        <w:tc>
          <w:tcPr>
            <w:tcW w:w="3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102.188 %</w:t>
            </w:r>
          </w:p>
        </w:tc>
        <w:tc>
          <w:tcPr>
            <w:tcW w:w="0" w:type="dxa"/>
            <w:vAlign w:val="bottom"/>
          </w:tcPr>
          <w:p>
            <w:pPr>
              <w:spacing w:after="0"/>
              <w:rPr>
                <w:sz w:val="1"/>
                <w:szCs w:val="1"/>
                <w:color w:val="auto"/>
              </w:rPr>
            </w:pPr>
          </w:p>
        </w:tc>
      </w:tr>
      <w:tr>
        <w:trPr>
          <w:trHeight w:val="224"/>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101.292 %</w:t>
            </w:r>
          </w:p>
        </w:tc>
        <w:tc>
          <w:tcPr>
            <w:tcW w:w="140" w:type="dxa"/>
            <w:vAlign w:val="bottom"/>
          </w:tcPr>
          <w:p>
            <w:pPr>
              <w:spacing w:after="0"/>
              <w:rPr>
                <w:sz w:val="19"/>
                <w:szCs w:val="19"/>
                <w:color w:val="auto"/>
              </w:rPr>
            </w:pPr>
          </w:p>
        </w:tc>
        <w:tc>
          <w:tcPr>
            <w:tcW w:w="3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101.458 %</w:t>
            </w:r>
          </w:p>
        </w:tc>
        <w:tc>
          <w:tcPr>
            <w:tcW w:w="0" w:type="dxa"/>
            <w:vAlign w:val="bottom"/>
          </w:tcPr>
          <w:p>
            <w:pPr>
              <w:spacing w:after="0"/>
              <w:rPr>
                <w:sz w:val="1"/>
                <w:szCs w:val="1"/>
                <w:color w:val="auto"/>
              </w:rPr>
            </w:pPr>
          </w:p>
        </w:tc>
      </w:tr>
      <w:tr>
        <w:trPr>
          <w:trHeight w:val="224"/>
        </w:trPr>
        <w:tc>
          <w:tcPr>
            <w:tcW w:w="3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100.646 %</w:t>
            </w:r>
          </w:p>
        </w:tc>
        <w:tc>
          <w:tcPr>
            <w:tcW w:w="140" w:type="dxa"/>
            <w:vAlign w:val="bottom"/>
            <w:shd w:val="clear" w:color="auto" w:fill="CCEEFF"/>
          </w:tcPr>
          <w:p>
            <w:pPr>
              <w:spacing w:after="0"/>
              <w:rPr>
                <w:sz w:val="19"/>
                <w:szCs w:val="19"/>
                <w:color w:val="auto"/>
              </w:rPr>
            </w:pPr>
          </w:p>
        </w:tc>
        <w:tc>
          <w:tcPr>
            <w:tcW w:w="3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100.729 %</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3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100.000 %</w:t>
            </w:r>
          </w:p>
        </w:tc>
        <w:tc>
          <w:tcPr>
            <w:tcW w:w="140" w:type="dxa"/>
            <w:vAlign w:val="bottom"/>
          </w:tcPr>
          <w:p>
            <w:pPr>
              <w:spacing w:after="0"/>
              <w:rPr>
                <w:sz w:val="19"/>
                <w:szCs w:val="19"/>
                <w:color w:val="auto"/>
              </w:rPr>
            </w:pPr>
          </w:p>
        </w:tc>
        <w:tc>
          <w:tcPr>
            <w:tcW w:w="3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100.000 %</w:t>
            </w:r>
          </w:p>
        </w:tc>
        <w:tc>
          <w:tcPr>
            <w:tcW w:w="0" w:type="dxa"/>
            <w:vAlign w:val="bottom"/>
          </w:tcPr>
          <w:p>
            <w:pPr>
              <w:spacing w:after="0"/>
              <w:rPr>
                <w:sz w:val="1"/>
                <w:szCs w:val="1"/>
                <w:color w:val="auto"/>
              </w:rPr>
            </w:pPr>
          </w:p>
        </w:tc>
      </w:tr>
      <w:tr>
        <w:trPr>
          <w:trHeight w:val="94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780" w:type="dxa"/>
            <w:vAlign w:val="bottom"/>
          </w:tcPr>
          <w:p>
            <w:pPr>
              <w:jc w:val="right"/>
              <w:ind w:right="1476"/>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200" w:type="dxa"/>
            <w:vAlign w:val="bottom"/>
            <w:tcBorders>
              <w:bottom w:val="single" w:sz="8" w:color="9A9A9A"/>
            </w:tcBorders>
          </w:tcPr>
          <w:p>
            <w:pPr>
              <w:spacing w:after="0"/>
              <w:rPr>
                <w:sz w:val="9"/>
                <w:szCs w:val="9"/>
                <w:color w:val="auto"/>
              </w:rPr>
            </w:pPr>
          </w:p>
        </w:tc>
        <w:tc>
          <w:tcPr>
            <w:tcW w:w="37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7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30" w:name="page131"/>
    <w:bookmarkEnd w:id="130"/>
    <w:p>
      <w:pPr>
        <w:ind w:left="400"/>
        <w:spacing w:after="0"/>
        <w:rPr>
          <w:sz w:val="20"/>
          <w:szCs w:val="20"/>
          <w:color w:val="auto"/>
        </w:rPr>
      </w:pPr>
      <w:r>
        <w:rPr>
          <w:rFonts w:ascii="Times New Roman" w:cs="Times New Roman" w:eastAsia="Times New Roman" w:hAnsi="Times New Roman"/>
          <w:sz w:val="18"/>
          <w:szCs w:val="18"/>
          <w:i w:val="1"/>
          <w:iCs w:val="1"/>
          <w:color w:val="auto"/>
        </w:rPr>
        <w:t>2033 Senior Notes</w:t>
      </w:r>
    </w:p>
    <w:p>
      <w:pPr>
        <w:spacing w:after="0" w:line="111"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At any time prior to November 1, 2027, the Company may redeem all or a part of the 2033 Senior Notes, at a redemption price equal to 100% of the principal amount of the notes redeemed, plus accrued and unpaid interest to the redemption date, plus a premium. The premium is the greater of: (i) 1% of the principal amount of the note; or (ii) the excess of the present value of 103.000% of the note, plus interest payments due on the note through November 1, 2027 (excluding accrued but unpaid interest to the redemption date), computed using a discount rate equal to the Treasury Rate as of such redemption date plus 0.50% over the principal amount of the note. In addition, on or after November 1, 2027, the Company may redeem some or all of the notes at redemption prices expressed as percentages of principal amount as set forth in the following table, plus accrued and unpaid interest on the notes redeemed up to the redemption date: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4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Redemption Period</w:t>
            </w:r>
          </w:p>
        </w:tc>
        <w:tc>
          <w:tcPr>
            <w:tcW w:w="1800" w:type="dxa"/>
            <w:vAlign w:val="bottom"/>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Redemption Percentage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80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 2027 to October 31, 2028</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103.000 %</w:t>
            </w:r>
          </w:p>
        </w:tc>
      </w:tr>
      <w:tr>
        <w:trPr>
          <w:trHeight w:val="224"/>
        </w:trPr>
        <w:tc>
          <w:tcPr>
            <w:tcW w:w="2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w w:val="97"/>
              </w:rPr>
              <w:t>November 1,</w:t>
            </w:r>
          </w:p>
        </w:tc>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 to October 31, 2029</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101.500 %</w:t>
            </w:r>
          </w:p>
        </w:tc>
      </w:tr>
      <w:tr>
        <w:trPr>
          <w:trHeight w:val="224"/>
        </w:trPr>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November 1,</w:t>
            </w:r>
          </w:p>
        </w:tc>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1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6.250% 2034 Senior Notes</w:t>
      </w:r>
    </w:p>
    <w:p>
      <w:pPr>
        <w:spacing w:after="0" w:line="111"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At any time prior to November 1, 2029, the Company may redeem all or a part of the 6.250% 2034 Senior Notes, at a redemption price equal to 100% of the principal amount of the notes redeemed, plus accrued and unpaid interest to the redemption date, plus a premium. The premium is the greater of: (i) 1% of the principal amount of the note; or (ii) the excess of the present value of 103.125% of the note, plus interest payments due on the note through November 1, 2029 (excluding accrued but unpaid interest to the redemption date), computed using a discount rate equal to the Treasury Rate as of such redemption date plus 0.50% over the principal amount of the note. In addition, on or after November 1, 2029, the Company may redeem some or all of the notes at redemption prices expressed as percentages of principal amount as set forth in the following table, plus accrued and unpaid interest on the notes redeemed up to the redemption date: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4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Redemption Period</w:t>
            </w:r>
          </w:p>
        </w:tc>
        <w:tc>
          <w:tcPr>
            <w:tcW w:w="1800" w:type="dxa"/>
            <w:vAlign w:val="bottom"/>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Redemption Percentage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80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 2029 to October 31, 2030</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103.125 %</w:t>
            </w:r>
          </w:p>
        </w:tc>
      </w:tr>
      <w:tr>
        <w:trPr>
          <w:trHeight w:val="224"/>
        </w:trPr>
        <w:tc>
          <w:tcPr>
            <w:tcW w:w="2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w w:val="97"/>
              </w:rPr>
              <w:t>November 1,</w:t>
            </w:r>
          </w:p>
        </w:tc>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2030 to October 31, 2031</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101.563 %</w:t>
            </w:r>
          </w:p>
        </w:tc>
      </w:tr>
      <w:tr>
        <w:trPr>
          <w:trHeight w:val="224"/>
        </w:trPr>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November 1,</w:t>
            </w:r>
          </w:p>
        </w:tc>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 and thereafter</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5.750% 2034 Senior Notes</w:t>
      </w:r>
    </w:p>
    <w:p>
      <w:pPr>
        <w:spacing w:after="0" w:line="111"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At any time prior to October 15, 2028, the Company may redeem all or a part of the 5.750% 2034 Senior Notes, at a redemption price equal to 100% of the principal amount of the notes redeemed, plus accrued and unpaid interest to the redemption date, plus a premium. The premium is the greater of: (i) 1% of the principal amount of the note; or (ii) the excess of the present value of 102.875% of the note, plus interest payments due on the note through October 15, 2028 (excluding accrued but unpaid interest to the redemption date), computed using a discount rate equal to the Treasury Rate as of such redemption date plus 0.50% over the principal amount of the note. In addition, on or after October 15, 2028, the Company may redeem some or all of the notes at redemption prices expressed as percentages of principal amount as set forth in the following table, plus accrued and unpaid interest on the notes redeemed up to the redemption date: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Redemption Period</w:t>
            </w:r>
          </w:p>
        </w:tc>
        <w:tc>
          <w:tcPr>
            <w:tcW w:w="5320" w:type="dxa"/>
            <w:vAlign w:val="bottom"/>
          </w:tcPr>
          <w:p>
            <w:pPr>
              <w:spacing w:after="0"/>
              <w:rPr>
                <w:sz w:val="16"/>
                <w:szCs w:val="16"/>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Redemption Percentage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15, 2028 to October 14, 2029</w:t>
            </w:r>
          </w:p>
        </w:tc>
        <w:tc>
          <w:tcPr>
            <w:tcW w:w="53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102.875 %</w:t>
            </w: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w w:val="98"/>
              </w:rPr>
              <w:t>October 15,</w:t>
            </w: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 to October 14, 2030</w:t>
            </w:r>
          </w:p>
        </w:tc>
        <w:tc>
          <w:tcPr>
            <w:tcW w:w="7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101.438 %</w:t>
            </w:r>
          </w:p>
        </w:tc>
        <w:tc>
          <w:tcPr>
            <w:tcW w:w="20" w:type="dxa"/>
            <w:vAlign w:val="bottom"/>
          </w:tcPr>
          <w:p>
            <w:pPr>
              <w:spacing w:after="0"/>
              <w:rPr>
                <w:sz w:val="19"/>
                <w:szCs w:val="19"/>
                <w:color w:val="auto"/>
              </w:rPr>
            </w:pPr>
          </w:p>
        </w:tc>
      </w:tr>
      <w:tr>
        <w:trPr>
          <w:trHeight w:val="224"/>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October 15,</w:t>
            </w: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7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100.000 %</w:t>
            </w:r>
          </w:p>
        </w:tc>
        <w:tc>
          <w:tcPr>
            <w:tcW w:w="20" w:type="dxa"/>
            <w:vAlign w:val="bottom"/>
          </w:tcPr>
          <w:p>
            <w:pPr>
              <w:spacing w:after="0"/>
              <w:rPr>
                <w:sz w:val="19"/>
                <w:szCs w:val="19"/>
                <w:color w:val="auto"/>
              </w:rPr>
            </w:pPr>
          </w:p>
        </w:tc>
      </w:tr>
      <w:tr>
        <w:trPr>
          <w:trHeight w:val="94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320" w:type="dxa"/>
            <w:vAlign w:val="bottom"/>
          </w:tcPr>
          <w:p>
            <w:pPr>
              <w:jc w:val="right"/>
              <w:ind w:right="3572"/>
              <w:spacing w:after="0"/>
              <w:rPr>
                <w:sz w:val="20"/>
                <w:szCs w:val="20"/>
                <w:color w:val="auto"/>
              </w:rPr>
            </w:pPr>
            <w:r>
              <w:rPr>
                <w:rFonts w:ascii="Times New Roman" w:cs="Times New Roman" w:eastAsia="Times New Roman" w:hAnsi="Times New Roman"/>
                <w:sz w:val="18"/>
                <w:szCs w:val="18"/>
                <w:color w:val="auto"/>
              </w:rPr>
              <w:t>131</w:t>
            </w: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760" w:type="dxa"/>
            <w:vAlign w:val="bottom"/>
            <w:tcBorders>
              <w:bottom w:val="single" w:sz="8" w:color="9A9A9A"/>
            </w:tcBorders>
          </w:tcPr>
          <w:p>
            <w:pPr>
              <w:spacing w:after="0"/>
              <w:rPr>
                <w:sz w:val="9"/>
                <w:szCs w:val="9"/>
                <w:color w:val="auto"/>
              </w:rPr>
            </w:pPr>
          </w:p>
        </w:tc>
        <w:tc>
          <w:tcPr>
            <w:tcW w:w="532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31" w:name="page132"/>
    <w:bookmarkEnd w:id="131"/>
    <w:p>
      <w:pPr>
        <w:ind w:left="400"/>
        <w:spacing w:after="0"/>
        <w:rPr>
          <w:sz w:val="20"/>
          <w:szCs w:val="20"/>
          <w:color w:val="auto"/>
        </w:rPr>
      </w:pPr>
      <w:r>
        <w:rPr>
          <w:rFonts w:ascii="Times New Roman" w:cs="Times New Roman" w:eastAsia="Times New Roman" w:hAnsi="Times New Roman"/>
          <w:sz w:val="18"/>
          <w:szCs w:val="18"/>
          <w:i w:val="1"/>
          <w:iCs w:val="1"/>
          <w:color w:val="auto"/>
        </w:rPr>
        <w:t>2036 Senior Notes</w:t>
      </w:r>
    </w:p>
    <w:p>
      <w:pPr>
        <w:spacing w:after="0" w:line="111"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At any time prior to October 15, 2030, the Company may redeem all or a part of the 2036 Senior Notes, at a redemption price equal to 100% of the principal amount of the notes redeemed, plus accrued and unpaid interest to the redemption date, plus a premium. The premium is the greater of: (i) 1% of the principal amount of the note; or (ii) the excess of the present value of 103.000% of the note, plus interest payments due on the note through October 15, 2030 (excluding accrued but unpaid interest to the redemption date), computed using a discount rate equal to the Treasury Rate as of such redemption date plus 0.50% over the principal amount of the note. In addition, on or after October 15, 2030, the Company may redeem some or all of the notes at redemption prices expressed as percentages of principal amount as set forth in the following table, plus accrued and unpaid interest on the notes redeemed up to the redemption date: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4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Redemption Period</w:t>
            </w:r>
          </w:p>
        </w:tc>
        <w:tc>
          <w:tcPr>
            <w:tcW w:w="1800" w:type="dxa"/>
            <w:vAlign w:val="bottom"/>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Redemption Percentage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80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15, 2030 to October 14, 2031</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103.000 %</w:t>
            </w:r>
          </w:p>
        </w:tc>
      </w:tr>
      <w:tr>
        <w:trPr>
          <w:trHeight w:val="224"/>
        </w:trPr>
        <w:tc>
          <w:tcPr>
            <w:tcW w:w="20" w:type="dxa"/>
            <w:vAlign w:val="bottom"/>
          </w:tcPr>
          <w:p>
            <w:pPr>
              <w:spacing w:after="0"/>
              <w:rPr>
                <w:sz w:val="19"/>
                <w:szCs w:val="19"/>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w w:val="98"/>
              </w:rPr>
              <w:t>October 15,</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2031 to October 14, 2032</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101.500 %</w:t>
            </w:r>
          </w:p>
        </w:tc>
      </w:tr>
      <w:tr>
        <w:trPr>
          <w:trHeight w:val="224"/>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October 15,</w:t>
            </w:r>
          </w:p>
        </w:tc>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2032 and thereafter</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Receivables Facility</w:t>
      </w:r>
    </w:p>
    <w:p>
      <w:pPr>
        <w:spacing w:after="0" w:line="113"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In 2020, NRG Receivables, entered into the Receivables Facility, subject to adjustments on a seasonal basis, with issuers of asset-backed commercial paper and commercial banks (the “Lenders”). The assets of NRG Receivables are first available to satisfy the claims of the Lenders before making payments on the subordinated note and equity issued by NRG Receivables. The assets of NRG Receivables are not available to the Company and its subsidiaries or creditors unless and until distributed by NRG Receivables. Under the Receivables Facility, certain indirect subsidiaries of the Company sell their accounts receivables to NRG Receivables, subject to certain terms and conditions. In turn, NRG Receivables grants a security interest in the purchased receivables to the Lenders as collateral for cash borrowings and issuances of letters of credit. Pursuant to the Performance Guaranty, the Company has guaranteed, for the benefit of NRG Receivables and the Lenders, the payment and performance by each indirect subsidiary of its respective obligations under the Receivables Facility. The accounts receivables remain on the Company’s consolidated balance sheet and any amounts funded by the Lenders to NRG Receivables will be reflected as short-term borrowings. Cash flows from the Receivables Facility are reflected as financing activities in the Company’s consolidated statements of cash flows. The Company continues to service the accounts receivables sold in exchange for a servicing fee.</w:t>
      </w:r>
    </w:p>
    <w:p>
      <w:pPr>
        <w:spacing w:after="0" w:line="8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June 20, 2025, NRG Receivables amended its existing Receivables Facility to extend the scheduled termination date to June 18, 2026. The weighted average interest rate related to usage under the Receivables Facility as of December 31, 2025 was 0.772%. As of December 31, 2025, there were no outstanding borrowings and there were $1.5 billion in letters of credit issued under the Receivables Facility.</w:t>
      </w:r>
    </w:p>
    <w:p>
      <w:pPr>
        <w:spacing w:after="0" w:line="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Tax Exempt Bonds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8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r>
      <w:tr>
        <w:trPr>
          <w:trHeight w:val="205"/>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rates)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0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6"/>
                <w:szCs w:val="16"/>
                <w:b w:val="1"/>
                <w:bCs w:val="1"/>
                <w:color w:val="auto"/>
              </w:rPr>
              <w:t>Interest Rate %</w:t>
            </w:r>
          </w:p>
        </w:tc>
      </w:tr>
      <w:tr>
        <w:trPr>
          <w:trHeight w:val="218"/>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NRG Indian River Power 2020, tax exempt bonds, due 2040</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4"/>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NRG Indian River Power 2020, tax exempt bonds, due 2045</w:t>
            </w: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4"/>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NRG Dunkirk 2020, tax exempt bonds, due 2042</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r>
      <w:tr>
        <w:trPr>
          <w:trHeight w:val="224"/>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City of Texas City, tax exempt bonds, due 2045</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4.125</w:t>
            </w:r>
          </w:p>
        </w:tc>
      </w:tr>
      <w:tr>
        <w:trPr>
          <w:trHeight w:val="224"/>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 Bend County, tax exempt bonds, due 2038</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w:t>
            </w:r>
          </w:p>
        </w:tc>
      </w:tr>
      <w:tr>
        <w:trPr>
          <w:trHeight w:val="224"/>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 Bend County, tax exempt bonds, due 2042</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4.750</w:t>
            </w:r>
          </w:p>
        </w:tc>
      </w:tr>
      <w:tr>
        <w:trPr>
          <w:trHeight w:val="224"/>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NRG Indian River Power 2020, tax exempt bonds, due 2040</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24"/>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NRG Indian River Power 2020, tax exempt bonds, due 2045</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42"/>
        </w:trPr>
        <w:tc>
          <w:tcPr>
            <w:tcW w:w="58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9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r>
    </w:tbl>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IR Bonds</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On October 23, 2025, the Company remarketed $57 million aggregate principal amount of the IR 2040 Bonds and $190 million aggregate principal amount of the IR 2045 Bonds, together the IR Bonds. The IR Bonds are guaranteed on a first priority basis by each of the Company's current and future subsidiaries that guarantee indebtedness under the Revolving Credit Facility. The IR Bonds are secured by a first priority security interest in the same collateral that is pledged for the benefit of the lenders under the Revolving Credit Facility, which consists of a substantial portion of the property and assets owned by the Company and the guarantors. The collateral securing the IR Bonds will, at the request of the Company, be released if the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32" w:name="page133"/>
    <w:bookmarkEnd w:id="132"/>
    <w:p>
      <w:pPr>
        <w:jc w:val="both"/>
        <w:spacing w:after="0" w:line="293" w:lineRule="auto"/>
        <w:rPr>
          <w:sz w:val="20"/>
          <w:szCs w:val="20"/>
          <w:color w:val="auto"/>
        </w:rPr>
      </w:pPr>
      <w:r>
        <w:rPr>
          <w:rFonts w:ascii="Times New Roman" w:cs="Times New Roman" w:eastAsia="Times New Roman" w:hAnsi="Times New Roman"/>
          <w:sz w:val="16"/>
          <w:szCs w:val="16"/>
          <w:color w:val="auto"/>
        </w:rPr>
        <w:t>Company satisfies certain conditions, including receipt of an investment grade rating on its senior, unsecured debt securities from two out of the three rating agencies, subject to reversion if those rating agencies withdraw their investment grade rating of the IR Bonds or any of the Company's senior, unsecured debt securities or downgrade such ratings below investment grade. The IR Bonds were remarketed at a coupon of 4.000% and are subject to mandatory tender and purchase on October 1, 2035 and have final maturity dates of October 1, 2040 for the IR 2040 Bonds and October 1, 2045 for the IR 2045 Bonds.</w:t>
      </w:r>
    </w:p>
    <w:p>
      <w:pPr>
        <w:spacing w:after="0" w:line="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Bilateral Letter of Credit Facilities</w:t>
      </w:r>
    </w:p>
    <w:p>
      <w:pPr>
        <w:spacing w:after="0" w:line="1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As of December 31, 2025, the bilateral letter of credit facilities allowed for the issuance of up to $850 million of letters of credit and $637 million was issued under these facilities. These facilities are uncommitted. In January and February 2026, the Company and certain of its subsidiaries, as guarantors, entered into amendments to its existing bilateral letter of credit facilities to increase the size of its bilateral credit facilities by $410 million and $90 million, respectively, to provide additional liquidity. As of January 31, 2026, $1.0 billion was issued under these facilities.</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Texas Development Projects</w:t>
      </w:r>
    </w:p>
    <w:p>
      <w:pPr>
        <w:spacing w:after="0" w:line="1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July 31, 2025, NRG THW GT LLC, an indirect wholly-owned subsidiary of the Company, entered into the First TEF Loan to support the development of T.H. Wharton, which is currently under construction. The Company signed an equity contribution agreement and guaranty with respect to the First TEF Loan. The loan bears interest at a fixed rate of 3.000% per annum and has a final maturity date of July 31, 2045. As of January 31, 2026, $187 million of disbursements for the First TEF Loan have occurred.</w:t>
      </w:r>
    </w:p>
    <w:p>
      <w:pPr>
        <w:spacing w:after="0" w:line="7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September 26, 2025, NRG Cedar Bayou 5 LLC, an indirect wholly-owned subsidiary of the Company, entered into the Second TEF Loan to support the development of Cedar Bayou 5, which is currently under construction. The Company signed an equity contribution agreement and guaranty with respect to the Second TEF Loan. The loan bears interest at a fixed rate of 3.000% per annum and has a final maturity date of September 26, 2045. As of January 31, 2026, $269 million of disbursements for the Second TEF Loan have occurred.</w:t>
      </w:r>
    </w:p>
    <w:p>
      <w:pPr>
        <w:spacing w:after="0" w:line="7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November 20, 2025, NRG Greens Bayou 6 LLC, an indirect wholly-owned subsidiary of the Company, entered into the Third TEF Loan to support the development of Greens Bayou 6, which is currently under construction. The Company signed an equity contribution agreement and guaranty with respect to the Third TEF Loan. The loan bears interest at a fixed rate of 3.000% per annum and has a final maturity date of November 20, 2045. As of January 31, 2026, $95 million of disbursements for the Third TEF Loan have occurred.</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Pre-Capitalized Trust Securities Facility</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August 29, 2023, the Company entered into a Facility Agreement (as defined below) with Alexander Funding Trust II, a newly-formed Delaware statutory trust (the “Trust”), in connection with the sale by the Trust of $500 million pre-capitalized trust securities redeemable July 31, 2028 (the “P-Caps”). The Trust invested the proceeds from the sale of the P-Caps in a portfolio of principal and interest strips of U.S. Treasury securities (the “Eligible Treasury Assets”).</w:t>
      </w:r>
    </w:p>
    <w:p>
      <w:pPr>
        <w:spacing w:after="0" w:line="78"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In connection with the sale of the P-Caps, the Company and the guarantors named therein entered into a facility agreement, dated August 29, 2023 (the “Facility Agreement”), with the Trust and Deutsche Bank Trust Company Americas, as notes trustee. Under the Facility Agreement, the Company has the right, from time to time, to issue to the Trust, and to require the Trust to purchase from the Company, on one or more occasions (the “Issuance Right”), up to $500 million aggregate principal amount of the Company’s 7.467% Senior Secured First Lien Notes due 2028 (the “P-Caps Secured Notes”) in exchange for all or a portion of the Eligible Treasury Assets corresponding to the portion of the Issuance Right under the Facility Agreement being exercised at such time.</w:t>
      </w:r>
    </w:p>
    <w:p>
      <w:pPr>
        <w:spacing w:after="0" w:line="50"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The P-Caps are to be redeemed by the Trust on July 31, 2028 or earlier upon an early redemption of the P-Caps Secured Notes. Following any distribution of P-Caps Secured Notes to the holders of the P-Caps, the Company may similarly redeem such P-Caps Secured Notes, in whole or in part, at the redemption price described in the indenture governing the P-Caps Secured Notes, plus accrued but unpaid interest to, but excluding, the date of redemption. Any P-Caps Secured Notes outstanding and held by the Trust as a result of the exercise of the Issuance Right that remain outstanding will also mature on July 31, 2028.</w:t>
      </w:r>
    </w:p>
    <w:p>
      <w:pPr>
        <w:spacing w:after="0" w:line="4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P-Caps, on August 29, 2023, the Company entered into a letter of credit facility agreement with Deutsche Bank Trust Company Americas, as collateral agent and administrative agent, and certain financial institutions for the issuance of letters of credit in an aggregate amount not to exceed $485 million. The facility is committed. As of December 31, 2025, $477 million was issued under this facility.</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Non-recourse Debt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are descriptions of certain indebtedness of NRG’s subsidiaries, which are non-recourse debt to NRG.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33" w:name="page134"/>
    <w:bookmarkEnd w:id="133"/>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Acquired LS Power Debt</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January 30, 2026 (the “Acquisition Closing Date”), in connection with the acquisition of the LSP Portfolio from LS Power, Lightning Power, LLC, an indirect, wholly-owned subsidiary of the Company as of such date (“Lightning”), retained its 7.250% Senior Secured Notes due 2032, term loan and revolving loan facility.</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Lightning Notes</w:t>
      </w:r>
    </w:p>
    <w:p>
      <w:pPr>
        <w:spacing w:after="0" w:line="111"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On the Acquisition Closing Date, Lightning remained the issuer of $1.5 billion aggregate principal amount of 7.250% Senior Secured Notes due 2032 (the “Lightning Notes”) issued pursuant to an indenture, dated August 16, 2024 (the “Lightning Indenture”), by and among Lightning, Lightning’s subsidiaries that are guarantors from time to time party thereto, and U.S. Bank Trust Company, National Association, in its capacities as trustee and collateral trustee.</w:t>
      </w:r>
    </w:p>
    <w:p>
      <w:pPr>
        <w:spacing w:after="0" w:line="4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Lightning Notes accrue interest at a rate of 7.250% per annum, payable semi-annually on February 15 and August 15 of each year. The Lightning Notes mature on August 15, 2032. At any time prior to August 15, 2027, Lightning may redeem all or a part of the Lightning Notes, at a redemption price equal to 100% of the principal amount of the notes redeemed, plus accrued and unpaid interest to the redemption date, plus a premium. In addition, on or after August 15, 2027, Lightning may redeem all or part of the Lightning Notes at the redemption prices expressed as percentages of principal amount as set forth in the following table, plus accrued and unpaid interest on the notes redeemed up to the redemption date: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4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Redemption Period</w:t>
            </w:r>
          </w:p>
        </w:tc>
        <w:tc>
          <w:tcPr>
            <w:tcW w:w="1800" w:type="dxa"/>
            <w:vAlign w:val="bottom"/>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Redemption Percentage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80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15, 2027 to August 14, 2028</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103.625 %</w:t>
            </w:r>
          </w:p>
        </w:tc>
      </w:tr>
      <w:tr>
        <w:trPr>
          <w:trHeight w:val="224"/>
        </w:trPr>
        <w:tc>
          <w:tcPr>
            <w:tcW w:w="2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w w:val="98"/>
              </w:rPr>
              <w:t>August 15,</w:t>
            </w:r>
          </w:p>
        </w:tc>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 to August 14, 2029</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101.813 %</w:t>
            </w:r>
          </w:p>
        </w:tc>
      </w:tr>
      <w:tr>
        <w:trPr>
          <w:trHeight w:val="224"/>
        </w:trPr>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August 15,</w:t>
            </w:r>
          </w:p>
        </w:tc>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17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Subject to certain qualifications and exceptions, the Lightning Indenture, among other things, limits Lightning’s ability and the ability of Lightning’s restricted subsidiaries to incur or guarantee additional indebtedness; create or incur liens; make certain restricted payments; and consolidate, merge or transfer all or substantially all of Lightning’s and its subsidiaries’ assets on a consolidated basis.</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Lightning Credit Facility</w:t>
      </w:r>
    </w:p>
    <w:p>
      <w:pPr>
        <w:spacing w:after="0" w:line="111"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On the Acquisition Closing Date, Lightning remained party to a credit agreement (the “Lightning Credit Agreement”) with Morgan Stanley Senior Funding, Inc. as administrative agent and collateral agent and various lenders and issuing banks from time to time party thereto. The Lightning Credit Agreement consists of a term loan in an original aggregate principal amount of $1.75 billion (the “Lightning Term Loan”) and revolving loan facility of $600 million (the “Lightning Revolving Facility”). The maturity date of the Lightning Term Loan and the Lightning Revolving Facility is August 16, 2031, and August 16, 2029, respectively. Interest on the Lightning Term Loan accrues at a rate per annum equal to the SOFR rate plus a margin of 2.25%, subject to leverage-based margin step-downs. Interest on revolving credit borrowings under the Lightning Revolving Facility accrues at a rate per annum equal to the SOFR rate plus a margin of 2.00%, subject to leverage-based margin step-downs. As of January 31, 2026, $1.73 billion of borrowings were outstanding under the Lightning Term Loan.</w:t>
      </w:r>
    </w:p>
    <w:p>
      <w:pPr>
        <w:spacing w:after="0" w:line="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Vivint Debt</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2024, the below non-recourse debt is no longer outstanding.</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Vivint Secured Notes Tender Offer</w:t>
      </w:r>
    </w:p>
    <w:p>
      <w:pPr>
        <w:spacing w:after="0" w:line="11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On October 30, 2024, in connection with APX Group, Inc.’s previously announced offer to purchase for cash (the “Tender Offer”) any and all of APX Group, Inc.’s outstanding 6.750% senior secured notes due 2027 (the “Vivint 6.750% Senior Secured Notes due 2027”), APX Group, Inc. purchased $589 million in aggregate principal amount of the Vivint 6.750% Senior Secured Notes due 2027 that had been validly tendered for $600 million, which included the payment of $8 million of accrued interest. On November 8, 2024, APX Group, Inc. redeemed the remaining $11 million in aggregate principal amount of the Vivint 6.750% Senior Secured Notes due 2027 that remained outstanding following the Tender Offer. In connection with the redemptions, a $13 million loss on debt extinguishment was recorded, which included the write-off of previously deferred financing costs and other fees of $1 million.</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222222"/>
        </w:rPr>
        <w:t>Vivint Unsecured Notes Exchange Offer</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222222"/>
        </w:rPr>
        <w:t>In connection with the Company’s offer to exchange (the “Exchange Offer”) for a</w:t>
      </w:r>
      <w:r>
        <w:rPr>
          <w:rFonts w:ascii="Times New Roman" w:cs="Times New Roman" w:eastAsia="Times New Roman" w:hAnsi="Times New Roman"/>
          <w:sz w:val="18"/>
          <w:szCs w:val="18"/>
          <w:color w:val="000000"/>
        </w:rPr>
        <w:t>ny and all outstanding 5.750% Senior Notes due 2029 (the “Vivint</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5.750% Senior Notes due 2029”) issued by APX Group, Inc. for the New NRG 5.750% Senior Notes due 2029 and cash, NRG accepted tenders with respect to $798 million aggregate principal amount of the Vivint 5.750% Senior Notes due 2029, that were tendered on or prior to the early tender date. In connection with the redemptions, a $90 million loss on debt extinguishment was recorded.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34" w:name="page135"/>
    <w:bookmarkEnd w:id="134"/>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October 30, 2024, the Company issued the New NRG 5.750% Senior Notes due 2029 in an aggregate principal amount of $798 million in connection with the Exchange Offer. On November 14, 2024, APX Group, Inc. redeemed the $2 million of the Vivint 5.750% Senior Notes due 2029 that remained outstanding following the Exchange Offer.</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Vivint Term Loan</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October 30, 2024, the Company repaid in full the outstanding Vivint Term Loans of approximately $1.3 billion and terminated the revolving credit facility under the Vivint Credit Agreement. In connection with the repayment, an $18 million loss on debt extinguishment was recorded, which included the write-off of previously deferred financing costs and other fees of $2 million.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13 — </w:t>
      </w:r>
      <w:r>
        <w:rPr>
          <w:rFonts w:ascii="Times New Roman" w:cs="Times New Roman" w:eastAsia="Times New Roman" w:hAnsi="Times New Roman"/>
          <w:sz w:val="18"/>
          <w:szCs w:val="18"/>
          <w:b w:val="1"/>
          <w:bCs w:val="1"/>
          <w:i w:val="1"/>
          <w:iCs w:val="1"/>
          <w:color w:val="auto"/>
        </w:rPr>
        <w:t>Asset Retirement Obligations</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Company's AROs are primarily related to the environmental obligations for mine reclamation, ash disposal, site closures, fuel storage facilities and future dismantlement of equipment on leased property. In addition, the Company has also identified conditional AROs for asbestos removal and disposal, which are specific to certain power generation operations.</w:t>
      </w:r>
    </w:p>
    <w:p>
      <w:pPr>
        <w:spacing w:after="0" w:line="75" w:lineRule="exact"/>
        <w:rPr>
          <w:sz w:val="20"/>
          <w:szCs w:val="20"/>
          <w:color w:val="auto"/>
        </w:rPr>
      </w:pPr>
    </w:p>
    <w:p>
      <w:pPr>
        <w:jc w:val="both"/>
        <w:ind w:firstLine="395"/>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balance of ARO obligations as of December 31, 2025 and 2024, along with the activity related to the Company's ARO obligations for the year ended December 31,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8"/>
                <w:szCs w:val="18"/>
                <w:b w:val="1"/>
                <w:bCs w:val="1"/>
                <w:color w:val="auto"/>
                <w:vertAlign w:val="superscript"/>
              </w:rPr>
              <w:t>(a)</w:t>
            </w:r>
          </w:p>
        </w:tc>
      </w:tr>
      <w:tr>
        <w:trPr>
          <w:trHeight w:val="217"/>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24"/>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Revisions in estimates for current obligations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4"/>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4"/>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Spending for current obligations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4"/>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4"/>
        </w:trPr>
        <w:tc>
          <w:tcPr>
            <w:tcW w:w="9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Acquisitions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2"/>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400" w:hanging="395"/>
        <w:spacing w:after="0" w:line="268" w:lineRule="auto"/>
        <w:tabs>
          <w:tab w:leader="none" w:pos="398"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accretion expense related to asset retirement obligations included in the consolidated statement of cash flows includes accretion and revisions in estimates for asset retirement liabilities on non-operating plants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14 — </w:t>
      </w:r>
      <w:r>
        <w:rPr>
          <w:rFonts w:ascii="Times New Roman" w:cs="Times New Roman" w:eastAsia="Times New Roman" w:hAnsi="Times New Roman"/>
          <w:sz w:val="18"/>
          <w:szCs w:val="18"/>
          <w:b w:val="1"/>
          <w:bCs w:val="1"/>
          <w:i w:val="1"/>
          <w:iCs w:val="1"/>
          <w:color w:val="auto"/>
        </w:rPr>
        <w:t>Benefit Plans and Other Postretirement Benefits</w:t>
      </w:r>
    </w:p>
    <w:p>
      <w:pPr>
        <w:spacing w:after="0" w:line="1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NRG sponsors and operates defined benefit pension and other postretirement plans. NRG pension benefits are available to eligible non-union and union employees through various defined benefit pension plans. These benefits are based on pay, service history and age at retirement. Most pension benefits are provided through tax-qualified plans. NRG also provides postretirement health and welfare benefits for certain groups of employees. Cost sharing provisions vary by the terms of any applicable collective bargaining agreements.</w:t>
      </w:r>
    </w:p>
    <w:p>
      <w:pPr>
        <w:spacing w:after="0" w:line="7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NRG maintains two separate qualified pension plans, the NRG Pension Plan for Bargained Employees and the NRG Pension Plan. Participation in the NRG Pension Plan for Bargained Employees depends upon whether an employee is covered by a bargaining agreement. The NRG Pension Plan was frozen for non-union employees on December 31, 2018. The Company has terminated the defined benefit component of the Pension Plan for Employees of Direct Energy Marketing Limited and is currently awaiting regulatory approval.</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NRG expects to contribute $32 million to the Company's pension plans in 2026.</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35" w:name="page136"/>
    <w:bookmarkEnd w:id="135"/>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NRG Defined Benefit Plans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annual net periodic benefit cost/(credit) related to NRG's pension and other postretirement benefit plans include the following components:</w:t>
      </w:r>
    </w:p>
    <w:p>
      <w:pPr>
        <w:sectPr>
          <w:pgSz w:w="11900" w:h="16838" w:orient="portrait"/>
          <w:cols w:equalWidth="0" w:num="1">
            <w:col w:w="11240"/>
          </w:cols>
          <w:pgMar w:left="320" w:top="867"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Service cost benefits earned</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cost on benefit obligation</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 of unrecognized net loss</w:t>
      </w:r>
    </w:p>
    <w:p>
      <w:pPr>
        <w:spacing w:after="0" w:line="17" w:lineRule="exact"/>
        <w:rPr>
          <w:sz w:val="20"/>
          <w:szCs w:val="20"/>
          <w:color w:val="auto"/>
        </w:rPr>
      </w:pPr>
    </w:p>
    <w:p>
      <w:pPr>
        <w:ind w:left="20" w:right="1240"/>
        <w:spacing w:after="0" w:line="324" w:lineRule="auto"/>
        <w:rPr>
          <w:sz w:val="20"/>
          <w:szCs w:val="20"/>
          <w:color w:val="auto"/>
        </w:rPr>
      </w:pPr>
      <w:r>
        <w:rPr>
          <w:rFonts w:ascii="Times New Roman" w:cs="Times New Roman" w:eastAsia="Times New Roman" w:hAnsi="Times New Roman"/>
          <w:sz w:val="18"/>
          <w:szCs w:val="18"/>
          <w:color w:val="auto"/>
        </w:rPr>
        <w:t>Curtailment and special termination benefits (income)/expense Net periodic benefit cost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cost on benefit obligation</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 of unrecognized prior service cost</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 of unrecognized net loss</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periodic benefit cost/(credit)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304165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041650" cy="8255"/>
                    </a:xfrm>
                    <a:prstGeom prst="rect">
                      <a:avLst/>
                    </a:prstGeom>
                    <a:noFill/>
                  </pic:spPr>
                </pic:pic>
              </a:graphicData>
            </a:graphic>
          </wp:anchor>
        </w:drawing>
      </w:r>
    </w:p>
    <w:p>
      <w:pPr>
        <w:spacing w:after="0" w:line="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Pension Benefits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4"/>
        </w:trPr>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4"/>
        </w:trPr>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4"/>
        </w:trPr>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7"/>
        </w:trPr>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16"/>
        </w:trPr>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
        </w:trPr>
        <w:tc>
          <w:tcPr>
            <w:tcW w:w="36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6"/>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3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6"/>
          </w:tcPr>
          <w:p>
            <w:pPr>
              <w:jc w:val="center"/>
              <w:ind w:left="736"/>
              <w:spacing w:after="0"/>
              <w:rPr>
                <w:sz w:val="20"/>
                <w:szCs w:val="20"/>
                <w:color w:val="auto"/>
              </w:rPr>
            </w:pPr>
            <w:r>
              <w:rPr>
                <w:rFonts w:ascii="Times New Roman" w:cs="Times New Roman" w:eastAsia="Times New Roman" w:hAnsi="Times New Roman"/>
                <w:sz w:val="14"/>
                <w:szCs w:val="14"/>
                <w:b w:val="1"/>
                <w:bCs w:val="1"/>
                <w:color w:val="auto"/>
                <w:w w:val="99"/>
              </w:rPr>
              <w:t>Other Postretirement Benefits</w:t>
            </w:r>
          </w:p>
        </w:tc>
        <w:tc>
          <w:tcPr>
            <w:tcW w:w="1180" w:type="dxa"/>
            <w:vAlign w:val="bottom"/>
            <w:tcBorders>
              <w:bottom w:val="single" w:sz="8" w:color="auto"/>
            </w:tcBorders>
          </w:tcPr>
          <w:p>
            <w:pPr>
              <w:spacing w:after="0"/>
              <w:rPr>
                <w:sz w:val="16"/>
                <w:szCs w:val="16"/>
                <w:color w:val="auto"/>
              </w:rPr>
            </w:pPr>
          </w:p>
        </w:tc>
      </w:tr>
      <w:tr>
        <w:trPr>
          <w:trHeight w:val="191"/>
        </w:trPr>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4"/>
        </w:trPr>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7"/>
        </w:trPr>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-2071370</wp:posOffset>
            </wp:positionV>
            <wp:extent cx="7102475" cy="1504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02475" cy="15049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-1779270</wp:posOffset>
            </wp:positionV>
            <wp:extent cx="7102475" cy="1422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02475" cy="142240"/>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-1494790</wp:posOffset>
            </wp:positionV>
            <wp:extent cx="7102475" cy="1422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02475" cy="142240"/>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-617855</wp:posOffset>
            </wp:positionV>
            <wp:extent cx="7102475" cy="1504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02475" cy="15049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-325120</wp:posOffset>
            </wp:positionV>
            <wp:extent cx="7102475" cy="1422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02475" cy="1422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80" w:space="720"/>
            <w:col w:w="4840"/>
          </w:cols>
          <w:pgMar w:left="320" w:top="867" w:right="339" w:bottom="1440" w:gutter="0" w:footer="0" w:header="0"/>
          <w:type w:val="continuous"/>
        </w:sectPr>
      </w:pPr>
    </w:p>
    <w:p>
      <w:pPr>
        <w:spacing w:after="0" w:line="18"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A comparison of the pension benefit obligation, other postretirement benefit obligations and related plan assets for NRG's plans on a combined basis is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5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40" w:type="dxa"/>
            <w:vAlign w:val="bottom"/>
            <w:gridSpan w:val="4"/>
          </w:tcPr>
          <w:p>
            <w:pPr>
              <w:jc w:val="right"/>
              <w:ind w:right="673"/>
              <w:spacing w:after="0" w:line="154" w:lineRule="exact"/>
              <w:rPr>
                <w:sz w:val="20"/>
                <w:szCs w:val="20"/>
                <w:color w:val="auto"/>
              </w:rPr>
            </w:pPr>
            <w:r>
              <w:rPr>
                <w:rFonts w:ascii="Times New Roman" w:cs="Times New Roman" w:eastAsia="Times New Roman" w:hAnsi="Times New Roman"/>
                <w:sz w:val="16"/>
                <w:szCs w:val="16"/>
                <w:b w:val="1"/>
                <w:bCs w:val="1"/>
                <w:color w:val="auto"/>
              </w:rPr>
              <w:t>Other Postretirement</w:t>
            </w:r>
          </w:p>
        </w:tc>
        <w:tc>
          <w:tcPr>
            <w:tcW w:w="0" w:type="dxa"/>
            <w:vAlign w:val="bottom"/>
          </w:tcPr>
          <w:p>
            <w:pPr>
              <w:spacing w:after="0"/>
              <w:rPr>
                <w:sz w:val="1"/>
                <w:szCs w:val="1"/>
                <w:color w:val="auto"/>
              </w:rPr>
            </w:pPr>
          </w:p>
        </w:tc>
      </w:tr>
      <w:tr>
        <w:trPr>
          <w:trHeight w:val="210"/>
        </w:trPr>
        <w:tc>
          <w:tcPr>
            <w:tcW w:w="5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vMerge w:val="continue"/>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at January 1</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loss/(gain)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and retiree contributions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Annuity purchase settlement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payments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translation</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518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Benefit obligation at December 31</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January 1</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and retiree contributions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Annuity purchase settlement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payments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translation</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518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Fair value of plan assets at December 31</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Funded status at December 31 — excess of obligation over assets</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year ended December 31, 2025, the actuarial loss of $28 million on pension benefits was primarily driven by decreasing discount rates.</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year ended December 31, 2024, the actuarial gain of $35 million on pension benefits was primarily driven by increasing discount rates.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type w:val="continuous"/>
        </w:sectPr>
      </w:pPr>
    </w:p>
    <w:bookmarkStart w:id="136" w:name="page137"/>
    <w:bookmarkEnd w:id="136"/>
    <w:p>
      <w:pPr>
        <w:ind w:left="400"/>
        <w:spacing w:after="0"/>
        <w:rPr>
          <w:sz w:val="20"/>
          <w:szCs w:val="20"/>
          <w:color w:val="auto"/>
        </w:rPr>
      </w:pPr>
      <w:r>
        <w:rPr>
          <w:rFonts w:ascii="Times New Roman" w:cs="Times New Roman" w:eastAsia="Times New Roman" w:hAnsi="Times New Roman"/>
          <w:sz w:val="18"/>
          <w:szCs w:val="18"/>
          <w:color w:val="auto"/>
        </w:rPr>
        <w:t>Amounts recognized in NRG's balance sheets were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5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00" w:type="dxa"/>
            <w:vAlign w:val="bottom"/>
            <w:gridSpan w:val="3"/>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20" w:type="dxa"/>
            <w:vAlign w:val="bottom"/>
            <w:gridSpan w:val="4"/>
          </w:tcPr>
          <w:p>
            <w:pPr>
              <w:jc w:val="center"/>
              <w:ind w:right="478"/>
              <w:spacing w:after="0" w:line="127" w:lineRule="exact"/>
              <w:rPr>
                <w:sz w:val="20"/>
                <w:szCs w:val="20"/>
                <w:color w:val="auto"/>
              </w:rPr>
            </w:pPr>
            <w:r>
              <w:rPr>
                <w:rFonts w:ascii="Times New Roman" w:cs="Times New Roman" w:eastAsia="Times New Roman" w:hAnsi="Times New Roman"/>
                <w:sz w:val="14"/>
                <w:szCs w:val="14"/>
                <w:b w:val="1"/>
                <w:bCs w:val="1"/>
                <w:color w:val="auto"/>
              </w:rPr>
              <w:t>Other Postretirement</w:t>
            </w:r>
          </w:p>
        </w:tc>
        <w:tc>
          <w:tcPr>
            <w:tcW w:w="0" w:type="dxa"/>
            <w:vAlign w:val="bottom"/>
          </w:tcPr>
          <w:p>
            <w:pPr>
              <w:spacing w:after="0"/>
              <w:rPr>
                <w:sz w:val="1"/>
                <w:szCs w:val="1"/>
                <w:color w:val="auto"/>
              </w:rPr>
            </w:pPr>
          </w:p>
        </w:tc>
      </w:tr>
      <w:tr>
        <w:trPr>
          <w:trHeight w:val="189"/>
        </w:trPr>
        <w:tc>
          <w:tcPr>
            <w:tcW w:w="51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423"/>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20" w:type="dxa"/>
            <w:vAlign w:val="bottom"/>
            <w:tcBorders>
              <w:top w:val="single" w:sz="8" w:color="auto"/>
            </w:tcBorders>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20" w:type="dxa"/>
            <w:vAlign w:val="bottom"/>
          </w:tcPr>
          <w:p>
            <w:pPr>
              <w:spacing w:after="0"/>
              <w:rPr>
                <w:sz w:val="19"/>
                <w:szCs w:val="19"/>
                <w:color w:val="auto"/>
              </w:rPr>
            </w:pP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Amounts recognized in NRG's accumulated OCI that have not yet been recognized as components of net periodic benefit cost were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5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500" w:type="dxa"/>
            <w:vAlign w:val="bottom"/>
            <w:gridSpan w:val="3"/>
            <w:vMerge w:val="restart"/>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20" w:type="dxa"/>
            <w:vAlign w:val="bottom"/>
            <w:gridSpan w:val="4"/>
          </w:tcPr>
          <w:p>
            <w:pPr>
              <w:jc w:val="right"/>
              <w:ind w:right="757"/>
              <w:spacing w:after="0" w:line="125" w:lineRule="exact"/>
              <w:rPr>
                <w:sz w:val="20"/>
                <w:szCs w:val="20"/>
                <w:color w:val="auto"/>
              </w:rPr>
            </w:pPr>
            <w:r>
              <w:rPr>
                <w:rFonts w:ascii="Times New Roman" w:cs="Times New Roman" w:eastAsia="Times New Roman" w:hAnsi="Times New Roman"/>
                <w:sz w:val="14"/>
                <w:szCs w:val="14"/>
                <w:b w:val="1"/>
                <w:bCs w:val="1"/>
                <w:color w:val="auto"/>
              </w:rPr>
              <w:t>Other Postretirement</w:t>
            </w:r>
          </w:p>
        </w:tc>
        <w:tc>
          <w:tcPr>
            <w:tcW w:w="0" w:type="dxa"/>
            <w:vAlign w:val="bottom"/>
          </w:tcPr>
          <w:p>
            <w:pPr>
              <w:spacing w:after="0"/>
              <w:rPr>
                <w:sz w:val="1"/>
                <w:szCs w:val="1"/>
                <w:color w:val="auto"/>
              </w:rPr>
            </w:pPr>
          </w:p>
        </w:tc>
      </w:tr>
      <w:tr>
        <w:trPr>
          <w:trHeight w:val="191"/>
        </w:trPr>
        <w:tc>
          <w:tcPr>
            <w:tcW w:w="51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loss/(gain)</w:t>
            </w:r>
          </w:p>
        </w:tc>
        <w:tc>
          <w:tcPr>
            <w:tcW w:w="92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center"/>
              <w:ind w:left="461"/>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credit</w:t>
            </w:r>
          </w:p>
        </w:tc>
        <w:tc>
          <w:tcPr>
            <w:tcW w:w="9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80" w:type="dxa"/>
            <w:vAlign w:val="bottom"/>
            <w:gridSpan w:val="2"/>
          </w:tcPr>
          <w:p>
            <w:pPr>
              <w:jc w:val="center"/>
              <w:ind w:left="38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2"/>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accumulated OCI</w:t>
            </w:r>
          </w:p>
        </w:tc>
        <w:tc>
          <w:tcPr>
            <w:tcW w:w="920" w:type="dxa"/>
            <w:vAlign w:val="bottom"/>
            <w:tcBorders>
              <w:top w:val="single" w:sz="8" w:color="auto"/>
              <w:bottom w:val="single" w:sz="8" w:color="auto"/>
            </w:tcBorders>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center"/>
              <w:ind w:left="461"/>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changes in plan assets and benefit obligations recognized in OCI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5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5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40" w:type="dxa"/>
            <w:vAlign w:val="bottom"/>
            <w:gridSpan w:val="4"/>
          </w:tcPr>
          <w:p>
            <w:pPr>
              <w:jc w:val="right"/>
              <w:ind w:right="754"/>
              <w:spacing w:after="0" w:line="127" w:lineRule="exact"/>
              <w:rPr>
                <w:sz w:val="20"/>
                <w:szCs w:val="20"/>
                <w:color w:val="auto"/>
              </w:rPr>
            </w:pPr>
            <w:r>
              <w:rPr>
                <w:rFonts w:ascii="Times New Roman" w:cs="Times New Roman" w:eastAsia="Times New Roman" w:hAnsi="Times New Roman"/>
                <w:sz w:val="14"/>
                <w:szCs w:val="14"/>
                <w:b w:val="1"/>
                <w:bCs w:val="1"/>
                <w:color w:val="auto"/>
              </w:rPr>
              <w:t>Other Postretirement</w:t>
            </w:r>
          </w:p>
        </w:tc>
        <w:tc>
          <w:tcPr>
            <w:tcW w:w="0" w:type="dxa"/>
            <w:vAlign w:val="bottom"/>
          </w:tcPr>
          <w:p>
            <w:pPr>
              <w:spacing w:after="0"/>
              <w:rPr>
                <w:sz w:val="1"/>
                <w:szCs w:val="1"/>
                <w:color w:val="auto"/>
              </w:rPr>
            </w:pPr>
          </w:p>
        </w:tc>
      </w:tr>
      <w:tr>
        <w:trPr>
          <w:trHeight w:val="189"/>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gain</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(gain)/loss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loss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7"/>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recognized in OCI</w:t>
            </w: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7"/>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periodic benefit cost/(credit)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2"/>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recognized in net periodic pension (credit)/cost and OCI</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balances of significant components of NRG's pension plan: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6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60" w:type="dxa"/>
            <w:vAlign w:val="bottom"/>
            <w:gridSpan w:val="3"/>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4"/>
        </w:trPr>
        <w:tc>
          <w:tcPr>
            <w:tcW w:w="38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84"/>
        </w:trPr>
        <w:tc>
          <w:tcPr>
            <w:tcW w:w="386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center"/>
              <w:ind w:left="581"/>
              <w:spacing w:after="0"/>
              <w:rPr>
                <w:sz w:val="20"/>
                <w:szCs w:val="20"/>
                <w:color w:val="auto"/>
              </w:rPr>
            </w:pPr>
            <w:r>
              <w:rPr>
                <w:rFonts w:ascii="Times New Roman" w:cs="Times New Roman" w:eastAsia="Times New Roman" w:hAnsi="Times New Roman"/>
                <w:sz w:val="14"/>
                <w:szCs w:val="14"/>
                <w:b w:val="1"/>
                <w:bCs w:val="1"/>
                <w:color w:val="auto"/>
                <w:w w:val="99"/>
              </w:rPr>
              <w:t>Pension Benefits</w:t>
            </w:r>
          </w:p>
        </w:tc>
        <w:tc>
          <w:tcPr>
            <w:tcW w:w="10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91"/>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9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9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40" w:type="dxa"/>
            <w:vAlign w:val="bottom"/>
          </w:tcPr>
          <w:p>
            <w:pPr>
              <w:spacing w:after="0"/>
              <w:rPr>
                <w:sz w:val="19"/>
                <w:szCs w:val="19"/>
                <w:color w:val="auto"/>
              </w:rPr>
            </w:pPr>
          </w:p>
        </w:tc>
      </w:tr>
      <w:tr>
        <w:trPr>
          <w:trHeight w:val="22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3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40" w:type="dxa"/>
            <w:vAlign w:val="bottom"/>
          </w:tcPr>
          <w:p>
            <w:pPr>
              <w:spacing w:after="0"/>
              <w:rPr>
                <w:sz w:val="19"/>
                <w:szCs w:val="19"/>
                <w:color w:val="auto"/>
              </w:rPr>
            </w:pPr>
          </w:p>
        </w:tc>
      </w:tr>
      <w:tr>
        <w:trPr>
          <w:trHeight w:val="224"/>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40" w:type="dxa"/>
            <w:vAlign w:val="bottom"/>
          </w:tcPr>
          <w:p>
            <w:pPr>
              <w:spacing w:after="0"/>
              <w:rPr>
                <w:sz w:val="19"/>
                <w:szCs w:val="19"/>
                <w:color w:val="auto"/>
              </w:rPr>
            </w:pPr>
          </w:p>
        </w:tc>
      </w:tr>
      <w:tr>
        <w:trPr>
          <w:trHeight w:val="842"/>
        </w:trPr>
        <w:tc>
          <w:tcPr>
            <w:tcW w:w="3860" w:type="dxa"/>
            <w:vAlign w:val="bottom"/>
          </w:tcPr>
          <w:p>
            <w:pPr>
              <w:spacing w:after="0"/>
              <w:rPr>
                <w:sz w:val="24"/>
                <w:szCs w:val="24"/>
                <w:color w:val="auto"/>
              </w:rPr>
            </w:pPr>
          </w:p>
        </w:tc>
        <w:tc>
          <w:tcPr>
            <w:tcW w:w="3940" w:type="dxa"/>
            <w:vAlign w:val="bottom"/>
          </w:tcPr>
          <w:p>
            <w:pPr>
              <w:jc w:val="right"/>
              <w:ind w:right="1952"/>
              <w:spacing w:after="0"/>
              <w:rPr>
                <w:sz w:val="20"/>
                <w:szCs w:val="20"/>
                <w:color w:val="auto"/>
              </w:rPr>
            </w:pPr>
            <w:r>
              <w:rPr>
                <w:rFonts w:ascii="Times New Roman" w:cs="Times New Roman" w:eastAsia="Times New Roman" w:hAnsi="Times New Roman"/>
                <w:sz w:val="18"/>
                <w:szCs w:val="18"/>
                <w:color w:val="auto"/>
              </w:rPr>
              <w:t>137</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2"/>
        </w:trPr>
        <w:tc>
          <w:tcPr>
            <w:tcW w:w="3860" w:type="dxa"/>
            <w:vAlign w:val="bottom"/>
            <w:tcBorders>
              <w:bottom w:val="single" w:sz="8" w:color="9A9A9A"/>
            </w:tcBorders>
          </w:tcPr>
          <w:p>
            <w:pPr>
              <w:spacing w:after="0"/>
              <w:rPr>
                <w:sz w:val="9"/>
                <w:szCs w:val="9"/>
                <w:color w:val="auto"/>
              </w:rPr>
            </w:pPr>
          </w:p>
        </w:tc>
        <w:tc>
          <w:tcPr>
            <w:tcW w:w="39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37" w:name="page138"/>
    <w:bookmarkEnd w:id="137"/>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NRG's market-related value of its plan assets is the fair value of the assets. The fair values of the Company's pension plan assets by asset category and their level within the fair value hierarchy are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80" w:type="dxa"/>
            <w:vAlign w:val="bottom"/>
            <w:gridSpan w:val="10"/>
          </w:tcPr>
          <w:p>
            <w:pPr>
              <w:ind w:left="740"/>
              <w:spacing w:after="0"/>
              <w:rPr>
                <w:sz w:val="20"/>
                <w:szCs w:val="20"/>
                <w:color w:val="auto"/>
              </w:rPr>
            </w:pPr>
            <w:r>
              <w:rPr>
                <w:rFonts w:ascii="Times New Roman" w:cs="Times New Roman" w:eastAsia="Times New Roman" w:hAnsi="Times New Roman"/>
                <w:sz w:val="14"/>
                <w:szCs w:val="14"/>
                <w:b w:val="1"/>
                <w:bCs w:val="1"/>
                <w:color w:val="auto"/>
                <w:w w:val="99"/>
              </w:rPr>
              <w:t>Fair Value Measurements as of December 31, 2025</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3"/>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3"/>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1520" w:type="dxa"/>
            <w:vAlign w:val="bottom"/>
            <w:gridSpan w:val="3"/>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3"/>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63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Common/collective trust investment — U.S. equity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gridSpan w:val="2"/>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Common/collective trust investment — non-U.S. equity</w:t>
            </w:r>
          </w:p>
        </w:tc>
        <w:tc>
          <w:tcPr>
            <w:tcW w:w="160" w:type="dxa"/>
            <w:vAlign w:val="bottom"/>
          </w:tcPr>
          <w:p>
            <w:pPr>
              <w:spacing w:after="0"/>
              <w:rPr>
                <w:sz w:val="19"/>
                <w:szCs w:val="19"/>
                <w:color w:val="auto"/>
              </w:rPr>
            </w:pPr>
          </w:p>
        </w:tc>
        <w:tc>
          <w:tcPr>
            <w:tcW w:w="15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Common/collective trust investment — non-core assets</w:t>
            </w:r>
          </w:p>
        </w:tc>
        <w:tc>
          <w:tcPr>
            <w:tcW w:w="16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Common/collective trust investment — fixed income</w:t>
            </w:r>
          </w:p>
        </w:tc>
        <w:tc>
          <w:tcPr>
            <w:tcW w:w="160" w:type="dxa"/>
            <w:vAlign w:val="bottom"/>
          </w:tcPr>
          <w:p>
            <w:pPr>
              <w:spacing w:after="0"/>
              <w:rPr>
                <w:sz w:val="19"/>
                <w:szCs w:val="19"/>
                <w:color w:val="auto"/>
              </w:rPr>
            </w:pPr>
          </w:p>
        </w:tc>
        <w:tc>
          <w:tcPr>
            <w:tcW w:w="15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 fund</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Subtotal fair value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top w:val="single" w:sz="8" w:color="auto"/>
            </w:tcBorders>
            <w:gridSpan w:val="2"/>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Measured at net asset value practical expedient: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Common/collective trust investment — non-U.S. equity</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Common/collective trust investment — fixed income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Common/collective trust investment — non-core assets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Partnerships/joint ventures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fair value</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bottom w:val="single" w:sz="8" w:color="auto"/>
            </w:tcBorders>
            <w:gridSpan w:val="2"/>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6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80" w:type="dxa"/>
            <w:vAlign w:val="bottom"/>
            <w:gridSpan w:val="10"/>
          </w:tcPr>
          <w:p>
            <w:pPr>
              <w:ind w:left="740"/>
              <w:spacing w:after="0"/>
              <w:rPr>
                <w:sz w:val="20"/>
                <w:szCs w:val="20"/>
                <w:color w:val="auto"/>
              </w:rPr>
            </w:pPr>
            <w:r>
              <w:rPr>
                <w:rFonts w:ascii="Times New Roman" w:cs="Times New Roman" w:eastAsia="Times New Roman" w:hAnsi="Times New Roman"/>
                <w:sz w:val="14"/>
                <w:szCs w:val="14"/>
                <w:b w:val="1"/>
                <w:bCs w:val="1"/>
                <w:color w:val="auto"/>
                <w:w w:val="99"/>
              </w:rPr>
              <w:t>Fair Value Measurements as of December 31, 2024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3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6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gridSpan w:val="3"/>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3"/>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1"/>
                <w:szCs w:val="11"/>
                <w:color w:val="auto"/>
              </w:rPr>
            </w:pPr>
          </w:p>
        </w:tc>
        <w:tc>
          <w:tcPr>
            <w:tcW w:w="1520" w:type="dxa"/>
            <w:vAlign w:val="bottom"/>
            <w:gridSpan w:val="3"/>
          </w:tcPr>
          <w:p>
            <w:pPr>
              <w:jc w:val="center"/>
              <w:ind w:right="260"/>
              <w:spacing w:after="0" w:line="133"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tcPr>
          <w:p>
            <w:pPr>
              <w:jc w:val="center"/>
              <w:ind w:right="240"/>
              <w:spacing w:after="0" w:line="133"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3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Common/collective trust investment — U.S.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Common/collective trust investment — non-U.S. equity</w:t>
            </w:r>
          </w:p>
        </w:tc>
        <w:tc>
          <w:tcPr>
            <w:tcW w:w="160" w:type="dxa"/>
            <w:vAlign w:val="bottom"/>
          </w:tcPr>
          <w:p>
            <w:pPr>
              <w:spacing w:after="0"/>
              <w:rPr>
                <w:sz w:val="19"/>
                <w:szCs w:val="19"/>
                <w:color w:val="auto"/>
              </w:rPr>
            </w:pPr>
          </w:p>
        </w:tc>
        <w:tc>
          <w:tcPr>
            <w:tcW w:w="152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Common/collective trust investment — non-core assets</w:t>
            </w:r>
          </w:p>
        </w:tc>
        <w:tc>
          <w:tcPr>
            <w:tcW w:w="16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Common/collective trust investment — fixed income</w:t>
            </w:r>
          </w:p>
        </w:tc>
        <w:tc>
          <w:tcPr>
            <w:tcW w:w="160" w:type="dxa"/>
            <w:vAlign w:val="bottom"/>
          </w:tcPr>
          <w:p>
            <w:pPr>
              <w:spacing w:after="0"/>
              <w:rPr>
                <w:sz w:val="19"/>
                <w:szCs w:val="19"/>
                <w:color w:val="auto"/>
              </w:rPr>
            </w:pPr>
          </w:p>
        </w:tc>
        <w:tc>
          <w:tcPr>
            <w:tcW w:w="152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 fund</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Subtotal fair value</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Measured at net asset value practical expedient: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Common/collective trust investment — non-U.S. equity</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Common/collective trust investment — fixed income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Common/collective trust investment — non-core assets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Partnerships/joint ventures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fair value</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 in its entirety. The fair value of the common/collective trust investments is valued at fair value which is equal to the sum of the market value of all of the fund's underlying investments. Certain common/collective trust investments have readily determinable fair value as they publish daily net asset value, or NAV, per share and are categorized as Level 2. Certain other common/collective trust investments and partnerships/joint ventures use NAV per share, or its equivalent, as a practical expedient for valuation, and thus have been removed from the fair value hierarchy table.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38" w:name="page139"/>
    <w:bookmarkEnd w:id="138"/>
    <w:p>
      <w:pPr>
        <w:ind w:left="400"/>
        <w:spacing w:after="0"/>
        <w:rPr>
          <w:sz w:val="20"/>
          <w:szCs w:val="20"/>
          <w:color w:val="auto"/>
        </w:rPr>
      </w:pPr>
      <w:r>
        <w:rPr>
          <w:rFonts w:ascii="Times New Roman" w:cs="Times New Roman" w:eastAsia="Times New Roman" w:hAnsi="Times New Roman"/>
          <w:sz w:val="18"/>
          <w:szCs w:val="18"/>
          <w:color w:val="auto"/>
        </w:rPr>
        <w:t>The following table presents the significant assumptions used to calculate NRG's benefit obligations: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92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62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3"/>
          </w:tcPr>
          <w:p>
            <w:pPr>
              <w:spacing w:after="0"/>
              <w:rPr>
                <w:sz w:val="2"/>
                <w:szCs w:val="2"/>
                <w:color w:val="auto"/>
              </w:rPr>
            </w:pPr>
          </w:p>
        </w:tc>
      </w:tr>
      <w:tr>
        <w:trPr>
          <w:trHeight w:val="184"/>
        </w:trPr>
        <w:tc>
          <w:tcPr>
            <w:tcW w:w="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20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20" w:type="dxa"/>
            <w:vAlign w:val="bottom"/>
            <w:tcBorders>
              <w:bottom w:val="single" w:sz="8" w:color="auto"/>
            </w:tcBorders>
            <w:gridSpan w:val="3"/>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145"/>
        </w:trPr>
        <w:tc>
          <w:tcPr>
            <w:tcW w:w="20" w:type="dxa"/>
            <w:vAlign w:val="bottom"/>
          </w:tcPr>
          <w:p>
            <w:pPr>
              <w:spacing w:after="0"/>
              <w:rPr>
                <w:sz w:val="12"/>
                <w:szCs w:val="12"/>
                <w:color w:val="auto"/>
              </w:rPr>
            </w:pPr>
          </w:p>
        </w:tc>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Weighted-Average Assumptions</w:t>
            </w:r>
          </w:p>
        </w:tc>
        <w:tc>
          <w:tcPr>
            <w:tcW w:w="1540" w:type="dxa"/>
            <w:vAlign w:val="bottom"/>
          </w:tcPr>
          <w:p>
            <w:pPr>
              <w:jc w:val="right"/>
              <w:ind w:right="558"/>
              <w:spacing w:after="0" w:line="145"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jc w:val="right"/>
              <w:ind w:right="558"/>
              <w:spacing w:after="0" w:line="145"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660" w:type="dxa"/>
            <w:vAlign w:val="bottom"/>
          </w:tcPr>
          <w:p>
            <w:pPr>
              <w:jc w:val="right"/>
              <w:ind w:right="597"/>
              <w:spacing w:after="0" w:line="145"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620" w:type="dxa"/>
            <w:vAlign w:val="bottom"/>
          </w:tcPr>
          <w:p>
            <w:pPr>
              <w:jc w:val="right"/>
              <w:ind w:right="575"/>
              <w:spacing w:after="0" w:line="145"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33"/>
        </w:trPr>
        <w:tc>
          <w:tcPr>
            <w:tcW w:w="20" w:type="dxa"/>
            <w:vAlign w:val="bottom"/>
            <w:tcBorders>
              <w:bottom w:val="single" w:sz="8" w:color="CCEEFF"/>
            </w:tcBorders>
          </w:tcPr>
          <w:p>
            <w:pPr>
              <w:spacing w:after="0"/>
              <w:rPr>
                <w:sz w:val="2"/>
                <w:szCs w:val="2"/>
                <w:color w:val="auto"/>
              </w:rPr>
            </w:pPr>
          </w:p>
        </w:tc>
        <w:tc>
          <w:tcPr>
            <w:tcW w:w="1920" w:type="dxa"/>
            <w:vAlign w:val="bottom"/>
            <w:tcBorders>
              <w:top w:val="single" w:sz="8" w:color="auto"/>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5.38 %</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5.63 %</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5.32 %</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5.55 %</w:t>
            </w:r>
          </w:p>
        </w:tc>
      </w:tr>
      <w:tr>
        <w:trPr>
          <w:trHeight w:val="224"/>
        </w:trPr>
        <w:tc>
          <w:tcPr>
            <w:tcW w:w="2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crediting rate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5.96 %</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4.54 %</w:t>
            </w:r>
          </w:p>
        </w:tc>
      </w:tr>
      <w:tr>
        <w:trPr>
          <w:trHeight w:val="224"/>
        </w:trPr>
        <w:tc>
          <w:tcPr>
            <w:tcW w:w="20" w:type="dxa"/>
            <w:vAlign w:val="bottom"/>
            <w:shd w:val="clear" w:color="auto" w:fill="CCEEFF"/>
          </w:tcPr>
          <w:p>
            <w:pPr>
              <w:spacing w:after="0"/>
              <w:rPr>
                <w:sz w:val="19"/>
                <w:szCs w:val="19"/>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jc w:val="right"/>
              <w:ind w:right="160"/>
              <w:spacing w:after="0" w:line="171" w:lineRule="exact"/>
              <w:rPr>
                <w:sz w:val="20"/>
                <w:szCs w:val="20"/>
                <w:color w:val="auto"/>
              </w:rPr>
            </w:pPr>
            <w:r>
              <w:rPr>
                <w:rFonts w:ascii="Times New Roman" w:cs="Times New Roman" w:eastAsia="Times New Roman" w:hAnsi="Times New Roman"/>
                <w:sz w:val="18"/>
                <w:szCs w:val="18"/>
                <w:color w:val="auto"/>
              </w:rPr>
              <w:t>8.2% grading to 4.5%</w:t>
            </w:r>
          </w:p>
        </w:tc>
        <w:tc>
          <w:tcPr>
            <w:tcW w:w="162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8.3% grading to 4.5%</w:t>
            </w:r>
          </w:p>
        </w:tc>
      </w:tr>
      <w:tr>
        <w:trPr>
          <w:trHeight w:val="236"/>
        </w:trPr>
        <w:tc>
          <w:tcPr>
            <w:tcW w:w="2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 care trend rate</w:t>
            </w:r>
          </w:p>
        </w:tc>
        <w:tc>
          <w:tcPr>
            <w:tcW w:w="220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in 2035</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 2034</w:t>
            </w:r>
          </w:p>
        </w:tc>
      </w:tr>
    </w:tbl>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significant assumptions used to calculate NRG's benefit expense: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40" w:type="dxa"/>
            <w:vAlign w:val="bottom"/>
            <w:gridSpan w:val="4"/>
          </w:tcPr>
          <w:p>
            <w:pPr>
              <w:ind w:left="12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gridSpan w:val="5"/>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4"/>
        </w:trPr>
        <w:tc>
          <w:tcPr>
            <w:tcW w:w="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500" w:type="dxa"/>
            <w:vAlign w:val="bottom"/>
            <w:tcBorders>
              <w:bottom w:val="single" w:sz="8" w:color="auto"/>
            </w:tcBorders>
            <w:gridSpan w:val="5"/>
          </w:tcPr>
          <w:p>
            <w:pPr>
              <w:ind w:left="1500"/>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1320" w:type="dxa"/>
            <w:vAlign w:val="bottom"/>
            <w:tcBorders>
              <w:bottom w:val="single" w:sz="8" w:color="auto"/>
            </w:tcBorders>
          </w:tcPr>
          <w:p>
            <w:pPr>
              <w:spacing w:after="0"/>
              <w:rPr>
                <w:sz w:val="15"/>
                <w:szCs w:val="15"/>
                <w:color w:val="auto"/>
              </w:rPr>
            </w:pPr>
          </w:p>
        </w:tc>
      </w:tr>
      <w:tr>
        <w:trPr>
          <w:trHeight w:val="145"/>
        </w:trPr>
        <w:tc>
          <w:tcPr>
            <w:tcW w:w="20" w:type="dxa"/>
            <w:vAlign w:val="bottom"/>
          </w:tcPr>
          <w:p>
            <w:pPr>
              <w:spacing w:after="0"/>
              <w:rPr>
                <w:sz w:val="12"/>
                <w:szCs w:val="12"/>
                <w:color w:val="auto"/>
              </w:rPr>
            </w:pPr>
          </w:p>
        </w:tc>
        <w:tc>
          <w:tcPr>
            <w:tcW w:w="1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w w:val="99"/>
              </w:rPr>
              <w:t>Weighted-Average Assumptions</w:t>
            </w:r>
          </w:p>
        </w:tc>
        <w:tc>
          <w:tcPr>
            <w:tcW w:w="1180" w:type="dxa"/>
            <w:vAlign w:val="bottom"/>
          </w:tcPr>
          <w:p>
            <w:pPr>
              <w:jc w:val="right"/>
              <w:ind w:right="375"/>
              <w:spacing w:after="0" w:line="145"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500" w:type="dxa"/>
            <w:vAlign w:val="bottom"/>
          </w:tcPr>
          <w:p>
            <w:pPr>
              <w:jc w:val="right"/>
              <w:ind w:right="517"/>
              <w:spacing w:after="0" w:line="145"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520" w:type="dxa"/>
            <w:vAlign w:val="bottom"/>
          </w:tcPr>
          <w:p>
            <w:pPr>
              <w:jc w:val="right"/>
              <w:ind w:right="537"/>
              <w:spacing w:after="0" w:line="14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540" w:type="dxa"/>
            <w:vAlign w:val="bottom"/>
          </w:tcPr>
          <w:p>
            <w:pPr>
              <w:jc w:val="right"/>
              <w:ind w:right="557"/>
              <w:spacing w:after="0" w:line="145"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560" w:type="dxa"/>
            <w:vAlign w:val="bottom"/>
          </w:tcPr>
          <w:p>
            <w:pPr>
              <w:jc w:val="right"/>
              <w:ind w:right="555"/>
              <w:spacing w:after="0" w:line="145"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ind w:right="555"/>
              <w:spacing w:after="0" w:line="145"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33"/>
        </w:trPr>
        <w:tc>
          <w:tcPr>
            <w:tcW w:w="20" w:type="dxa"/>
            <w:vAlign w:val="bottom"/>
            <w:tcBorders>
              <w:bottom w:val="single" w:sz="8" w:color="CCEEFF"/>
            </w:tcBorders>
          </w:tcPr>
          <w:p>
            <w:pPr>
              <w:spacing w:after="0"/>
              <w:rPr>
                <w:sz w:val="2"/>
                <w:szCs w:val="2"/>
                <w:color w:val="auto"/>
              </w:rPr>
            </w:pPr>
          </w:p>
        </w:tc>
        <w:tc>
          <w:tcPr>
            <w:tcW w:w="1920" w:type="dxa"/>
            <w:vAlign w:val="bottom"/>
            <w:tcBorders>
              <w:top w:val="single" w:sz="8" w:color="auto"/>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5.63 %</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5.53 %</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5.19 %</w:t>
            </w:r>
          </w:p>
        </w:tc>
      </w:tr>
      <w:tr>
        <w:trPr>
          <w:trHeight w:val="224"/>
        </w:trPr>
        <w:tc>
          <w:tcPr>
            <w:tcW w:w="20" w:type="dxa"/>
            <w:vAlign w:val="bottom"/>
          </w:tcPr>
          <w:p>
            <w:pPr>
              <w:spacing w:after="0"/>
              <w:rPr>
                <w:sz w:val="19"/>
                <w:szCs w:val="19"/>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crediting rate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5.38 %</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5.67 %</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r>
      <w:tr>
        <w:trPr>
          <w:trHeight w:val="171"/>
        </w:trPr>
        <w:tc>
          <w:tcPr>
            <w:tcW w:w="2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Expected return on plan</w:t>
            </w: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237"/>
        </w:trPr>
        <w:tc>
          <w:tcPr>
            <w:tcW w:w="2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6.92 %</w:t>
            </w: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6.65 %</w:t>
            </w:r>
          </w:p>
        </w:tc>
        <w:tc>
          <w:tcPr>
            <w:tcW w:w="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5.55 %</w:t>
            </w:r>
          </w:p>
        </w:tc>
        <w:tc>
          <w:tcPr>
            <w:tcW w:w="10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20" w:type="dxa"/>
            <w:vAlign w:val="bottom"/>
          </w:tcPr>
          <w:p>
            <w:pPr>
              <w:spacing w:after="0"/>
              <w:rPr>
                <w:sz w:val="14"/>
                <w:szCs w:val="14"/>
                <w:color w:val="auto"/>
              </w:rPr>
            </w:pPr>
          </w:p>
        </w:tc>
        <w:tc>
          <w:tcPr>
            <w:tcW w:w="194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Rate of compensation</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37"/>
        </w:trPr>
        <w:tc>
          <w:tcPr>
            <w:tcW w:w="20" w:type="dxa"/>
            <w:vAlign w:val="bottom"/>
          </w:tcPr>
          <w:p>
            <w:pPr>
              <w:spacing w:after="0"/>
              <w:rPr>
                <w:sz w:val="20"/>
                <w:szCs w:val="20"/>
                <w:color w:val="auto"/>
              </w:rPr>
            </w:pPr>
          </w:p>
        </w:tc>
        <w:tc>
          <w:tcPr>
            <w:tcW w:w="1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increase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10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100"/>
              <w:spacing w:after="0" w:line="171" w:lineRule="exact"/>
              <w:rPr>
                <w:sz w:val="20"/>
                <w:szCs w:val="20"/>
                <w:color w:val="auto"/>
              </w:rPr>
            </w:pPr>
            <w:r>
              <w:rPr>
                <w:rFonts w:ascii="Times New Roman" w:cs="Times New Roman" w:eastAsia="Times New Roman" w:hAnsi="Times New Roman"/>
                <w:sz w:val="18"/>
                <w:szCs w:val="18"/>
                <w:color w:val="auto"/>
              </w:rPr>
              <w:t>8.3% grading to</w:t>
            </w:r>
          </w:p>
        </w:tc>
        <w:tc>
          <w:tcPr>
            <w:tcW w:w="1880" w:type="dxa"/>
            <w:vAlign w:val="bottom"/>
            <w:gridSpan w:val="3"/>
            <w:shd w:val="clear" w:color="auto" w:fill="CCEEFF"/>
          </w:tcPr>
          <w:p>
            <w:pPr>
              <w:jc w:val="right"/>
              <w:ind w:right="340"/>
              <w:spacing w:after="0" w:line="171" w:lineRule="exact"/>
              <w:rPr>
                <w:sz w:val="20"/>
                <w:szCs w:val="20"/>
                <w:color w:val="auto"/>
              </w:rPr>
            </w:pPr>
            <w:r>
              <w:rPr>
                <w:rFonts w:ascii="Times New Roman" w:cs="Times New Roman" w:eastAsia="Times New Roman" w:hAnsi="Times New Roman"/>
                <w:sz w:val="18"/>
                <w:szCs w:val="18"/>
                <w:color w:val="auto"/>
              </w:rPr>
              <w:t>7.4% grading to</w:t>
            </w:r>
          </w:p>
        </w:tc>
        <w:tc>
          <w:tcPr>
            <w:tcW w:w="13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7.2% grading to</w:t>
            </w:r>
          </w:p>
        </w:tc>
      </w:tr>
      <w:tr>
        <w:trPr>
          <w:trHeight w:val="237"/>
        </w:trPr>
        <w:tc>
          <w:tcPr>
            <w:tcW w:w="2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 care trend rate</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 in 2035</w:t>
            </w:r>
          </w:p>
        </w:tc>
        <w:tc>
          <w:tcPr>
            <w:tcW w:w="18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 in 2033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in 2028</w:t>
            </w:r>
          </w:p>
        </w:tc>
      </w:tr>
    </w:tbl>
    <w:p>
      <w:pPr>
        <w:spacing w:after="0" w:line="166"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NRG uses December 31 of each respective year as the measurement date for the Company's pension and other postretirement benefit plans. The Company sets the discount rate assumptions on an annual basis for each of NRG's defined benefit retirement and other postretirement benefit plans as of December 31. The discount rate assumptions represent the current rate at which the associated liabilities could be effectively settled at December 31. The Company utilizes the Aon AA Above Median, or AA-AM, yield curve for the U.S.plans and the AON Canada yield curve for the Canadian other postretirement plan to select the appropriate discount rate assumption. The AA-AM yield curve is a hypothetical AA yield curve represented by a series of annualized individual spot discount rates from 6 months to 99 years. Under the AA-AM yield curve, each bond issue used to build this yield curve must be non-callable, and have an average rating of AA when averaging available Moody's Investor Services, Standard &amp; Poor's and Fitch ratings. The Aon Canada yield curve is based on high quality Canadian corporate bonds.</w:t>
      </w:r>
    </w:p>
    <w:p>
      <w:pPr>
        <w:spacing w:after="0" w:line="85"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NRG employs a total return investment approach, whereby a mix of equities and fixed income investments are used to maximize the long-term return of plan assets for a prudent level of risk. Risk tolerance is established through careful consideration of plan liabilities, plan funded status, and corporate financial condition. The Investment Committee reviews the asset mix periodically and as the plan assets increase in future years, the Investment Committee may examine other asset classes such as real estate or private equity. NRG employs a building block approach to determining the long-term rate of return assumption for plan assets, with proper consideration given to diversification and rebalancing. Historical markets are studied and long-term historical relationships between equities and fixed income are preserved, consistent with the widely accepted capital market principle that assets with higher volatility generate a greater return over the long run. Current factors such as inflation and interest rates are evaluated before long-term capital market assumptions are determined. Peer data and historical returns are reviewed to check for reasonableness and appropriateness.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target allocations of NRG's pension plan assets were as follows for the year ended December 31, 2025:</w:t>
            </w:r>
          </w:p>
        </w:tc>
        <w:tc>
          <w:tcPr>
            <w:tcW w:w="1820" w:type="dxa"/>
            <w:vAlign w:val="bottom"/>
          </w:tcPr>
          <w:p>
            <w:pPr>
              <w:spacing w:after="0"/>
              <w:rPr>
                <w:sz w:val="19"/>
                <w:szCs w:val="19"/>
                <w:color w:val="auto"/>
              </w:rPr>
            </w:pPr>
          </w:p>
        </w:tc>
      </w:tr>
      <w:tr>
        <w:trPr>
          <w:trHeight w:val="132"/>
        </w:trPr>
        <w:tc>
          <w:tcPr>
            <w:tcW w:w="9380" w:type="dxa"/>
            <w:vAlign w:val="bottom"/>
          </w:tcPr>
          <w:p>
            <w:pPr>
              <w:spacing w:after="0"/>
              <w:rPr>
                <w:sz w:val="11"/>
                <w:szCs w:val="11"/>
                <w:color w:val="auto"/>
              </w:rPr>
            </w:pPr>
          </w:p>
        </w:tc>
        <w:tc>
          <w:tcPr>
            <w:tcW w:w="1820" w:type="dxa"/>
            <w:vAlign w:val="bottom"/>
          </w:tcPr>
          <w:p>
            <w:pPr>
              <w:spacing w:after="0"/>
              <w:rPr>
                <w:sz w:val="11"/>
                <w:szCs w:val="11"/>
                <w:color w:val="auto"/>
              </w:rPr>
            </w:pPr>
          </w:p>
        </w:tc>
      </w:tr>
      <w:tr>
        <w:trPr>
          <w:trHeight w:val="224"/>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equity</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4"/>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Non-U.S. equity</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4"/>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Non-core assets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8"/>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bl>
    <w:p>
      <w:pPr>
        <w:spacing w:after="0" w:line="174"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Plan assets are currently invested in a diversified blend of equity and fixed-income investments. Furthermore, equity investments are diversified across U.S., non-U.S., global, and emerging market equities, as well as among growth, value, small and large capitalization stocks.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39" w:name="page140"/>
    <w:bookmarkEnd w:id="139"/>
    <w:p>
      <w:pPr>
        <w:ind w:firstLine="395"/>
        <w:spacing w:after="0" w:line="268" w:lineRule="auto"/>
        <w:rPr>
          <w:sz w:val="20"/>
          <w:szCs w:val="20"/>
          <w:color w:val="auto"/>
        </w:rPr>
      </w:pPr>
      <w:r>
        <w:rPr>
          <w:rFonts w:ascii="Times New Roman" w:cs="Times New Roman" w:eastAsia="Times New Roman" w:hAnsi="Times New Roman"/>
          <w:sz w:val="18"/>
          <w:szCs w:val="18"/>
          <w:color w:val="auto"/>
        </w:rPr>
        <w:t>Investment risk and performance are monitored on an ongoing basis through quarterly portfolio reviews of each asset fund class to a related performance benchmark, if applicable, and annual pension liability measurements. Performance benchmarks are composed of the following indices: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80" w:type="dxa"/>
            <w:vAlign w:val="bottom"/>
            <w:gridSpan w:val="2"/>
          </w:tcPr>
          <w:p>
            <w:pPr>
              <w:ind w:left="222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5560" w:type="dxa"/>
            <w:vAlign w:val="bottom"/>
          </w:tcPr>
          <w:p>
            <w:pPr>
              <w:ind w:left="2600"/>
              <w:spacing w:after="0"/>
              <w:rPr>
                <w:sz w:val="20"/>
                <w:szCs w:val="20"/>
                <w:color w:val="auto"/>
              </w:rPr>
            </w:pPr>
            <w:r>
              <w:rPr>
                <w:rFonts w:ascii="Times New Roman" w:cs="Times New Roman" w:eastAsia="Times New Roman" w:hAnsi="Times New Roman"/>
                <w:sz w:val="14"/>
                <w:szCs w:val="14"/>
                <w:b w:val="1"/>
                <w:bCs w:val="1"/>
                <w:color w:val="auto"/>
              </w:rPr>
              <w:t>Index</w:t>
            </w:r>
          </w:p>
        </w:tc>
      </w:tr>
      <w:tr>
        <w:trPr>
          <w:trHeight w:val="24"/>
        </w:trPr>
        <w:tc>
          <w:tcPr>
            <w:tcW w:w="5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r>
      <w:tr>
        <w:trPr>
          <w:trHeight w:val="217"/>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equities</w:t>
            </w:r>
          </w:p>
        </w:tc>
        <w:tc>
          <w:tcPr>
            <w:tcW w:w="100" w:type="dxa"/>
            <w:vAlign w:val="bottom"/>
            <w:shd w:val="clear" w:color="auto" w:fill="CCEEFF"/>
          </w:tcPr>
          <w:p>
            <w:pPr>
              <w:spacing w:after="0"/>
              <w:rPr>
                <w:sz w:val="18"/>
                <w:szCs w:val="18"/>
                <w:color w:val="auto"/>
              </w:rPr>
            </w:pPr>
          </w:p>
        </w:tc>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 Jones U.S. Total Stock Market Index</w:t>
            </w:r>
          </w:p>
        </w:tc>
      </w:tr>
      <w:tr>
        <w:trPr>
          <w:trHeight w:val="224"/>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Non-U.S. equities</w:t>
            </w: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MSCI All Country World Index</w:t>
            </w:r>
          </w:p>
        </w:tc>
      </w:tr>
      <w:tr>
        <w:trPr>
          <w:trHeight w:val="224"/>
        </w:trPr>
        <w:tc>
          <w:tcPr>
            <w:tcW w:w="5680" w:type="dxa"/>
            <w:vAlign w:val="bottom"/>
            <w:gridSpan w:val="2"/>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Non-core assets</w:t>
            </w:r>
            <w:r>
              <w:rPr>
                <w:rFonts w:ascii="Times New Roman" w:cs="Times New Roman" w:eastAsia="Times New Roman" w:hAnsi="Times New Roman"/>
                <w:sz w:val="22"/>
                <w:szCs w:val="22"/>
                <w:color w:val="auto"/>
                <w:vertAlign w:val="superscript"/>
              </w:rPr>
              <w:t>(a)</w:t>
            </w:r>
          </w:p>
        </w:tc>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 (per underlying asset class)</w:t>
            </w:r>
          </w:p>
        </w:tc>
      </w:tr>
      <w:tr>
        <w:trPr>
          <w:trHeight w:val="192"/>
        </w:trPr>
        <w:tc>
          <w:tcPr>
            <w:tcW w:w="5680" w:type="dxa"/>
            <w:vAlign w:val="bottom"/>
            <w:gridSpan w:val="2"/>
          </w:tcPr>
          <w:p>
            <w:pPr>
              <w:ind w:left="20"/>
              <w:spacing w:after="0" w:line="192" w:lineRule="exact"/>
              <w:rPr>
                <w:sz w:val="20"/>
                <w:szCs w:val="20"/>
                <w:color w:val="auto"/>
              </w:rPr>
            </w:pPr>
            <w:r>
              <w:rPr>
                <w:rFonts w:ascii="Times New Roman" w:cs="Times New Roman" w:eastAsia="Times New Roman" w:hAnsi="Times New Roman"/>
                <w:sz w:val="18"/>
                <w:szCs w:val="18"/>
                <w:color w:val="auto"/>
              </w:rPr>
              <w:t>Fixed income securities</w:t>
            </w:r>
          </w:p>
        </w:tc>
        <w:tc>
          <w:tcPr>
            <w:tcW w:w="556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w w:val="99"/>
              </w:rPr>
              <w:t>Barclays U.S. Long Credit Index, Barclays U.S. Strips 20+ Year Bond Index</w:t>
            </w:r>
          </w:p>
        </w:tc>
      </w:tr>
      <w:tr>
        <w:trPr>
          <w:trHeight w:val="228"/>
        </w:trPr>
        <w:tc>
          <w:tcPr>
            <w:tcW w:w="5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Citigroup Strips Index 20+ Sub Index</w:t>
            </w:r>
          </w:p>
        </w:tc>
      </w:tr>
    </w:tbl>
    <w:p>
      <w:pPr>
        <w:spacing w:after="0" w:line="97" w:lineRule="exact"/>
        <w:rPr>
          <w:sz w:val="20"/>
          <w:szCs w:val="20"/>
          <w:color w:val="auto"/>
        </w:rPr>
      </w:pPr>
    </w:p>
    <w:p>
      <w:pPr>
        <w:jc w:val="both"/>
        <w:ind w:left="400" w:hanging="395"/>
        <w:spacing w:after="0" w:line="261" w:lineRule="auto"/>
        <w:tabs>
          <w:tab w:leader="none" w:pos="398"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Non-Core Assets are defined as diversifying asset classes approved by the Investment Committee that are intended to enhance returns and/or reduce volatility of the U.S. and non-U.S. equities. Asset classes considered Non-Core include, but may not be limited to: Emerging Market Equity, Emerging Market Debt, Non-US Developed Market Small Cap, High Yield Fixed Income, Real Estate, Bank Loans, Global Infrastructure and other Alternatives</w:t>
      </w:r>
    </w:p>
    <w:p>
      <w:pPr>
        <w:spacing w:after="0" w:line="3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NRG's expected future benefit payments for each of the next five years, and in the aggregate for the five years thereafter, are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80" w:type="dxa"/>
            <w:vAlign w:val="bottom"/>
          </w:tcPr>
          <w:p>
            <w:pPr>
              <w:spacing w:after="0"/>
              <w:rPr>
                <w:sz w:val="16"/>
                <w:szCs w:val="16"/>
                <w:color w:val="auto"/>
              </w:rPr>
            </w:pPr>
          </w:p>
        </w:tc>
        <w:tc>
          <w:tcPr>
            <w:tcW w:w="1400" w:type="dxa"/>
            <w:vAlign w:val="bottom"/>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w w:val="98"/>
              </w:rPr>
              <w:t>Pension</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40" w:type="dxa"/>
            <w:vAlign w:val="bottom"/>
            <w:gridSpan w:val="4"/>
          </w:tcPr>
          <w:p>
            <w:pPr>
              <w:jc w:val="right"/>
              <w:ind w:right="937"/>
              <w:spacing w:after="0"/>
              <w:rPr>
                <w:sz w:val="20"/>
                <w:szCs w:val="20"/>
                <w:color w:val="auto"/>
              </w:rPr>
            </w:pPr>
            <w:r>
              <w:rPr>
                <w:rFonts w:ascii="Times New Roman" w:cs="Times New Roman" w:eastAsia="Times New Roman" w:hAnsi="Times New Roman"/>
                <w:sz w:val="14"/>
                <w:szCs w:val="14"/>
                <w:b w:val="1"/>
                <w:bCs w:val="1"/>
                <w:color w:val="auto"/>
              </w:rPr>
              <w:t>Other Postretirement Benefit</w:t>
            </w:r>
          </w:p>
        </w:tc>
        <w:tc>
          <w:tcPr>
            <w:tcW w:w="0" w:type="dxa"/>
            <w:vAlign w:val="bottom"/>
          </w:tcPr>
          <w:p>
            <w:pPr>
              <w:spacing w:after="0"/>
              <w:rPr>
                <w:sz w:val="1"/>
                <w:szCs w:val="1"/>
                <w:color w:val="auto"/>
              </w:rPr>
            </w:pPr>
          </w:p>
        </w:tc>
      </w:tr>
      <w:tr>
        <w:trPr>
          <w:trHeight w:val="24"/>
        </w:trPr>
        <w:tc>
          <w:tcPr>
            <w:tcW w:w="55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55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0" w:type="dxa"/>
            <w:vAlign w:val="bottom"/>
            <w:vMerge w:val="restart"/>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Benefit Payments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Benefit Payments</w:t>
            </w:r>
          </w:p>
        </w:tc>
        <w:tc>
          <w:tcPr>
            <w:tcW w:w="120" w:type="dxa"/>
            <w:vAlign w:val="bottom"/>
          </w:tcPr>
          <w:p>
            <w:pPr>
              <w:spacing w:after="0"/>
              <w:rPr>
                <w:sz w:val="11"/>
                <w:szCs w:val="11"/>
                <w:color w:val="auto"/>
              </w:rPr>
            </w:pPr>
          </w:p>
        </w:tc>
        <w:tc>
          <w:tcPr>
            <w:tcW w:w="1800" w:type="dxa"/>
            <w:vAlign w:val="bottom"/>
          </w:tcPr>
          <w:p>
            <w:pPr>
              <w:jc w:val="right"/>
              <w:ind w:right="37"/>
              <w:spacing w:after="0" w:line="127" w:lineRule="exact"/>
              <w:rPr>
                <w:sz w:val="20"/>
                <w:szCs w:val="20"/>
                <w:color w:val="auto"/>
              </w:rPr>
            </w:pPr>
            <w:r>
              <w:rPr>
                <w:rFonts w:ascii="Times New Roman" w:cs="Times New Roman" w:eastAsia="Times New Roman" w:hAnsi="Times New Roman"/>
                <w:sz w:val="14"/>
                <w:szCs w:val="14"/>
                <w:b w:val="1"/>
                <w:bCs w:val="1"/>
                <w:color w:val="auto"/>
                <w:w w:val="98"/>
              </w:rPr>
              <w:t>Medicare Prescription Drug</w:t>
            </w:r>
          </w:p>
        </w:tc>
        <w:tc>
          <w:tcPr>
            <w:tcW w:w="0" w:type="dxa"/>
            <w:vAlign w:val="bottom"/>
          </w:tcPr>
          <w:p>
            <w:pPr>
              <w:spacing w:after="0"/>
              <w:rPr>
                <w:sz w:val="1"/>
                <w:szCs w:val="1"/>
                <w:color w:val="auto"/>
              </w:rPr>
            </w:pPr>
          </w:p>
        </w:tc>
      </w:tr>
      <w:tr>
        <w:trPr>
          <w:trHeight w:val="190"/>
        </w:trPr>
        <w:tc>
          <w:tcPr>
            <w:tcW w:w="558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Reimbursements</w:t>
            </w:r>
          </w:p>
        </w:tc>
        <w:tc>
          <w:tcPr>
            <w:tcW w:w="0" w:type="dxa"/>
            <w:vAlign w:val="bottom"/>
          </w:tcPr>
          <w:p>
            <w:pPr>
              <w:spacing w:after="0"/>
              <w:rPr>
                <w:sz w:val="1"/>
                <w:szCs w:val="1"/>
                <w:color w:val="auto"/>
              </w:rPr>
            </w:pPr>
          </w:p>
        </w:tc>
      </w:tr>
      <w:tr>
        <w:trPr>
          <w:trHeight w:val="222"/>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0" w:type="dxa"/>
            <w:vAlign w:val="bottom"/>
            <w:tcBorders>
              <w:top w:val="single" w:sz="8" w:color="auto"/>
            </w:tcBorders>
            <w:shd w:val="clear" w:color="auto" w:fill="CCEEFF"/>
          </w:tcPr>
          <w:p>
            <w:pPr>
              <w:jc w:val="right"/>
              <w:ind w:right="122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4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2031-2035</w:t>
            </w:r>
          </w:p>
        </w:tc>
        <w:tc>
          <w:tcPr>
            <w:tcW w:w="14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NRG's employees are also eligible to participate in defined contribution 401(k) plans.</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costs related to these plans were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06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recognized for defined contribution plans</w:t>
            </w:r>
          </w:p>
        </w:tc>
        <w:tc>
          <w:tcPr>
            <w:tcW w:w="1180" w:type="dxa"/>
            <w:vAlign w:val="bottom"/>
            <w:shd w:val="clear" w:color="auto" w:fill="CCEEFF"/>
          </w:tcPr>
          <w:p>
            <w:pPr>
              <w:jc w:val="right"/>
              <w:ind w:right="100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40" w:name="page141"/>
    <w:bookmarkEnd w:id="140"/>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Note 15 — </w:t>
      </w:r>
      <w:r>
        <w:rPr>
          <w:rFonts w:ascii="Times New Roman" w:cs="Times New Roman" w:eastAsia="Times New Roman" w:hAnsi="Times New Roman"/>
          <w:sz w:val="18"/>
          <w:szCs w:val="18"/>
          <w:b w:val="1"/>
          <w:bCs w:val="1"/>
          <w:i w:val="1"/>
          <w:iCs w:val="1"/>
          <w:color w:val="auto"/>
        </w:rPr>
        <w:t>Capital Structure</w:t>
      </w:r>
    </w:p>
    <w:p>
      <w:pPr>
        <w:spacing w:after="0" w:line="113" w:lineRule="exact"/>
        <w:rPr>
          <w:sz w:val="20"/>
          <w:szCs w:val="20"/>
          <w:color w:val="auto"/>
        </w:rPr>
      </w:pPr>
    </w:p>
    <w:p>
      <w:pPr>
        <w:jc w:val="both"/>
        <w:ind w:left="80" w:firstLine="395"/>
        <w:spacing w:after="0" w:line="332" w:lineRule="auto"/>
        <w:rPr>
          <w:sz w:val="20"/>
          <w:szCs w:val="20"/>
          <w:color w:val="auto"/>
        </w:rPr>
      </w:pPr>
      <w:r>
        <w:rPr>
          <w:rFonts w:ascii="Times New Roman" w:cs="Times New Roman" w:eastAsia="Times New Roman" w:hAnsi="Times New Roman"/>
          <w:sz w:val="16"/>
          <w:szCs w:val="16"/>
          <w:color w:val="auto"/>
        </w:rPr>
        <w:t>For the period from December 31, 2022 to December 31, 2025, the Company had 10,000,000 shares of preferred stock authorized and 500,000,000 shares of common stock authorized. The following table reflects the changes in NRG's preferred and common shares issued and outstanding for each period presented:</w:t>
      </w:r>
    </w:p>
    <w:p>
      <w:pPr>
        <w:spacing w:after="0" w:line="77" w:lineRule="exact"/>
        <w:rPr>
          <w:sz w:val="20"/>
          <w:szCs w:val="20"/>
          <w:color w:val="auto"/>
        </w:rPr>
      </w:pPr>
    </w:p>
    <w:tbl>
      <w:tblPr>
        <w:tblLayout w:type="fixed"/>
        <w:tblInd w:w="80" w:type="dxa"/>
        <w:tblCellMar>
          <w:top w:w="0" w:type="dxa"/>
          <w:left w:w="0" w:type="dxa"/>
          <w:bottom w:w="0" w:type="dxa"/>
          <w:right w:w="0" w:type="dxa"/>
        </w:tblCellMar>
      </w:tblPr>
      <w:tr>
        <w:trPr>
          <w:trHeight w:val="185"/>
        </w:trPr>
        <w:tc>
          <w:tcPr>
            <w:tcW w:w="3900" w:type="dxa"/>
            <w:vAlign w:val="bottom"/>
          </w:tcPr>
          <w:p>
            <w:pPr>
              <w:spacing w:after="0"/>
              <w:rPr>
                <w:sz w:val="16"/>
                <w:szCs w:val="16"/>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Preferred Shares</w:t>
            </w: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760" w:type="dxa"/>
            <w:vAlign w:val="bottom"/>
          </w:tcPr>
          <w:p>
            <w:pPr>
              <w:spacing w:after="0"/>
              <w:rPr>
                <w:sz w:val="16"/>
                <w:szCs w:val="16"/>
                <w:color w:val="auto"/>
              </w:rPr>
            </w:pPr>
          </w:p>
        </w:tc>
      </w:tr>
      <w:tr>
        <w:trPr>
          <w:trHeight w:val="24"/>
        </w:trPr>
        <w:tc>
          <w:tcPr>
            <w:tcW w:w="39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80"/>
        </w:trPr>
        <w:tc>
          <w:tcPr>
            <w:tcW w:w="3900" w:type="dxa"/>
            <w:vAlign w:val="bottom"/>
          </w:tcPr>
          <w:p>
            <w:pPr>
              <w:spacing w:after="0"/>
              <w:rPr>
                <w:sz w:val="15"/>
                <w:szCs w:val="15"/>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Issued and Outstanding</w:t>
            </w:r>
          </w:p>
        </w:tc>
        <w:tc>
          <w:tcPr>
            <w:tcW w:w="186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7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24"/>
        </w:trPr>
        <w:tc>
          <w:tcPr>
            <w:tcW w:w="39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7"/>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423,897,001</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(194,335,971)</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229,561,030</w:t>
            </w:r>
          </w:p>
        </w:tc>
      </w:tr>
      <w:tr>
        <w:trPr>
          <w:trHeight w:val="224"/>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Series A Preferred Stock</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issued under ESPP</w:t>
            </w: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191,249</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191,249</w:t>
            </w:r>
          </w:p>
        </w:tc>
      </w:tr>
      <w:tr>
        <w:trPr>
          <w:trHeight w:val="224"/>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issued under LTIPs</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1,109,611</w:t>
            </w:r>
          </w:p>
        </w:tc>
        <w:tc>
          <w:tcPr>
            <w:tcW w:w="12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1,109,611</w:t>
            </w:r>
          </w:p>
        </w:tc>
      </w:tr>
      <w:tr>
        <w:trPr>
          <w:trHeight w:val="224"/>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 repurchases</w:t>
            </w: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(22,730,940)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(22,730,940)</w:t>
            </w:r>
          </w:p>
        </w:tc>
      </w:tr>
      <w:tr>
        <w:trPr>
          <w:trHeight w:val="224"/>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(157,676,142)</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157,676,142</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267,330,470</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(59,199,520)</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208,130,950</w:t>
            </w:r>
          </w:p>
        </w:tc>
      </w:tr>
      <w:tr>
        <w:trPr>
          <w:trHeight w:val="224"/>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issued under ESPP</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242,070</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242,070</w:t>
            </w:r>
          </w:p>
        </w:tc>
      </w:tr>
      <w:tr>
        <w:trPr>
          <w:trHeight w:val="224"/>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issued under LTIPs</w:t>
            </w: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1,959,134</w:t>
            </w:r>
          </w:p>
        </w:tc>
        <w:tc>
          <w:tcPr>
            <w:tcW w:w="1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1,959,134</w:t>
            </w:r>
          </w:p>
        </w:tc>
      </w:tr>
      <w:tr>
        <w:trPr>
          <w:trHeight w:val="224"/>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repurchases</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(11,725,563)</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(11,725,563)</w:t>
            </w:r>
          </w:p>
        </w:tc>
      </w:tr>
      <w:tr>
        <w:trPr>
          <w:trHeight w:val="224"/>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Partial settlement of Capped Call Options</w:t>
            </w: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r>
      <w:tr>
        <w:trPr>
          <w:trHeight w:val="224"/>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(64,225,546)</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64,225,546</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205,064,058</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(6,460,055)</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198,604,003</w:t>
            </w:r>
          </w:p>
        </w:tc>
      </w:tr>
      <w:tr>
        <w:trPr>
          <w:trHeight w:val="224"/>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issued under ESPP</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175,907</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175,907</w:t>
            </w:r>
          </w:p>
        </w:tc>
      </w:tr>
      <w:tr>
        <w:trPr>
          <w:trHeight w:val="224"/>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issued under LTIPs</w:t>
            </w: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1,792,902</w:t>
            </w:r>
          </w:p>
        </w:tc>
        <w:tc>
          <w:tcPr>
            <w:tcW w:w="1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1,792,902</w:t>
            </w:r>
          </w:p>
        </w:tc>
      </w:tr>
      <w:tr>
        <w:trPr>
          <w:trHeight w:val="224"/>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repurchases</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(9,971,620)</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(9,971,620)</w:t>
            </w:r>
          </w:p>
        </w:tc>
      </w:tr>
      <w:tr>
        <w:trPr>
          <w:trHeight w:val="224"/>
        </w:trPr>
        <w:tc>
          <w:tcPr>
            <w:tcW w:w="390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Settlement of Capped Call Options</w:t>
            </w:r>
            <w:r>
              <w:rPr>
                <w:rFonts w:ascii="Times New Roman" w:cs="Times New Roman" w:eastAsia="Times New Roman" w:hAnsi="Times New Roman"/>
                <w:sz w:val="22"/>
                <w:szCs w:val="22"/>
                <w:color w:val="auto"/>
                <w:vertAlign w:val="superscript"/>
              </w:rPr>
              <w:t>(a)</w:t>
            </w: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(4,211,054)</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(4,211,054)</w:t>
            </w:r>
          </w:p>
        </w:tc>
      </w:tr>
      <w:tr>
        <w:trPr>
          <w:trHeight w:val="224"/>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Conversions of Convertible Senior Notes</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3,986,469</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3,986,469</w:t>
            </w:r>
          </w:p>
        </w:tc>
      </w:tr>
      <w:tr>
        <w:trPr>
          <w:trHeight w:val="224"/>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(7,028,345)</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7,028,345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199,828,615</w:t>
            </w:r>
          </w:p>
        </w:tc>
        <w:tc>
          <w:tcPr>
            <w:tcW w:w="120" w:type="dxa"/>
            <w:vAlign w:val="bottom"/>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(9,452,008)</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190,376,607</w:t>
            </w:r>
          </w:p>
        </w:tc>
      </w:tr>
      <w:tr>
        <w:trPr>
          <w:trHeight w:val="224"/>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issued under LTIPs</w:t>
            </w: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707,836</w:t>
            </w:r>
          </w:p>
        </w:tc>
        <w:tc>
          <w:tcPr>
            <w:tcW w:w="1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707,836</w:t>
            </w:r>
          </w:p>
        </w:tc>
      </w:tr>
      <w:tr>
        <w:trPr>
          <w:trHeight w:val="224"/>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repurchases</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(656,900)</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(656,900)</w:t>
            </w:r>
          </w:p>
        </w:tc>
      </w:tr>
      <w:tr>
        <w:trPr>
          <w:trHeight w:val="224"/>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Shares issued for the acquisition of the LSP Portfolio</w:t>
            </w: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24,250,000</w:t>
            </w:r>
          </w:p>
        </w:tc>
        <w:tc>
          <w:tcPr>
            <w:tcW w:w="1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24,250,000</w:t>
            </w:r>
          </w:p>
        </w:tc>
      </w:tr>
      <w:tr>
        <w:trPr>
          <w:trHeight w:val="224"/>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(340,900)</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340,900</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31, 2026</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224,445,551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(9,768,008)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214,677,543</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Consists of partial settlement of 134 shares on June 2, 2025 and final settlement of 4,210,920 shares on July 8, 2025</w:t>
      </w:r>
    </w:p>
    <w:p>
      <w:pPr>
        <w:spacing w:after="0" w:line="10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1" w:lineRule="exact"/>
        <w:rPr>
          <w:sz w:val="20"/>
          <w:szCs w:val="20"/>
          <w:color w:val="auto"/>
        </w:rPr>
      </w:pPr>
    </w:p>
    <w:p>
      <w:pPr>
        <w:jc w:val="both"/>
        <w:ind w:left="80" w:firstLine="395"/>
        <w:spacing w:after="0" w:line="268" w:lineRule="auto"/>
        <w:rPr>
          <w:sz w:val="20"/>
          <w:szCs w:val="20"/>
          <w:color w:val="auto"/>
        </w:rPr>
      </w:pPr>
      <w:r>
        <w:rPr>
          <w:rFonts w:ascii="Times New Roman" w:cs="Times New Roman" w:eastAsia="Times New Roman" w:hAnsi="Times New Roman"/>
          <w:sz w:val="18"/>
          <w:szCs w:val="18"/>
          <w:color w:val="auto"/>
        </w:rPr>
        <w:t>As of December 31, 2025, NRG had 23,607,174 shares of common stock reserved for the maximum number of shares potentially issuable based on the conversion and redemption features of the long-term incentive plans.</w:t>
      </w:r>
    </w:p>
    <w:p>
      <w:pPr>
        <w:spacing w:after="0" w:line="64" w:lineRule="exact"/>
        <w:rPr>
          <w:sz w:val="20"/>
          <w:szCs w:val="20"/>
          <w:color w:val="auto"/>
        </w:rPr>
      </w:pPr>
    </w:p>
    <w:p>
      <w:pPr>
        <w:jc w:val="both"/>
        <w:ind w:left="80" w:firstLine="395"/>
        <w:spacing w:after="0" w:line="268" w:lineRule="auto"/>
        <w:rPr>
          <w:sz w:val="20"/>
          <w:szCs w:val="20"/>
          <w:color w:val="auto"/>
        </w:rPr>
      </w:pPr>
      <w:r>
        <w:rPr>
          <w:rFonts w:ascii="Times New Roman" w:cs="Times New Roman" w:eastAsia="Times New Roman" w:hAnsi="Times New Roman"/>
          <w:sz w:val="18"/>
          <w:szCs w:val="18"/>
          <w:color w:val="auto"/>
        </w:rPr>
        <w:t>On January 30, 2026, as part of the purchase consideration for the LSP Portfolio acquisition, the Company issued 24.25 million shares of NRG common stock, par value $0.01 per share.</w:t>
      </w:r>
    </w:p>
    <w:p>
      <w:pPr>
        <w:spacing w:after="0" w:line="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Common Stock Dividends</w:t>
      </w:r>
    </w:p>
    <w:p>
      <w:pPr>
        <w:spacing w:after="0" w:line="111" w:lineRule="exact"/>
        <w:rPr>
          <w:sz w:val="20"/>
          <w:szCs w:val="20"/>
          <w:color w:val="auto"/>
        </w:rPr>
      </w:pPr>
    </w:p>
    <w:p>
      <w:pPr>
        <w:jc w:val="both"/>
        <w:ind w:left="80" w:firstLine="395"/>
        <w:spacing w:after="0" w:line="268" w:lineRule="auto"/>
        <w:rPr>
          <w:sz w:val="20"/>
          <w:szCs w:val="20"/>
          <w:color w:val="auto"/>
        </w:rPr>
      </w:pPr>
      <w:r>
        <w:rPr>
          <w:rFonts w:ascii="Times New Roman" w:cs="Times New Roman" w:eastAsia="Times New Roman" w:hAnsi="Times New Roman"/>
          <w:sz w:val="18"/>
          <w:szCs w:val="18"/>
          <w:color w:val="auto"/>
        </w:rPr>
        <w:t>The Company declared and paid $0.4400, $0.4075 and $0.3775 quarterly dividend per common share, or $1.76, $1.63 and $1.51 per share on an annualized basis for 2025, 2024 and 2023 respectively.</w:t>
      </w:r>
    </w:p>
    <w:p>
      <w:pPr>
        <w:spacing w:after="0" w:line="64" w:lineRule="exact"/>
        <w:rPr>
          <w:sz w:val="20"/>
          <w:szCs w:val="20"/>
          <w:color w:val="auto"/>
        </w:rPr>
      </w:pPr>
    </w:p>
    <w:p>
      <w:pPr>
        <w:jc w:val="both"/>
        <w:ind w:left="80" w:firstLine="395"/>
        <w:spacing w:after="0" w:line="256" w:lineRule="auto"/>
        <w:rPr>
          <w:sz w:val="20"/>
          <w:szCs w:val="20"/>
          <w:color w:val="auto"/>
        </w:rPr>
      </w:pPr>
      <w:r>
        <w:rPr>
          <w:rFonts w:ascii="Times New Roman" w:cs="Times New Roman" w:eastAsia="Times New Roman" w:hAnsi="Times New Roman"/>
          <w:sz w:val="18"/>
          <w:szCs w:val="18"/>
          <w:color w:val="auto"/>
        </w:rPr>
        <w:t>In 2023, 2024 and 2025, NRG increased the annual dividend on its common stock to $1.51, $1.63 and $1.76 per share, respectively, representing an 8% increase each year. Beginning in the first quarter of 2026, NRG will increase the annual common stock dividend by 8% to $1.90 per share. The long-term capital allocation policy targets an annual common stock dividend growth rate of 7%-9% per share in subsequent years.</w:t>
      </w:r>
    </w:p>
    <w:p>
      <w:pPr>
        <w:spacing w:after="0" w:line="75" w:lineRule="exact"/>
        <w:rPr>
          <w:sz w:val="20"/>
          <w:szCs w:val="20"/>
          <w:color w:val="auto"/>
        </w:rPr>
      </w:pPr>
    </w:p>
    <w:p>
      <w:pPr>
        <w:jc w:val="both"/>
        <w:ind w:left="80" w:firstLine="395"/>
        <w:spacing w:after="0" w:line="268" w:lineRule="auto"/>
        <w:rPr>
          <w:sz w:val="20"/>
          <w:szCs w:val="20"/>
          <w:color w:val="auto"/>
        </w:rPr>
      </w:pPr>
      <w:r>
        <w:rPr>
          <w:rFonts w:ascii="Times New Roman" w:cs="Times New Roman" w:eastAsia="Times New Roman" w:hAnsi="Times New Roman"/>
          <w:sz w:val="18"/>
          <w:szCs w:val="18"/>
          <w:color w:val="auto"/>
        </w:rPr>
        <w:t>The Company's common stock dividends are subject to available capital, market conditions, and compliance with associated laws, regulations and other contractual obligations.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67945</wp:posOffset>
            </wp:positionV>
            <wp:extent cx="7160895"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20"/>
          </w:cols>
          <w:pgMar w:left="240" w:top="867" w:right="339" w:bottom="1440" w:gutter="0" w:footer="0" w:header="0"/>
        </w:sectPr>
      </w:pPr>
    </w:p>
    <w:bookmarkStart w:id="141" w:name="page142"/>
    <w:bookmarkEnd w:id="141"/>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On January 23, 2026, NRG declared a quarterly dividend on the Company's common stock of $0.475 per share, or $1.90 per share on an annualized basis, payable on February 17, 2026, to stockholders of record as of February 2, 2026.</w:t>
      </w:r>
    </w:p>
    <w:p>
      <w:pPr>
        <w:spacing w:after="0" w:line="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1"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The Company offers participation in the ESPP which allows eligible employees to elect to withhold between 1% and 100% (between 1% and 10% prior to July 30, 2025), subject to an annual maximum of $25,000, of their eligible compensation to purchase shares of NRG common stock at the lesser of 90% of its market value on the offering date or 90% of the fair market value on the exercise date. An offering date occurs each April 1 and October 1. An exercise date occurs each September 30 and March 31. As of December 31, 2025, there remained 6,284,148 shares of treasury stock reserved for issuance under the ESPP.</w:t>
      </w:r>
    </w:p>
    <w:p>
      <w:pPr>
        <w:spacing w:after="0" w:line="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Company’s long-term capital allocation policy is to target allocating approximately 80% of cash available for allocation, after debt reduction, to be returned to shareholders. The Company is actively repurchasing shares under its existing $3.7 billion share repurchase program, which began in 2023. On October 16, 2025, the Board of Directors authorized an additional share repurchase program of up to $3.0 billion, to be executed through 2028. The following table summarizes the share repurchases made through January 31, 2026 under the $3.7 billion authorization:</w:t>
      </w:r>
    </w:p>
    <w:tbl>
      <w:tblPr>
        <w:tblLayout w:type="fixed"/>
        <w:tblInd w:w="0" w:type="dxa"/>
        <w:tblCellMar>
          <w:top w:w="0" w:type="dxa"/>
          <w:left w:w="0" w:type="dxa"/>
          <w:bottom w:w="0" w:type="dxa"/>
          <w:right w:w="0" w:type="dxa"/>
        </w:tblCellMar>
      </w:tblPr>
      <w:tr>
        <w:trPr>
          <w:trHeight w:val="151"/>
        </w:trPr>
        <w:tc>
          <w:tcPr>
            <w:tcW w:w="7080" w:type="dxa"/>
            <w:vAlign w:val="bottom"/>
          </w:tcPr>
          <w:p>
            <w:pPr>
              <w:spacing w:after="0"/>
              <w:rPr>
                <w:sz w:val="13"/>
                <w:szCs w:val="13"/>
                <w:color w:val="auto"/>
              </w:rPr>
            </w:pPr>
          </w:p>
        </w:tc>
        <w:tc>
          <w:tcPr>
            <w:tcW w:w="14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w w:val="98"/>
              </w:rPr>
              <w:t>Total number of shares</w:t>
            </w:r>
          </w:p>
        </w:tc>
        <w:tc>
          <w:tcPr>
            <w:tcW w:w="1000" w:type="dxa"/>
            <w:vAlign w:val="bottom"/>
            <w:gridSpan w:val="2"/>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120" w:type="dxa"/>
            <w:vAlign w:val="bottom"/>
          </w:tcPr>
          <w:p>
            <w:pPr>
              <w:spacing w:after="0"/>
              <w:rPr>
                <w:sz w:val="13"/>
                <w:szCs w:val="13"/>
                <w:color w:val="auto"/>
              </w:rPr>
            </w:pPr>
          </w:p>
        </w:tc>
        <w:tc>
          <w:tcPr>
            <w:tcW w:w="1620" w:type="dxa"/>
            <w:vAlign w:val="bottom"/>
            <w:gridSpan w:val="2"/>
          </w:tcPr>
          <w:p>
            <w:pPr>
              <w:jc w:val="center"/>
              <w:ind w:right="32"/>
              <w:spacing w:after="0" w:line="151" w:lineRule="exact"/>
              <w:rPr>
                <w:sz w:val="20"/>
                <w:szCs w:val="20"/>
                <w:color w:val="auto"/>
              </w:rPr>
            </w:pPr>
            <w:r>
              <w:rPr>
                <w:rFonts w:ascii="Times New Roman" w:cs="Times New Roman" w:eastAsia="Times New Roman" w:hAnsi="Times New Roman"/>
                <w:sz w:val="14"/>
                <w:szCs w:val="14"/>
                <w:b w:val="1"/>
                <w:bCs w:val="1"/>
                <w:color w:val="auto"/>
                <w:w w:val="99"/>
              </w:rPr>
              <w:t>Amounts paid for shares</w:t>
            </w:r>
          </w:p>
        </w:tc>
      </w:tr>
      <w:tr>
        <w:trPr>
          <w:trHeight w:val="190"/>
        </w:trPr>
        <w:tc>
          <w:tcPr>
            <w:tcW w:w="70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purchased (in millions)</w:t>
            </w:r>
          </w:p>
        </w:tc>
      </w:tr>
      <w:tr>
        <w:trPr>
          <w:trHeight w:val="20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2023 Repurchases: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24"/>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Open market repurchases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5,054,798</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00" w:type="dxa"/>
            <w:vAlign w:val="bottom"/>
          </w:tcPr>
          <w:p>
            <w:pPr>
              <w:spacing w:after="0"/>
              <w:rPr>
                <w:sz w:val="19"/>
                <w:szCs w:val="19"/>
                <w:color w:val="auto"/>
              </w:rPr>
            </w:pPr>
          </w:p>
        </w:tc>
      </w:tr>
      <w:tr>
        <w:trPr>
          <w:trHeight w:val="224"/>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made under the accelerated share repurchase agreements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17,676,142</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right="172"/>
              <w:spacing w:after="0"/>
              <w:rPr>
                <w:sz w:val="20"/>
                <w:szCs w:val="20"/>
                <w:color w:val="auto"/>
              </w:rPr>
            </w:pPr>
            <w:r>
              <w:rPr>
                <w:rFonts w:ascii="Times New Roman" w:cs="Times New Roman" w:eastAsia="Times New Roman" w:hAnsi="Times New Roman"/>
                <w:sz w:val="18"/>
                <w:szCs w:val="18"/>
                <w:color w:val="auto"/>
                <w:w w:val="99"/>
              </w:rPr>
              <w:t>(a)</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400" w:type="dxa"/>
            <w:vAlign w:val="bottom"/>
            <w:tcBorders>
              <w:bottom w:val="single" w:sz="8" w:color="auto"/>
            </w:tcBorders>
            <w:shd w:val="clear" w:color="auto" w:fill="CCEEFF"/>
          </w:tcPr>
          <w:p>
            <w:pPr>
              <w:spacing w:after="0"/>
              <w:rPr>
                <w:sz w:val="19"/>
                <w:szCs w:val="19"/>
                <w:color w:val="auto"/>
              </w:rPr>
            </w:pPr>
          </w:p>
        </w:tc>
      </w:tr>
      <w:tr>
        <w:trPr>
          <w:trHeight w:val="217"/>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 Repurchases during 2023</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22,730,940</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w:t>
            </w:r>
          </w:p>
        </w:tc>
      </w:tr>
      <w:tr>
        <w:trPr>
          <w:trHeight w:val="224"/>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 Repurchases:</w:t>
            </w: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r>
        <w:trPr>
          <w:trHeight w:val="224"/>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made under the accelerated share repurchase agreements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1,163,230</w:t>
            </w:r>
          </w:p>
        </w:tc>
        <w:tc>
          <w:tcPr>
            <w:tcW w:w="260" w:type="dxa"/>
            <w:vAlign w:val="bottom"/>
          </w:tcPr>
          <w:p>
            <w:pPr>
              <w:spacing w:after="0"/>
              <w:rPr>
                <w:sz w:val="19"/>
                <w:szCs w:val="19"/>
                <w:color w:val="auto"/>
              </w:rPr>
            </w:pPr>
          </w:p>
        </w:tc>
        <w:tc>
          <w:tcPr>
            <w:tcW w:w="74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(a)</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r>
      <w:tr>
        <w:trPr>
          <w:trHeight w:val="224"/>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 market repurchases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10,562,333</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400" w:type="dxa"/>
            <w:vAlign w:val="bottom"/>
            <w:tcBorders>
              <w:bottom w:val="single" w:sz="8" w:color="auto"/>
            </w:tcBorders>
            <w:shd w:val="clear" w:color="auto" w:fill="CCEEFF"/>
          </w:tcPr>
          <w:p>
            <w:pPr>
              <w:spacing w:after="0"/>
              <w:rPr>
                <w:sz w:val="19"/>
                <w:szCs w:val="19"/>
                <w:color w:val="auto"/>
              </w:rPr>
            </w:pPr>
          </w:p>
        </w:tc>
      </w:tr>
      <w:tr>
        <w:trPr>
          <w:trHeight w:val="217"/>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 Repurchases during 2024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11,725,563</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w:t>
            </w:r>
          </w:p>
        </w:tc>
      </w:tr>
      <w:tr>
        <w:trPr>
          <w:trHeight w:val="224"/>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2025 Repurchases:</w:t>
            </w: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r>
        <w:trPr>
          <w:trHeight w:val="224"/>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Open market repurchases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9,971,620</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130.58</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400" w:type="dxa"/>
            <w:vAlign w:val="bottom"/>
          </w:tcPr>
          <w:p>
            <w:pPr>
              <w:spacing w:after="0"/>
              <w:rPr>
                <w:sz w:val="19"/>
                <w:szCs w:val="19"/>
                <w:color w:val="auto"/>
              </w:rPr>
            </w:pPr>
          </w:p>
        </w:tc>
      </w:tr>
      <w:tr>
        <w:trPr>
          <w:trHeight w:val="224"/>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received from the exercise of the Capped Call Options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224,585</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tcBorders>
              <w:bottom w:val="single" w:sz="8" w:color="auto"/>
            </w:tcBorders>
            <w:shd w:val="clear" w:color="auto" w:fill="CCEEFF"/>
          </w:tcPr>
          <w:p>
            <w:pPr>
              <w:spacing w:after="0"/>
              <w:rPr>
                <w:sz w:val="19"/>
                <w:szCs w:val="19"/>
                <w:color w:val="auto"/>
              </w:rPr>
            </w:pPr>
          </w:p>
        </w:tc>
      </w:tr>
      <w:tr>
        <w:trPr>
          <w:trHeight w:val="217"/>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 Repurchases during 2025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10,196,205</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w:t>
            </w:r>
          </w:p>
        </w:tc>
      </w:tr>
      <w:tr>
        <w:trPr>
          <w:trHeight w:val="224"/>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made subsequent to December 31, 2025 thru January 31, 2026</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656,900</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151.93</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tcBorders>
              <w:bottom w:val="single" w:sz="8" w:color="auto"/>
            </w:tcBorders>
            <w:shd w:val="clear" w:color="auto" w:fill="CCEEFF"/>
          </w:tcPr>
          <w:p>
            <w:pPr>
              <w:spacing w:after="0"/>
              <w:rPr>
                <w:sz w:val="19"/>
                <w:szCs w:val="19"/>
                <w:color w:val="auto"/>
              </w:rPr>
            </w:pPr>
          </w:p>
        </w:tc>
      </w:tr>
      <w:tr>
        <w:trPr>
          <w:trHeight w:val="221"/>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 Repurchases made under the $3.7 billion authorization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45,309,608</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400" w:type="dxa"/>
            <w:vAlign w:val="bottom"/>
          </w:tcPr>
          <w:p>
            <w:pPr>
              <w:spacing w:after="0"/>
              <w:rPr>
                <w:sz w:val="19"/>
                <w:szCs w:val="19"/>
                <w:color w:val="auto"/>
              </w:rPr>
            </w:pPr>
          </w:p>
        </w:tc>
      </w:tr>
    </w:tbl>
    <w:p>
      <w:pPr>
        <w:spacing w:after="0" w:line="65" w:lineRule="exact"/>
        <w:rPr>
          <w:sz w:val="20"/>
          <w:szCs w:val="20"/>
          <w:color w:val="auto"/>
        </w:rPr>
      </w:pPr>
    </w:p>
    <w:p>
      <w:pPr>
        <w:ind w:left="400" w:hanging="395"/>
        <w:spacing w:after="0" w:line="254" w:lineRule="auto"/>
        <w:tabs>
          <w:tab w:leader="none" w:pos="398"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November 6, 2023 ASR, the Company received a total of 18,839,375 shares for an average price per share of $50.43, excluding the impact of the excise tax incurred. See discussion below for further information of the ASR agreements</w:t>
      </w:r>
    </w:p>
    <w:p>
      <w:pPr>
        <w:ind w:left="400" w:hanging="395"/>
        <w:spacing w:after="0"/>
        <w:tabs>
          <w:tab w:leader="none" w:pos="4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$10 million of excise tax accrued in 2023 which was paid in 2024</w:t>
      </w:r>
    </w:p>
    <w:p>
      <w:pPr>
        <w:spacing w:after="0" w:line="10"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$9 million of excise tax accrued in 2024 which was paid in 2025</w:t>
      </w:r>
    </w:p>
    <w:p>
      <w:pPr>
        <w:spacing w:after="0" w:line="10"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$11 million accrued for estimated excise tax for the year ended December 31, 2025</w:t>
      </w:r>
    </w:p>
    <w:p>
      <w:pPr>
        <w:spacing w:after="0" w:line="16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On November 6, 2023, the Company executed Accelerated Share Repurchase agreements to repurchase a total of $950 million of NRG's outstanding common stock based on volume-weighted average prices. The Company received 17,676,142 shares in the fourth quarter of 2023, which were recorded in treasury stock at fair value based on the volume-weighted average closing prices of $833 million, with the remaining $117 million recorded in additional paid in capital, representing the value of the forward contracts to purchase additional shares. During the first quarter of 2024, the Company received an additional 1,163,230 shares pursuant to the ASR agreements. Upon receipt of the final shares, the Company transferred the $117 million from additional paid-in-capital to treasury stock.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42" w:name="page143"/>
    <w:bookmarkEnd w:id="142"/>
    <w:p>
      <w:pPr>
        <w:ind w:left="400"/>
        <w:spacing w:after="0"/>
        <w:rPr>
          <w:sz w:val="20"/>
          <w:szCs w:val="20"/>
          <w:color w:val="auto"/>
        </w:rPr>
      </w:pPr>
      <w:r>
        <w:rPr>
          <w:rFonts w:ascii="Times New Roman" w:cs="Times New Roman" w:eastAsia="Times New Roman" w:hAnsi="Times New Roman"/>
          <w:sz w:val="18"/>
          <w:szCs w:val="18"/>
          <w:i w:val="1"/>
          <w:iCs w:val="1"/>
          <w:color w:val="auto"/>
        </w:rPr>
        <w:t>Retirement of Treasury Stock</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During each of the years ended December 31, 2025, 2024 and 2023, the Company retired shares of treasury stock as detailed below. These retired shares are now included in NRG's pool of authorized but unissued shares. The Company's accounting policy upon the formal retirement of treasury stock is to deduct its par value from common stock and to reflect any excess of cost over par value as a deduction from additional paid-in capital.</w:t>
      </w:r>
    </w:p>
    <w:tbl>
      <w:tblPr>
        <w:tblLayout w:type="fixed"/>
        <w:tblInd w:w="0" w:type="dxa"/>
        <w:tblCellMar>
          <w:top w:w="0" w:type="dxa"/>
          <w:left w:w="0" w:type="dxa"/>
          <w:bottom w:w="0" w:type="dxa"/>
          <w:right w:w="0" w:type="dxa"/>
        </w:tblCellMar>
      </w:tblPr>
      <w:tr>
        <w:trPr>
          <w:trHeight w:val="147"/>
        </w:trPr>
        <w:tc>
          <w:tcPr>
            <w:tcW w:w="6060" w:type="dxa"/>
            <w:vAlign w:val="bottom"/>
          </w:tcPr>
          <w:p>
            <w:pPr>
              <w:spacing w:after="0"/>
              <w:rPr>
                <w:sz w:val="12"/>
                <w:szCs w:val="12"/>
                <w:color w:val="auto"/>
              </w:rPr>
            </w:pPr>
          </w:p>
        </w:tc>
        <w:tc>
          <w:tcPr>
            <w:tcW w:w="192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w w:val="98"/>
              </w:rPr>
              <w:t>Total number of treasury</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w w:val="98"/>
              </w:rPr>
              <w:t>Average price per</w:t>
            </w:r>
          </w:p>
        </w:tc>
        <w:tc>
          <w:tcPr>
            <w:tcW w:w="1780" w:type="dxa"/>
            <w:vAlign w:val="bottom"/>
            <w:gridSpan w:val="2"/>
          </w:tcPr>
          <w:p>
            <w:pPr>
              <w:jc w:val="right"/>
              <w:ind w:right="17"/>
              <w:spacing w:after="0" w:line="147" w:lineRule="exact"/>
              <w:rPr>
                <w:sz w:val="20"/>
                <w:szCs w:val="20"/>
                <w:color w:val="auto"/>
              </w:rPr>
            </w:pPr>
            <w:r>
              <w:rPr>
                <w:rFonts w:ascii="Times New Roman" w:cs="Times New Roman" w:eastAsia="Times New Roman" w:hAnsi="Times New Roman"/>
                <w:sz w:val="14"/>
                <w:szCs w:val="14"/>
                <w:b w:val="1"/>
                <w:bCs w:val="1"/>
                <w:color w:val="auto"/>
              </w:rPr>
              <w:t>Carrying value of treasury</w:t>
            </w:r>
          </w:p>
        </w:tc>
      </w:tr>
      <w:tr>
        <w:trPr>
          <w:trHeight w:val="190"/>
        </w:trPr>
        <w:tc>
          <w:tcPr>
            <w:tcW w:w="6060" w:type="dxa"/>
            <w:vAlign w:val="bottom"/>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 retired</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6"/>
                <w:szCs w:val="16"/>
                <w:color w:val="auto"/>
              </w:rPr>
            </w:pPr>
          </w:p>
        </w:tc>
        <w:tc>
          <w:tcPr>
            <w:tcW w:w="168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8"/>
              </w:rPr>
              <w:t>shares retired (in millions)</w:t>
            </w:r>
          </w:p>
        </w:tc>
      </w:tr>
      <w:tr>
        <w:trPr>
          <w:trHeight w:val="222"/>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retired during the year ended December 31, 2023</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157,676,142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w:t>
            </w:r>
          </w:p>
        </w:tc>
      </w:tr>
      <w:tr>
        <w:trPr>
          <w:trHeight w:val="224"/>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retired during the year ended December 31, 2024</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64,225,546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w:t>
            </w:r>
          </w:p>
        </w:tc>
      </w:tr>
      <w:tr>
        <w:trPr>
          <w:trHeight w:val="224"/>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retired during the year ended December 31, 2025</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7,028,345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r>
    </w:tbl>
    <w:p>
      <w:pPr>
        <w:spacing w:after="0" w:line="1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Capped Call Options</w:t>
      </w:r>
    </w:p>
    <w:p>
      <w:pPr>
        <w:spacing w:after="0" w:line="98" w:lineRule="exact"/>
        <w:rPr>
          <w:sz w:val="20"/>
          <w:szCs w:val="20"/>
          <w:color w:val="auto"/>
        </w:rPr>
      </w:pPr>
    </w:p>
    <w:p>
      <w:pPr>
        <w:jc w:val="both"/>
        <w:ind w:firstLine="395"/>
        <w:spacing w:after="0" w:line="231" w:lineRule="auto"/>
        <w:rPr>
          <w:sz w:val="20"/>
          <w:szCs w:val="20"/>
          <w:color w:val="auto"/>
        </w:rPr>
      </w:pPr>
      <w:r>
        <w:rPr>
          <w:rFonts w:ascii="Times New Roman" w:cs="Times New Roman" w:eastAsia="Times New Roman" w:hAnsi="Times New Roman"/>
          <w:sz w:val="18"/>
          <w:szCs w:val="18"/>
          <w:color w:val="auto"/>
        </w:rPr>
        <w:t>During the second quarter of 2024, the Company entered into privately negotiated capped call transactions with certain counterparties to mitigate the impact of potential dilution of the Convertible Senior Notes. The Capped Calls had a cap price of $249.00 per share, subject to certain adjustments, and effectively locked in a conversion premium of $257 million on the remaining $232 million balance of the Convertible Senior Notes. The Capped Calls were separate transactions and not part of the terms of the Convertible Senior Notes. As these transactions met certain accounting criteria, the Capped Calls were recorded in stockholders' equity. In the second quarter of 2024, the Company recorded $253 million as a reduction to additional paid-in capital and a $4 million loss to other income, net to account for the change in the value of the Capped Calls during the calculation period which began on May 31, 2024 and concluded on June 28, 2024. In the second quarter of 2025, the expiration date of the options was extended from June 1, 2025 to July 8, 2025.</w:t>
      </w:r>
    </w:p>
    <w:p>
      <w:pPr>
        <w:spacing w:after="0" w:line="14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Upon the exercise and settlement of the Capped Calls on July 8, 2025, the Company paid a total amount of $292 million, inclusive of the initial conversion premium of $257 million. The Capped Calls had a strike price of $40.63 per share, subject to certain adjustments, which corresponded to the conversion price of the Convertible Senior Notes as of the Redemption Date. The Company received 4,210,920 shares of common stock, of which 3,986,335 were issued to the holders of the Convertible Senior Notes upon conversion, and the remaining 224,585 received were retired by the Company.</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Series A Preferred Stock</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On March 9, 2023 ("Series A Issuance Date"), the Company issued 650,000 shares of 10.25% Series A Fixed-Rate Reset Cumulative Redeemable Perpetual Preferred Stock. The net proceeds of $635 million, net of issuance costs, were used to partially fund the Vivint Smart Home acquisition.</w:t>
      </w:r>
    </w:p>
    <w:p>
      <w:pPr>
        <w:spacing w:after="0" w:line="6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Series A Preferred Stock is not convertible into or exchangeable for any other securities or property and has limited voting rights. The Series A Preferred Stock may be redeemed, in whole or in part, on one or more occasions, at the option of the Company at any time after March 15, 2028 ("Series A First Reset Date") and in certain other circumstances prior to the Series A First Reset Date. The Series A Preferred Stock has a liquidation preference of $1,000 per share, plus accumulated but unpaid dividends.</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Series A Preferred Stock Dividends</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annual dividend rate on each share of Series A Preferred Stock is 10.25% from the Series A Issuance Date to, but excluding the Series A First Reset Date. On and after the Series A First Reset Date, the dividend rate on each share of Series A Preferred Stock shall equal the five-year U.S. Treasury rate as of the most recent reset dividend determination date (subject to a floor of 1.00%), plus a spread of 5.92% per annum. Cumulative cash dividends on the Series A Preferred Stock are payable semiannually, in arrears, on each March 15 and September 15, when, as and if declared by the Board of Directors.</w:t>
      </w:r>
    </w:p>
    <w:p>
      <w:pPr>
        <w:spacing w:after="0" w:line="78"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In March and September 2024 and 2025, the Company declared and paid semi-annual dividends of $51.25 per share on its outstanding Series A Preferred Stock, each totaling $33 million. In September 2023, the Company declared and paid a semi-annual dividend of $52.96 per share, totaling $34 million.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16 — </w:t>
      </w:r>
      <w:r>
        <w:rPr>
          <w:rFonts w:ascii="Times New Roman" w:cs="Times New Roman" w:eastAsia="Times New Roman" w:hAnsi="Times New Roman"/>
          <w:sz w:val="18"/>
          <w:szCs w:val="18"/>
          <w:b w:val="1"/>
          <w:bCs w:val="1"/>
          <w:i w:val="1"/>
          <w:iCs w:val="1"/>
          <w:color w:val="auto"/>
        </w:rPr>
        <w:t>Investments Accounted for by the Equity Method and Variable Interest Entities</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Entities that are not Consolidated</w:t>
      </w:r>
    </w:p>
    <w:p>
      <w:pPr>
        <w:spacing w:after="0" w:line="11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NRG accounts for the Company's significant investments using the equity method of accounting. NRG's carrying value of equity investments can be impacted by a number of elements including impairments and movements in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43" w:name="page144"/>
    <w:bookmarkEnd w:id="143"/>
    <w:p>
      <w:pPr>
        <w:ind w:left="480"/>
        <w:spacing w:after="0"/>
        <w:rPr>
          <w:sz w:val="20"/>
          <w:szCs w:val="20"/>
          <w:color w:val="auto"/>
        </w:rPr>
      </w:pPr>
      <w:r>
        <w:rPr>
          <w:rFonts w:ascii="Times New Roman" w:cs="Times New Roman" w:eastAsia="Times New Roman" w:hAnsi="Times New Roman"/>
          <w:sz w:val="18"/>
          <w:szCs w:val="18"/>
          <w:color w:val="auto"/>
        </w:rPr>
        <w:t>The following table summarizes NRG's equity method investments as of December 31, 2025:</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8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3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540" w:type="dxa"/>
            <w:vAlign w:val="bottom"/>
            <w:gridSpan w:val="2"/>
          </w:tcPr>
          <w:p>
            <w:pPr>
              <w:jc w:val="center"/>
              <w:ind w:right="100"/>
              <w:spacing w:after="0" w:line="182" w:lineRule="exact"/>
              <w:rPr>
                <w:sz w:val="20"/>
                <w:szCs w:val="20"/>
                <w:color w:val="auto"/>
              </w:rPr>
            </w:pPr>
            <w:r>
              <w:rPr>
                <w:rFonts w:ascii="Times New Roman" w:cs="Times New Roman" w:eastAsia="Times New Roman" w:hAnsi="Times New Roman"/>
                <w:sz w:val="16"/>
                <w:szCs w:val="16"/>
                <w:b w:val="1"/>
                <w:bCs w:val="1"/>
                <w:color w:val="auto"/>
              </w:rPr>
              <w:t>Economic</w:t>
            </w:r>
          </w:p>
        </w:tc>
        <w:tc>
          <w:tcPr>
            <w:tcW w:w="180" w:type="dxa"/>
            <w:vAlign w:val="bottom"/>
          </w:tcPr>
          <w:p>
            <w:pPr>
              <w:spacing w:after="0"/>
              <w:rPr>
                <w:sz w:val="15"/>
                <w:szCs w:val="15"/>
                <w:color w:val="auto"/>
              </w:rPr>
            </w:pPr>
          </w:p>
        </w:tc>
        <w:tc>
          <w:tcPr>
            <w:tcW w:w="1120" w:type="dxa"/>
            <w:vAlign w:val="bottom"/>
          </w:tcPr>
          <w:p>
            <w:pPr>
              <w:jc w:val="center"/>
              <w:ind w:right="96"/>
              <w:spacing w:after="0" w:line="182" w:lineRule="exact"/>
              <w:rPr>
                <w:sz w:val="20"/>
                <w:szCs w:val="20"/>
                <w:color w:val="auto"/>
              </w:rPr>
            </w:pPr>
            <w:r>
              <w:rPr>
                <w:rFonts w:ascii="Times New Roman" w:cs="Times New Roman" w:eastAsia="Times New Roman" w:hAnsi="Times New Roman"/>
                <w:sz w:val="16"/>
                <w:szCs w:val="16"/>
                <w:b w:val="1"/>
                <w:bCs w:val="1"/>
                <w:color w:val="auto"/>
                <w:w w:val="96"/>
              </w:rPr>
              <w:t>Investment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80" w:type="dxa"/>
            <w:vAlign w:val="bottom"/>
            <w:gridSpan w:val="2"/>
            <w:vMerge w:val="continue"/>
          </w:tcPr>
          <w:p>
            <w:pPr>
              <w:spacing w:after="0"/>
              <w:rPr>
                <w:sz w:val="14"/>
                <w:szCs w:val="14"/>
                <w:color w:val="auto"/>
              </w:rPr>
            </w:pPr>
          </w:p>
        </w:tc>
        <w:tc>
          <w:tcPr>
            <w:tcW w:w="1540" w:type="dxa"/>
            <w:vAlign w:val="bottom"/>
            <w:gridSpan w:val="2"/>
          </w:tcPr>
          <w:p>
            <w:pPr>
              <w:jc w:val="center"/>
              <w:ind w:right="100"/>
              <w:spacing w:after="0" w:line="171" w:lineRule="exact"/>
              <w:rPr>
                <w:sz w:val="20"/>
                <w:szCs w:val="20"/>
                <w:color w:val="auto"/>
              </w:rPr>
            </w:pPr>
            <w:r>
              <w:rPr>
                <w:rFonts w:ascii="Times New Roman" w:cs="Times New Roman" w:eastAsia="Times New Roman" w:hAnsi="Times New Roman"/>
                <w:sz w:val="16"/>
                <w:szCs w:val="16"/>
                <w:b w:val="1"/>
                <w:bCs w:val="1"/>
                <w:color w:val="auto"/>
                <w:w w:val="97"/>
              </w:rPr>
              <w:t>Interest</w:t>
            </w:r>
          </w:p>
        </w:tc>
        <w:tc>
          <w:tcPr>
            <w:tcW w:w="180" w:type="dxa"/>
            <w:vAlign w:val="bottom"/>
          </w:tcPr>
          <w:p>
            <w:pPr>
              <w:spacing w:after="0"/>
              <w:rPr>
                <w:sz w:val="14"/>
                <w:szCs w:val="14"/>
                <w:color w:val="auto"/>
              </w:rPr>
            </w:pPr>
          </w:p>
        </w:tc>
        <w:tc>
          <w:tcPr>
            <w:tcW w:w="1120" w:type="dxa"/>
            <w:vAlign w:val="bottom"/>
          </w:tcPr>
          <w:p>
            <w:pPr>
              <w:jc w:val="center"/>
              <w:ind w:right="96"/>
              <w:spacing w:after="0" w:line="171" w:lineRule="exact"/>
              <w:rPr>
                <w:sz w:val="20"/>
                <w:szCs w:val="20"/>
                <w:color w:val="auto"/>
              </w:rPr>
            </w:pPr>
            <w:r>
              <w:rPr>
                <w:rFonts w:ascii="Times New Roman" w:cs="Times New Roman" w:eastAsia="Times New Roman" w:hAnsi="Times New Roman"/>
                <w:sz w:val="16"/>
                <w:szCs w:val="16"/>
                <w:b w:val="1"/>
                <w:bCs w:val="1"/>
                <w:color w:val="auto"/>
                <w:w w:val="99"/>
              </w:rPr>
              <w:t>Balance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79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380" w:type="dxa"/>
            <w:vAlign w:val="bottom"/>
            <w:gridSpan w:val="2"/>
            <w:shd w:val="clear" w:color="auto" w:fill="CCEEFF"/>
          </w:tcPr>
          <w:p>
            <w:pPr>
              <w:spacing w:after="0" w:line="217" w:lineRule="exact"/>
              <w:rPr>
                <w:sz w:val="20"/>
                <w:szCs w:val="20"/>
                <w:color w:val="auto"/>
              </w:rPr>
            </w:pPr>
            <w:r>
              <w:rPr>
                <w:rFonts w:ascii="Times New Roman" w:cs="Times New Roman" w:eastAsia="Times New Roman" w:hAnsi="Times New Roman"/>
                <w:sz w:val="18"/>
                <w:szCs w:val="18"/>
                <w:color w:val="auto"/>
              </w:rPr>
              <w:t>Gladstone</w:t>
            </w:r>
            <w:r>
              <w:rPr>
                <w:rFonts w:ascii="Times New Roman" w:cs="Times New Roman" w:eastAsia="Times New Roman" w:hAnsi="Times New Roman"/>
                <w:sz w:val="22"/>
                <w:szCs w:val="22"/>
                <w:color w:val="auto"/>
                <w:vertAlign w:val="superscript"/>
              </w:rPr>
              <w:t>(a)</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tcPr>
          <w:p>
            <w:pPr>
              <w:spacing w:after="0"/>
              <w:rPr>
                <w:sz w:val="19"/>
                <w:szCs w:val="19"/>
                <w:color w:val="auto"/>
              </w:rPr>
            </w:pPr>
          </w:p>
        </w:tc>
        <w:tc>
          <w:tcPr>
            <w:tcW w:w="8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Midway-Sunset Cogeneration Company</w:t>
            </w: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83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equity investments in affiliates</w:t>
            </w: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9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left="440" w:hanging="395"/>
        <w:spacing w:after="0"/>
        <w:tabs>
          <w:tab w:leader="none" w:pos="4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the year ended December 31, 2025, the Company recorded $39 million of impairment losses on Gladstone. Refer to Note 10, </w:t>
      </w:r>
      <w:r>
        <w:rPr>
          <w:rFonts w:ascii="Times New Roman" w:cs="Times New Roman" w:eastAsia="Times New Roman" w:hAnsi="Times New Roman"/>
          <w:sz w:val="14"/>
          <w:szCs w:val="14"/>
          <w:i w:val="1"/>
          <w:iCs w:val="1"/>
          <w:color w:val="auto"/>
        </w:rPr>
        <w:t>Asset Impairments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undistributed earnings from NRG's equity method investments as of December 31, 2025:</w:t>
      </w:r>
    </w:p>
    <w:p>
      <w:pPr>
        <w:spacing w:after="0" w:line="59"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7"/>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Undistributed earnings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Other Equity Investments</w:t>
      </w:r>
    </w:p>
    <w:p>
      <w:pPr>
        <w:spacing w:after="0" w:line="107" w:lineRule="exact"/>
        <w:rPr>
          <w:sz w:val="20"/>
          <w:szCs w:val="20"/>
          <w:color w:val="auto"/>
        </w:rPr>
      </w:pPr>
    </w:p>
    <w:p>
      <w:pPr>
        <w:jc w:val="both"/>
        <w:ind w:left="40" w:firstLine="395"/>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Gladstone </w:t>
      </w:r>
      <w:r>
        <w:rPr>
          <w:rFonts w:ascii="Times New Roman" w:cs="Times New Roman" w:eastAsia="Times New Roman" w:hAnsi="Times New Roman"/>
          <w:sz w:val="18"/>
          <w:szCs w:val="18"/>
          <w:color w:val="auto"/>
        </w:rPr>
        <w:t>— Through a joint venture, NRG owns a 37.5% interest in Gladstone, a 1,613 MW coal-fueled power generation facility in Queensland,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Australia. The power generation facility is managed by the joint venture participants and the facility is operated by NRG. Operating expenses incurred in connection with the operation of the facility are funded by each of the participants in proportion to their ownership interests. Coal is sourced from local mines in Queensland. NRG and the joint venture participants receive their respective share of revenues directly from the off takers in proportion to the ownership interests in the joint venture. Power generated by the facility is primarily sold to an adjacent aluminum smelter, with excess power sold to the Queensland Government-owned utility under long-term supply contracts.</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 that are Consolidated</w:t>
      </w:r>
    </w:p>
    <w:p>
      <w:pPr>
        <w:spacing w:after="0" w:line="113" w:lineRule="exact"/>
        <w:rPr>
          <w:sz w:val="20"/>
          <w:szCs w:val="20"/>
          <w:color w:val="auto"/>
        </w:rPr>
      </w:pPr>
    </w:p>
    <w:p>
      <w:pPr>
        <w:jc w:val="both"/>
        <w:ind w:left="40" w:firstLine="395"/>
        <w:spacing w:after="0" w:line="268" w:lineRule="auto"/>
        <w:rPr>
          <w:sz w:val="20"/>
          <w:szCs w:val="20"/>
          <w:color w:val="auto"/>
        </w:rPr>
      </w:pPr>
      <w:r>
        <w:rPr>
          <w:rFonts w:ascii="Times New Roman" w:cs="Times New Roman" w:eastAsia="Times New Roman" w:hAnsi="Times New Roman"/>
          <w:sz w:val="18"/>
          <w:szCs w:val="18"/>
          <w:color w:val="auto"/>
        </w:rPr>
        <w:t xml:space="preserve">The Company has a controlling financial interest that has been identified as a VIE under ASC 810 in NRG Receivables, which has entered into financing transactions related to the Receivables Facility as further described in Note 12, </w:t>
      </w:r>
      <w:r>
        <w:rPr>
          <w:rFonts w:ascii="Times New Roman" w:cs="Times New Roman" w:eastAsia="Times New Roman" w:hAnsi="Times New Roman"/>
          <w:sz w:val="18"/>
          <w:szCs w:val="18"/>
          <w:i w:val="1"/>
          <w:iCs w:val="1"/>
          <w:color w:val="auto"/>
        </w:rPr>
        <w:t>Long-term Debt and Finance Leases.</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summarized financial information for the Company's consolidated VIE consisted of the following:</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8"/>
                <w:szCs w:val="18"/>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80" w:type="dxa"/>
            <w:vAlign w:val="bottom"/>
          </w:tcPr>
          <w:p>
            <w:pPr>
              <w:spacing w:after="0"/>
              <w:rPr>
                <w:sz w:val="18"/>
                <w:szCs w:val="18"/>
                <w:color w:val="auto"/>
              </w:rPr>
            </w:pPr>
          </w:p>
        </w:tc>
        <w:tc>
          <w:tcPr>
            <w:tcW w:w="158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9"/>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 and Other current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r>
      <w:tr>
        <w:trPr>
          <w:trHeight w:val="224"/>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42"/>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Note 17 — </w:t>
      </w:r>
      <w:r>
        <w:rPr>
          <w:rFonts w:ascii="Times New Roman" w:cs="Times New Roman" w:eastAsia="Times New Roman" w:hAnsi="Times New Roman"/>
          <w:sz w:val="18"/>
          <w:szCs w:val="18"/>
          <w:b w:val="1"/>
          <w:bCs w:val="1"/>
          <w:i w:val="1"/>
          <w:iCs w:val="1"/>
          <w:color w:val="auto"/>
        </w:rPr>
        <w:t>Income/(Loss) Per Share</w:t>
      </w:r>
    </w:p>
    <w:p>
      <w:pPr>
        <w:spacing w:after="0" w:line="113" w:lineRule="exact"/>
        <w:rPr>
          <w:sz w:val="20"/>
          <w:szCs w:val="20"/>
          <w:color w:val="auto"/>
        </w:rPr>
      </w:pPr>
    </w:p>
    <w:p>
      <w:pPr>
        <w:jc w:val="both"/>
        <w:ind w:left="40" w:firstLine="395"/>
        <w:spacing w:after="0" w:line="252" w:lineRule="auto"/>
        <w:rPr>
          <w:sz w:val="20"/>
          <w:szCs w:val="20"/>
          <w:color w:val="auto"/>
        </w:rPr>
      </w:pPr>
      <w:r>
        <w:rPr>
          <w:rFonts w:ascii="Times New Roman" w:cs="Times New Roman" w:eastAsia="Times New Roman" w:hAnsi="Times New Roman"/>
          <w:sz w:val="18"/>
          <w:szCs w:val="18"/>
          <w:color w:val="auto"/>
        </w:rPr>
        <w:t>Basic income/(loss) per common share is computed by dividing net income/(loss) less cumulative dividends attributable to preferred stock by the weighted average number of common shares outstanding. Shares issued and treasury shares repurchased during the year are weighted for the portion of the year that they were outstanding. Diluted income/(loss) per share is computed in a manner consistent with that of basic income/(loss) per share, while giving effect to all potentially dilutive common shares that were outstanding during the period when there is net income.</w:t>
      </w:r>
    </w:p>
    <w:p>
      <w:pPr>
        <w:spacing w:after="0" w:line="76" w:lineRule="exact"/>
        <w:rPr>
          <w:sz w:val="20"/>
          <w:szCs w:val="20"/>
          <w:color w:val="auto"/>
        </w:rPr>
      </w:pPr>
    </w:p>
    <w:p>
      <w:pPr>
        <w:jc w:val="both"/>
        <w:ind w:left="40" w:firstLine="395"/>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Dilutive effect for equity compensation and other equity instruments </w:t>
      </w:r>
      <w:r>
        <w:rPr>
          <w:rFonts w:ascii="Times New Roman" w:cs="Times New Roman" w:eastAsia="Times New Roman" w:hAnsi="Times New Roman"/>
          <w:sz w:val="18"/>
          <w:szCs w:val="18"/>
          <w:color w:val="auto"/>
        </w:rPr>
        <w:t>— The relative performance stock units and non-vested restricted stock units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outstanding for purposes of computing basic income/(loss) per share. However, these instruments are included in the denominator for purposes of computing diluted income/(loss) per share under the treasury stock method for periods when there is net income. The Convertible Senior Notes were convertible, under certain circumstances, into cash or combination of cash and Company’s common stock. The Company was including the potential share settlements, if any, in the denominator for purposes of computing diluted income/(loss) per share under the if converted method for periods when there was net income. The potential shares settlements were calculated as the excess of the Company's conversion obligation over the aggregate principal amount (which was settled in cash), divided by the average share price for the period. During the year ended December 31, 2025, the Company included the potential share settlements in the diluted income per share calculation for the period prior to the redemption date of July 8, 2025.</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67945</wp:posOffset>
            </wp:positionV>
            <wp:extent cx="7160895"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80"/>
          </w:cols>
          <w:pgMar w:left="280" w:top="871" w:right="339" w:bottom="1440" w:gutter="0" w:footer="0" w:header="0"/>
        </w:sectPr>
      </w:pPr>
    </w:p>
    <w:bookmarkStart w:id="144" w:name="page145"/>
    <w:bookmarkEnd w:id="144"/>
    <w:p>
      <w:pPr>
        <w:ind w:left="400"/>
        <w:spacing w:after="0"/>
        <w:rPr>
          <w:sz w:val="20"/>
          <w:szCs w:val="20"/>
          <w:color w:val="auto"/>
        </w:rPr>
      </w:pPr>
      <w:r>
        <w:rPr>
          <w:rFonts w:ascii="Times New Roman" w:cs="Times New Roman" w:eastAsia="Times New Roman" w:hAnsi="Times New Roman"/>
          <w:sz w:val="18"/>
          <w:szCs w:val="18"/>
          <w:color w:val="auto"/>
        </w:rPr>
        <w:t>The reconciliation of NRG's basic and diluted income/(loss) per share is shown in the following table:</w:t>
      </w:r>
    </w:p>
    <w:p>
      <w:pPr>
        <w:spacing w:after="0" w:line="59"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2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7"/>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income/(loss) per share: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4"/>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income/(loss)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4"/>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Cumulative dividends attributable to Series A Preferred Stock</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7"/>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Income/(Loss) Available to Common Stockholders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24"/>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4"/>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Income/(Loss) per weighted average common share — basic</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0"/>
        </w:trPr>
        <w:tc>
          <w:tcPr>
            <w:tcW w:w="724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Diluted income/(loss) per share: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24"/>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income/(loss)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4"/>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Cumulative dividends attributable to Series A Preferred Stock</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7"/>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Income/(Loss) Available to Common Stockholders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24"/>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4"/>
        </w:trPr>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Incremental shares attributable to the issuance of equity compensation (treasury stock method)</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724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8"/>
                <w:szCs w:val="18"/>
                <w:color w:val="auto"/>
              </w:rPr>
              <w:t>Incremental shares attributable to the potential share settlement of Convertible Senior Notes (if</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37"/>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converted method)</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common shares outstanding - diluted</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49"/>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Income/(Loss) per weighted average common share — diluted</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As of December 31, 2025 and 2024, the Company had an insignificant number of outstanding equity instruments that were anti-dilutive and were not included in the computation of the Company’s diluted income per share. As of December 31, 2023, the Company had 6 million of outstanding equity instruments that were anti-dilutive and were not included in the computation of the Company’s diluted loss per share.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18 — </w:t>
      </w:r>
      <w:r>
        <w:rPr>
          <w:rFonts w:ascii="Times New Roman" w:cs="Times New Roman" w:eastAsia="Times New Roman" w:hAnsi="Times New Roman"/>
          <w:sz w:val="18"/>
          <w:szCs w:val="18"/>
          <w:b w:val="1"/>
          <w:bCs w:val="1"/>
          <w:i w:val="1"/>
          <w:iCs w:val="1"/>
          <w:color w:val="auto"/>
        </w:rPr>
        <w:t>Segment Reporting</w:t>
      </w:r>
    </w:p>
    <w:p>
      <w:pPr>
        <w:spacing w:after="0" w:line="11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 xml:space="preserve">The Company’s segment structure reflects how management makes financial decisions and allocates resources. The Company manages its operations based on the combined results of the retail, wholesale and generation businesses with a geographical focus except for Vivint Smart Home operations which are reported within the Vivint Smart Home segment. Corporate represents the corporate business activities, and corporate shared services, to support the Company’s operating segments. The accounting policies of the segments are the same as those applied in the consolidated financial statements as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NRG's chief operating decision maker ("CODM"), its chief executive officer, uses more than one measure to evaluate the performance of its segments and allocate resources, including net income/(loss) and various non-GAAP financial measures such as adjusted earnings before interest, taxes, depreciation and amortization, or Adjusted EBITDA. Net income/(loss) and Adjusted EBITDA are used to review business performance and allocate resources as it provides a clearer view of segment profitability by focusing on operational performance. Additionally, operating expenses’ impact on each operating segment results are analyzed. On a monthly basis, Adjusted EBITDA is compared against the budget, latest forecast, and prior period.</w:t>
      </w:r>
    </w:p>
    <w:p>
      <w:pPr>
        <w:spacing w:after="0" w:line="8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had no customer that comprised more than 10% of the Company's consolidated revenues during the years ended December 31, 2025, 2024 and 2023.</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Intersegment sales are accounted for at market.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185"/>
        </w:trPr>
        <w:tc>
          <w:tcPr>
            <w:tcW w:w="3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Texas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East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West/Other</w:t>
            </w:r>
          </w:p>
        </w:tc>
        <w:tc>
          <w:tcPr>
            <w:tcW w:w="940" w:type="dxa"/>
            <w:vAlign w:val="bottom"/>
            <w:gridSpan w:val="3"/>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Vivint Smart</w:t>
            </w:r>
          </w:p>
        </w:tc>
        <w:tc>
          <w:tcPr>
            <w:tcW w:w="180" w:type="dxa"/>
            <w:vAlign w:val="bottom"/>
          </w:tcPr>
          <w:p>
            <w:pPr>
              <w:spacing w:after="0"/>
              <w:rPr>
                <w:sz w:val="11"/>
                <w:szCs w:val="11"/>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Home</w:t>
            </w: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60" w:type="dxa"/>
            <w:vAlign w:val="bottom"/>
            <w:tcBorders>
              <w:top w:val="single" w:sz="8" w:color="CCEEFF"/>
            </w:tcBorders>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b w:val="1"/>
                <w:bCs w:val="1"/>
                <w:color w:val="auto"/>
              </w:rPr>
              <w:t>Revenue</w:t>
            </w:r>
            <w:r>
              <w:rPr>
                <w:rFonts w:ascii="Times New Roman" w:cs="Times New Roman" w:eastAsia="Times New Roman" w:hAnsi="Times New Roman"/>
                <w:sz w:val="22"/>
                <w:szCs w:val="22"/>
                <w:b w:val="1"/>
                <w:bCs w:val="1"/>
                <w:color w:val="auto"/>
                <w:vertAlign w:val="superscript"/>
              </w:rPr>
              <w:t>(a)</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30,713</w:t>
            </w:r>
          </w:p>
        </w:tc>
        <w:tc>
          <w:tcPr>
            <w:tcW w:w="0" w:type="dxa"/>
            <w:vAlign w:val="bottom"/>
          </w:tcPr>
          <w:p>
            <w:pPr>
              <w:spacing w:after="0"/>
              <w:rPr>
                <w:sz w:val="1"/>
                <w:szCs w:val="1"/>
                <w:color w:val="auto"/>
              </w:rPr>
            </w:pPr>
          </w:p>
        </w:tc>
      </w:tr>
      <w:tr>
        <w:trPr>
          <w:trHeight w:val="224"/>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27,437</w:t>
            </w:r>
          </w:p>
        </w:tc>
        <w:tc>
          <w:tcPr>
            <w:tcW w:w="0" w:type="dxa"/>
            <w:vAlign w:val="bottom"/>
          </w:tcPr>
          <w:p>
            <w:pPr>
              <w:spacing w:after="0"/>
              <w:rPr>
                <w:sz w:val="1"/>
                <w:szCs w:val="1"/>
                <w:color w:val="auto"/>
              </w:rPr>
            </w:pPr>
          </w:p>
        </w:tc>
      </w:tr>
      <w:tr>
        <w:trPr>
          <w:trHeight w:val="224"/>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0" w:type="dxa"/>
            <w:vAlign w:val="bottom"/>
          </w:tcPr>
          <w:p>
            <w:pPr>
              <w:spacing w:after="0"/>
              <w:rPr>
                <w:sz w:val="1"/>
                <w:szCs w:val="1"/>
                <w:color w:val="auto"/>
              </w:rPr>
            </w:pPr>
          </w:p>
        </w:tc>
      </w:tr>
      <w:tr>
        <w:trPr>
          <w:trHeight w:val="217"/>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operating cost and expenses</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13,557</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28,843</w:t>
            </w:r>
          </w:p>
        </w:tc>
        <w:tc>
          <w:tcPr>
            <w:tcW w:w="0" w:type="dxa"/>
            <w:vAlign w:val="bottom"/>
          </w:tcPr>
          <w:p>
            <w:pPr>
              <w:spacing w:after="0"/>
              <w:rPr>
                <w:sz w:val="1"/>
                <w:szCs w:val="1"/>
                <w:color w:val="auto"/>
              </w:rPr>
            </w:pPr>
          </w:p>
        </w:tc>
      </w:tr>
      <w:tr>
        <w:trPr>
          <w:trHeight w:val="224"/>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of assets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7"/>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income/(loss)</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0" w:type="dxa"/>
            <w:vAlign w:val="bottom"/>
          </w:tcPr>
          <w:p>
            <w:pPr>
              <w:spacing w:after="0"/>
              <w:rPr>
                <w:sz w:val="1"/>
                <w:szCs w:val="1"/>
                <w:color w:val="auto"/>
              </w:rPr>
            </w:pPr>
          </w:p>
        </w:tc>
      </w:tr>
      <w:tr>
        <w:trPr>
          <w:trHeight w:val="224"/>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4"/>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losses on investments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4"/>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4"/>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4"/>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17"/>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Income/(loss) before income taxes</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0" w:type="dxa"/>
            <w:vAlign w:val="bottom"/>
          </w:tcPr>
          <w:p>
            <w:pPr>
              <w:spacing w:after="0"/>
              <w:rPr>
                <w:sz w:val="1"/>
                <w:szCs w:val="1"/>
                <w:color w:val="auto"/>
              </w:rPr>
            </w:pPr>
          </w:p>
        </w:tc>
      </w:tr>
      <w:tr>
        <w:trPr>
          <w:trHeight w:val="224"/>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7"/>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segment information</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 in affiliates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4"/>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24"/>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0" w:type="dxa"/>
            <w:vAlign w:val="bottom"/>
          </w:tcPr>
          <w:p>
            <w:pPr>
              <w:spacing w:after="0"/>
              <w:rPr>
                <w:sz w:val="1"/>
                <w:szCs w:val="1"/>
                <w:color w:val="auto"/>
              </w:rPr>
            </w:pPr>
          </w:p>
        </w:tc>
      </w:tr>
      <w:tr>
        <w:trPr>
          <w:trHeight w:val="22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9,286</w:t>
            </w:r>
          </w:p>
        </w:tc>
        <w:tc>
          <w:tcPr>
            <w:tcW w:w="3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(20,304)</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29,140</w:t>
            </w:r>
          </w:p>
        </w:tc>
        <w:tc>
          <w:tcPr>
            <w:tcW w:w="0" w:type="dxa"/>
            <w:vAlign w:val="bottom"/>
          </w:tcPr>
          <w:p>
            <w:pPr>
              <w:spacing w:after="0"/>
              <w:rPr>
                <w:sz w:val="1"/>
                <w:szCs w:val="1"/>
                <w:color w:val="auto"/>
              </w:rPr>
            </w:pPr>
          </w:p>
        </w:tc>
      </w:tr>
      <w:tr>
        <w:trPr>
          <w:trHeight w:val="381"/>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 Inter-segment sales and inter-segment net derivative gains and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losses included in revenues</w:t>
            </w:r>
          </w:p>
        </w:tc>
        <w:tc>
          <w:tcPr>
            <w:tcW w:w="260" w:type="dxa"/>
            <w:vAlign w:val="bottom"/>
            <w:gridSpan w:val="2"/>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gridSpan w:val="2"/>
            <w:vMerge w:val="restart"/>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ind w:right="93"/>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5"/>
                <w:szCs w:val="15"/>
                <w:color w:val="auto"/>
              </w:rPr>
            </w:pP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3"/>
            <w:vMerge w:val="restart"/>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68"/>
        </w:trPr>
        <w:tc>
          <w:tcPr>
            <w:tcW w:w="376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185"/>
        </w:trPr>
        <w:tc>
          <w:tcPr>
            <w:tcW w:w="4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gridSpan w:val="8"/>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1"/>
                <w:szCs w:val="11"/>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24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40" w:type="dxa"/>
            <w:vAlign w:val="bottom"/>
          </w:tcPr>
          <w:p>
            <w:pPr>
              <w:spacing w:after="0"/>
              <w:rPr>
                <w:sz w:val="11"/>
                <w:szCs w:val="11"/>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West/Other</w:t>
            </w:r>
          </w:p>
        </w:tc>
        <w:tc>
          <w:tcPr>
            <w:tcW w:w="960" w:type="dxa"/>
            <w:vAlign w:val="bottom"/>
            <w:gridSpan w:val="3"/>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w w:val="99"/>
              </w:rPr>
              <w:t>Vivint Smart</w:t>
            </w:r>
          </w:p>
        </w:tc>
        <w:tc>
          <w:tcPr>
            <w:tcW w:w="160" w:type="dxa"/>
            <w:vAlign w:val="bottom"/>
          </w:tcPr>
          <w:p>
            <w:pPr>
              <w:spacing w:after="0"/>
              <w:rPr>
                <w:sz w:val="11"/>
                <w:szCs w:val="11"/>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Home</w:t>
            </w: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100" w:type="dxa"/>
            <w:vAlign w:val="bottom"/>
            <w:tcBorders>
              <w:top w:val="single" w:sz="8" w:color="CCEEFF"/>
            </w:tcBorders>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b w:val="1"/>
                <w:bCs w:val="1"/>
                <w:color w:val="auto"/>
              </w:rPr>
              <w:t>Revenue</w:t>
            </w:r>
            <w:r>
              <w:rPr>
                <w:rFonts w:ascii="Times New Roman" w:cs="Times New Roman" w:eastAsia="Times New Roman" w:hAnsi="Times New Roman"/>
                <w:sz w:val="22"/>
                <w:szCs w:val="22"/>
                <w:b w:val="1"/>
                <w:bCs w:val="1"/>
                <w:color w:val="auto"/>
                <w:vertAlign w:val="superscript"/>
              </w:rPr>
              <w:t>(a)</w:t>
            </w: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28,130</w:t>
            </w:r>
          </w:p>
        </w:tc>
        <w:tc>
          <w:tcPr>
            <w:tcW w:w="0" w:type="dxa"/>
            <w:vAlign w:val="bottom"/>
          </w:tcPr>
          <w:p>
            <w:pPr>
              <w:spacing w:after="0"/>
              <w:rPr>
                <w:sz w:val="1"/>
                <w:szCs w:val="1"/>
                <w:color w:val="auto"/>
              </w:rPr>
            </w:pPr>
          </w:p>
        </w:tc>
      </w:tr>
      <w:tr>
        <w:trPr>
          <w:trHeight w:val="22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24,475</w:t>
            </w:r>
          </w:p>
        </w:tc>
        <w:tc>
          <w:tcPr>
            <w:tcW w:w="0" w:type="dxa"/>
            <w:vAlign w:val="bottom"/>
          </w:tcPr>
          <w:p>
            <w:pPr>
              <w:spacing w:after="0"/>
              <w:rPr>
                <w:sz w:val="1"/>
                <w:szCs w:val="1"/>
                <w:color w:val="auto"/>
              </w:rPr>
            </w:pPr>
          </w:p>
        </w:tc>
      </w:tr>
      <w:tr>
        <w:trPr>
          <w:trHeight w:val="224"/>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2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losses</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7"/>
        </w:trPr>
        <w:tc>
          <w:tcPr>
            <w:tcW w:w="41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operating cost and expenses</w:t>
            </w: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10,113</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25,914</w:t>
            </w:r>
          </w:p>
        </w:tc>
        <w:tc>
          <w:tcPr>
            <w:tcW w:w="0" w:type="dxa"/>
            <w:vAlign w:val="bottom"/>
          </w:tcPr>
          <w:p>
            <w:pPr>
              <w:spacing w:after="0"/>
              <w:rPr>
                <w:sz w:val="1"/>
                <w:szCs w:val="1"/>
                <w:color w:val="auto"/>
              </w:rPr>
            </w:pPr>
          </w:p>
        </w:tc>
      </w:tr>
      <w:tr>
        <w:trPr>
          <w:trHeight w:val="22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(Loss)/Gain on sale of assets</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7"/>
        </w:trPr>
        <w:tc>
          <w:tcPr>
            <w:tcW w:w="41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income/(loss)</w:t>
            </w: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0" w:type="dxa"/>
            <w:vAlign w:val="bottom"/>
          </w:tcPr>
          <w:p>
            <w:pPr>
              <w:spacing w:after="0"/>
              <w:rPr>
                <w:sz w:val="1"/>
                <w:szCs w:val="1"/>
                <w:color w:val="auto"/>
              </w:rPr>
            </w:pPr>
          </w:p>
        </w:tc>
      </w:tr>
      <w:tr>
        <w:trPr>
          <w:trHeight w:val="22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4"/>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losses on investments</w:t>
            </w:r>
          </w:p>
        </w:tc>
        <w:tc>
          <w:tcPr>
            <w:tcW w:w="2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4"/>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2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17"/>
        </w:trPr>
        <w:tc>
          <w:tcPr>
            <w:tcW w:w="41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Income/(loss) before income taxes</w:t>
            </w: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0" w:type="dxa"/>
            <w:vAlign w:val="bottom"/>
          </w:tcPr>
          <w:p>
            <w:pPr>
              <w:spacing w:after="0"/>
              <w:rPr>
                <w:sz w:val="1"/>
                <w:szCs w:val="1"/>
                <w:color w:val="auto"/>
              </w:rPr>
            </w:pPr>
          </w:p>
        </w:tc>
      </w:tr>
      <w:tr>
        <w:trPr>
          <w:trHeight w:val="22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42"/>
        </w:trPr>
        <w:tc>
          <w:tcPr>
            <w:tcW w:w="41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segment information</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investments in affiliates</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4"/>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2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0" w:type="dxa"/>
            <w:vAlign w:val="bottom"/>
          </w:tcPr>
          <w:p>
            <w:pPr>
              <w:spacing w:after="0"/>
              <w:rPr>
                <w:sz w:val="1"/>
                <w:szCs w:val="1"/>
                <w:color w:val="auto"/>
              </w:rPr>
            </w:pPr>
          </w:p>
        </w:tc>
      </w:tr>
      <w:tr>
        <w:trPr>
          <w:trHeight w:val="224"/>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24,022</w:t>
            </w:r>
          </w:p>
        </w:tc>
        <w:tc>
          <w:tcPr>
            <w:tcW w:w="0" w:type="dxa"/>
            <w:vAlign w:val="bottom"/>
          </w:tcPr>
          <w:p>
            <w:pPr>
              <w:spacing w:after="0"/>
              <w:rPr>
                <w:sz w:val="1"/>
                <w:szCs w:val="1"/>
                <w:color w:val="auto"/>
              </w:rPr>
            </w:pPr>
          </w:p>
        </w:tc>
      </w:tr>
      <w:tr>
        <w:trPr>
          <w:trHeight w:val="385"/>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 Inter-segment sales and inter-segment net derivative gains and losses</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included in revenues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22</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0" w:type="dxa"/>
            <w:vAlign w:val="bottom"/>
            <w:gridSpan w:val="3"/>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45"/>
        </w:trPr>
        <w:tc>
          <w:tcPr>
            <w:tcW w:w="410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7" w:name="page148"/>
    <w:bookmarkEnd w:id="147"/>
    <w:tbl>
      <w:tblPr>
        <w:tblLayout w:type="fixed"/>
        <w:tblInd w:w="40" w:type="dxa"/>
        <w:tblCellMar>
          <w:top w:w="0" w:type="dxa"/>
          <w:left w:w="0" w:type="dxa"/>
          <w:bottom w:w="0" w:type="dxa"/>
          <w:right w:w="0" w:type="dxa"/>
        </w:tblCellMar>
      </w:tblPr>
      <w:tr>
        <w:trPr>
          <w:trHeight w:val="185"/>
        </w:trPr>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0" w:type="dxa"/>
            <w:vAlign w:val="bottom"/>
            <w:gridSpan w:val="11"/>
          </w:tcPr>
          <w:p>
            <w:pPr>
              <w:ind w:left="6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0"/>
                <w:szCs w:val="10"/>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200" w:type="dxa"/>
            <w:vAlign w:val="bottom"/>
          </w:tcPr>
          <w:p>
            <w:pPr>
              <w:spacing w:after="0"/>
              <w:rPr>
                <w:sz w:val="10"/>
                <w:szCs w:val="10"/>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East</w:t>
            </w:r>
          </w:p>
        </w:tc>
        <w:tc>
          <w:tcPr>
            <w:tcW w:w="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West/Other</w:t>
            </w:r>
          </w:p>
        </w:tc>
        <w:tc>
          <w:tcPr>
            <w:tcW w:w="1040" w:type="dxa"/>
            <w:vAlign w:val="bottom"/>
            <w:gridSpan w:val="3"/>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w w:val="99"/>
              </w:rPr>
              <w:t>Vivint Smart</w:t>
            </w:r>
          </w:p>
        </w:tc>
        <w:tc>
          <w:tcPr>
            <w:tcW w:w="120" w:type="dxa"/>
            <w:vAlign w:val="bottom"/>
          </w:tcPr>
          <w:p>
            <w:pPr>
              <w:spacing w:after="0"/>
              <w:rPr>
                <w:sz w:val="10"/>
                <w:szCs w:val="10"/>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7"/>
        </w:trPr>
        <w:tc>
          <w:tcPr>
            <w:tcW w:w="40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center"/>
              <w:ind w:right="260"/>
              <w:spacing w:after="0" w:line="197" w:lineRule="exact"/>
              <w:rPr>
                <w:sz w:val="20"/>
                <w:szCs w:val="20"/>
                <w:color w:val="auto"/>
              </w:rPr>
            </w:pPr>
            <w:r>
              <w:rPr>
                <w:rFonts w:ascii="Times New Roman" w:cs="Times New Roman" w:eastAsia="Times New Roman" w:hAnsi="Times New Roman"/>
                <w:sz w:val="14"/>
                <w:szCs w:val="14"/>
                <w:b w:val="1"/>
                <w:bCs w:val="1"/>
                <w:color w:val="auto"/>
                <w:w w:val="92"/>
              </w:rPr>
              <w:t>Home</w:t>
            </w:r>
            <w:r>
              <w:rPr>
                <w:rFonts w:ascii="Times New Roman" w:cs="Times New Roman" w:eastAsia="Times New Roman" w:hAnsi="Times New Roman"/>
                <w:sz w:val="18"/>
                <w:szCs w:val="18"/>
                <w:b w:val="1"/>
                <w:bCs w:val="1"/>
                <w:color w:val="auto"/>
                <w:w w:val="92"/>
                <w:vertAlign w:val="superscript"/>
              </w:rPr>
              <w:t>(a)</w:t>
            </w:r>
          </w:p>
        </w:tc>
        <w:tc>
          <w:tcPr>
            <w:tcW w:w="1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40" w:type="dxa"/>
            <w:vAlign w:val="bottom"/>
            <w:tcBorders>
              <w:top w:val="single" w:sz="8" w:color="CCEEFF"/>
            </w:tcBorders>
            <w:shd w:val="clear" w:color="auto" w:fill="CCEEFF"/>
          </w:tcPr>
          <w:p>
            <w:pPr>
              <w:spacing w:after="0" w:line="217" w:lineRule="exact"/>
              <w:rPr>
                <w:sz w:val="20"/>
                <w:szCs w:val="20"/>
                <w:color w:val="auto"/>
              </w:rPr>
            </w:pPr>
            <w:r>
              <w:rPr>
                <w:rFonts w:ascii="Times New Roman" w:cs="Times New Roman" w:eastAsia="Times New Roman" w:hAnsi="Times New Roman"/>
                <w:sz w:val="18"/>
                <w:szCs w:val="18"/>
                <w:b w:val="1"/>
                <w:bCs w:val="1"/>
                <w:color w:val="auto"/>
              </w:rPr>
              <w:t>Revenue</w:t>
            </w:r>
            <w:r>
              <w:rPr>
                <w:rFonts w:ascii="Times New Roman" w:cs="Times New Roman" w:eastAsia="Times New Roman" w:hAnsi="Times New Roman"/>
                <w:sz w:val="22"/>
                <w:szCs w:val="22"/>
                <w:b w:val="1"/>
                <w:bCs w:val="1"/>
                <w:color w:val="auto"/>
                <w:vertAlign w:val="superscript"/>
              </w:rPr>
              <w:t>(b)</w:t>
            </w: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center"/>
              <w:ind w:left="434"/>
              <w:spacing w:after="0"/>
              <w:rPr>
                <w:sz w:val="20"/>
                <w:szCs w:val="20"/>
                <w:color w:val="auto"/>
              </w:rPr>
            </w:pPr>
            <w:r>
              <w:rPr>
                <w:rFonts w:ascii="Times New Roman" w:cs="Times New Roman" w:eastAsia="Times New Roman" w:hAnsi="Times New Roman"/>
                <w:sz w:val="18"/>
                <w:szCs w:val="18"/>
                <w:color w:val="auto"/>
                <w:w w:val="99"/>
              </w:rPr>
              <w:t>(30)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28,823</w:t>
            </w:r>
          </w:p>
        </w:tc>
        <w:tc>
          <w:tcPr>
            <w:tcW w:w="0" w:type="dxa"/>
            <w:vAlign w:val="bottom"/>
          </w:tcPr>
          <w:p>
            <w:pPr>
              <w:spacing w:after="0"/>
              <w:rPr>
                <w:sz w:val="1"/>
                <w:szCs w:val="1"/>
                <w:color w:val="auto"/>
              </w:rPr>
            </w:pPr>
          </w:p>
        </w:tc>
      </w:tr>
      <w:tr>
        <w:trPr>
          <w:trHeight w:val="22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center"/>
              <w:ind w:left="434"/>
              <w:spacing w:after="0"/>
              <w:rPr>
                <w:sz w:val="20"/>
                <w:szCs w:val="20"/>
                <w:color w:val="auto"/>
              </w:rPr>
            </w:pPr>
            <w:r>
              <w:rPr>
                <w:rFonts w:ascii="Times New Roman" w:cs="Times New Roman" w:eastAsia="Times New Roman" w:hAnsi="Times New Roman"/>
                <w:sz w:val="18"/>
                <w:szCs w:val="18"/>
                <w:color w:val="auto"/>
                <w:w w:val="99"/>
              </w:rPr>
              <w:t>(30)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28,696</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left="394"/>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2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center"/>
              <w:ind w:left="394"/>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7"/>
        </w:trPr>
        <w:tc>
          <w:tcPr>
            <w:tcW w:w="40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operating cost and expenses</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ind w:left="434"/>
              <w:spacing w:after="0"/>
              <w:rPr>
                <w:sz w:val="20"/>
                <w:szCs w:val="20"/>
                <w:color w:val="auto"/>
              </w:rPr>
            </w:pPr>
            <w:r>
              <w:rPr>
                <w:rFonts w:ascii="Times New Roman" w:cs="Times New Roman" w:eastAsia="Times New Roman" w:hAnsi="Times New Roman"/>
                <w:sz w:val="18"/>
                <w:szCs w:val="18"/>
                <w:color w:val="auto"/>
                <w:w w:val="99"/>
              </w:rPr>
              <w:t>(30)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30,017</w:t>
            </w:r>
          </w:p>
        </w:tc>
        <w:tc>
          <w:tcPr>
            <w:tcW w:w="0" w:type="dxa"/>
            <w:vAlign w:val="bottom"/>
          </w:tcPr>
          <w:p>
            <w:pPr>
              <w:spacing w:after="0"/>
              <w:rPr>
                <w:sz w:val="1"/>
                <w:szCs w:val="1"/>
                <w:color w:val="auto"/>
              </w:rPr>
            </w:pPr>
          </w:p>
        </w:tc>
      </w:tr>
      <w:tr>
        <w:trPr>
          <w:trHeight w:val="22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center"/>
              <w:ind w:left="394"/>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0" w:type="dxa"/>
            <w:vAlign w:val="bottom"/>
          </w:tcPr>
          <w:p>
            <w:pPr>
              <w:spacing w:after="0"/>
              <w:rPr>
                <w:sz w:val="1"/>
                <w:szCs w:val="1"/>
                <w:color w:val="auto"/>
              </w:rPr>
            </w:pPr>
          </w:p>
        </w:tc>
      </w:tr>
      <w:tr>
        <w:trPr>
          <w:trHeight w:val="217"/>
        </w:trPr>
        <w:tc>
          <w:tcPr>
            <w:tcW w:w="40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Operating income/(loss)</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ind w:left="474"/>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2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center"/>
              <w:ind w:left="394"/>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losses on investments</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left="394"/>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center"/>
              <w:ind w:left="394"/>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left="394"/>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center"/>
              <w:ind w:left="394"/>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17"/>
        </w:trPr>
        <w:tc>
          <w:tcPr>
            <w:tcW w:w="40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Income/(loss) before income taxes</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ind w:left="474"/>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center"/>
              <w:ind w:left="394"/>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2"/>
        </w:trPr>
        <w:tc>
          <w:tcPr>
            <w:tcW w:w="40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1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center"/>
              <w:ind w:left="474"/>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300" w:hanging="192"/>
        <w:spacing w:after="0"/>
        <w:tabs>
          <w:tab w:leader="none" w:pos="30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results of operations following the acquisition date of March 10, 2023</w:t>
      </w:r>
    </w:p>
    <w:p>
      <w:pPr>
        <w:spacing w:after="0" w:line="167" w:lineRule="exact"/>
        <w:rPr>
          <w:rFonts w:ascii="Times New Roman" w:cs="Times New Roman" w:eastAsia="Times New Roman" w:hAnsi="Times New Roman"/>
          <w:sz w:val="14"/>
          <w:szCs w:val="14"/>
          <w:color w:val="auto"/>
        </w:rPr>
      </w:pPr>
    </w:p>
    <w:p>
      <w:pPr>
        <w:ind w:left="300" w:hanging="192"/>
        <w:spacing w:after="0"/>
        <w:tabs>
          <w:tab w:leader="none" w:pos="30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Inter-segment sales and inter-segment net derivative gains and</w:t>
      </w:r>
    </w:p>
    <w:p>
      <w:pPr>
        <w:ind w:left="260"/>
        <w:spacing w:after="0" w:line="215" w:lineRule="auto"/>
        <w:rPr>
          <w:sz w:val="20"/>
          <w:szCs w:val="20"/>
          <w:color w:val="auto"/>
        </w:rPr>
      </w:pPr>
      <w:r>
        <w:rPr>
          <w:rFonts w:ascii="Times New Roman" w:cs="Times New Roman" w:eastAsia="Times New Roman" w:hAnsi="Times New Roman"/>
          <w:sz w:val="14"/>
          <w:szCs w:val="14"/>
          <w:color w:val="auto"/>
        </w:rPr>
        <w:t>losses included in revenues</w:t>
      </w:r>
    </w:p>
    <w:p>
      <w:pPr>
        <w:spacing w:after="0" w:line="1" w:lineRule="exact"/>
        <w:rPr>
          <w:sz w:val="20"/>
          <w:szCs w:val="20"/>
          <w:color w:val="auto"/>
        </w:rPr>
      </w:pPr>
    </w:p>
    <w:p>
      <w:pPr>
        <w:ind w:left="4000"/>
        <w:spacing w:after="0"/>
        <w:tabs>
          <w:tab w:leader="none" w:pos="4720" w:val="left"/>
          <w:tab w:leader="none" w:pos="4980" w:val="left"/>
          <w:tab w:leader="none" w:pos="5720" w:val="left"/>
          <w:tab w:leader="none" w:pos="5960" w:val="left"/>
          <w:tab w:leader="none" w:pos="6720" w:val="left"/>
          <w:tab w:leader="none" w:pos="7020" w:val="left"/>
          <w:tab w:leader="none" w:pos="7680" w:val="left"/>
          <w:tab w:leader="none" w:pos="7980" w:val="left"/>
          <w:tab w:leader="none" w:pos="8740" w:val="left"/>
          <w:tab w:leader="none" w:pos="9040" w:val="left"/>
          <w:tab w:leader="none" w:pos="9820" w:val="left"/>
          <w:tab w:leader="none" w:pos="10120" w:val="left"/>
          <w:tab w:leader="none" w:pos="1094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5</w:t>
        <w:tab/>
        <w:t>$</w:t>
      </w:r>
      <w:r>
        <w:rPr>
          <w:sz w:val="20"/>
          <w:szCs w:val="20"/>
          <w:color w:val="auto"/>
        </w:rPr>
        <w:tab/>
      </w:r>
      <w:r>
        <w:rPr>
          <w:rFonts w:ascii="Times New Roman" w:cs="Times New Roman" w:eastAsia="Times New Roman" w:hAnsi="Times New Roman"/>
          <w:sz w:val="14"/>
          <w:szCs w:val="14"/>
          <w:color w:val="auto"/>
        </w:rPr>
        <w:t>9</w:t>
        <w:tab/>
        <w:t>$</w:t>
      </w:r>
      <w:r>
        <w:rPr>
          <w:sz w:val="20"/>
          <w:szCs w:val="20"/>
          <w:color w:val="auto"/>
        </w:rPr>
        <w:tab/>
      </w:r>
      <w:r>
        <w:rPr>
          <w:rFonts w:ascii="Times New Roman" w:cs="Times New Roman" w:eastAsia="Times New Roman" w:hAnsi="Times New Roman"/>
          <w:sz w:val="14"/>
          <w:szCs w:val="14"/>
          <w:color w:val="auto"/>
        </w:rPr>
        <w:t>16</w:t>
        <w:tab/>
        <w:t>$</w:t>
      </w:r>
      <w:r>
        <w:rPr>
          <w:sz w:val="20"/>
          <w:szCs w:val="20"/>
          <w:color w:val="auto"/>
        </w:rPr>
        <w:tab/>
      </w:r>
      <w:r>
        <w:rPr>
          <w:rFonts w:ascii="Times New Roman" w:cs="Times New Roman" w:eastAsia="Times New Roman" w:hAnsi="Times New Roman"/>
          <w:sz w:val="14"/>
          <w:szCs w:val="14"/>
          <w:color w:val="auto"/>
        </w:rPr>
        <w:t>—</w:t>
        <w:tab/>
        <w:t>$</w:t>
      </w:r>
      <w:r>
        <w:rPr>
          <w:sz w:val="20"/>
          <w:szCs w:val="20"/>
          <w:color w:val="auto"/>
        </w:rPr>
        <w:tab/>
      </w:r>
      <w:r>
        <w:rPr>
          <w:rFonts w:ascii="Times New Roman" w:cs="Times New Roman" w:eastAsia="Times New Roman" w:hAnsi="Times New Roman"/>
          <w:sz w:val="14"/>
          <w:szCs w:val="14"/>
          <w:color w:val="auto"/>
        </w:rPr>
        <w:t>—</w:t>
        <w:tab/>
        <w:t>$</w:t>
      </w:r>
      <w:r>
        <w:rPr>
          <w:sz w:val="20"/>
          <w:szCs w:val="20"/>
          <w:color w:val="auto"/>
        </w:rPr>
        <w:tab/>
      </w:r>
      <w:r>
        <w:rPr>
          <w:rFonts w:ascii="Times New Roman" w:cs="Times New Roman" w:eastAsia="Times New Roman" w:hAnsi="Times New Roman"/>
          <w:sz w:val="14"/>
          <w:szCs w:val="14"/>
          <w:color w:val="auto"/>
        </w:rPr>
        <w:t>—</w:t>
        <w:tab/>
        <w:t>$</w:t>
      </w:r>
      <w:r>
        <w:rPr>
          <w:sz w:val="20"/>
          <w:szCs w:val="20"/>
          <w:color w:val="auto"/>
        </w:rPr>
        <w:tab/>
      </w:r>
      <w:r>
        <w:rPr>
          <w:rFonts w:ascii="Times New Roman" w:cs="Times New Roman" w:eastAsia="Times New Roman" w:hAnsi="Times New Roman"/>
          <w:sz w:val="14"/>
          <w:szCs w:val="14"/>
          <w:color w:val="auto"/>
        </w:rPr>
        <w:t>30</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19 — </w:t>
      </w:r>
      <w:r>
        <w:rPr>
          <w:rFonts w:ascii="Times New Roman" w:cs="Times New Roman" w:eastAsia="Times New Roman" w:hAnsi="Times New Roman"/>
          <w:sz w:val="18"/>
          <w:szCs w:val="18"/>
          <w:b w:val="1"/>
          <w:bCs w:val="1"/>
          <w:i w:val="1"/>
          <w:iCs w:val="1"/>
          <w:color w:val="auto"/>
        </w:rPr>
        <w:t>Income Taxes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income tax provision consisted of the following amounts: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effective income tax rate)</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1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Federal</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4"/>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4"/>
        </w:trPr>
        <w:tc>
          <w:tcPr>
            <w:tcW w:w="6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7"/>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 current</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7"/>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Federal</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4"/>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80" w:type="dxa"/>
            <w:vAlign w:val="bottom"/>
          </w:tcPr>
          <w:p>
            <w:pPr>
              <w:spacing w:after="0"/>
              <w:rPr>
                <w:sz w:val="19"/>
                <w:szCs w:val="19"/>
                <w:color w:val="auto"/>
              </w:rPr>
            </w:pP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4"/>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7"/>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 deferred</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42"/>
        </w:trPr>
        <w:tc>
          <w:tcPr>
            <w:tcW w:w="6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income tax expense/(benefit)</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1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23.8 %</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22.3 %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July 4, 2025, the OBBB was enacted into law. The OBBB includes changes to U.S. tax law applicable to NRG beginning in 2025. The impact of the OBBB on the Company’s consolidated financial statements has been reflected in its current and deferred taxes, however, there is no material impact to income tax expense for the year ended December 31, 2025.</w:t>
      </w:r>
    </w:p>
    <w:p>
      <w:pPr>
        <w:spacing w:after="0" w:line="75"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IRA enacted on August 16, 2022, introduced new provisions including a 15% corporate alternative minimum tax and a 1% excise tax on net share repurchases with both taxes effective beginning in fiscal year 2023 for NRG. On September 12, 2024, Treasury and the IRS released proposed regulations that provide guidance on the application of the CAMT. The proposed regulations allow the exclusion of unrealized mark-to-market gains and losses, related to qualified hedge transactions, from adjusted financial statement income. The Company will continue to evaluate the applicable corporation status and the impact of the CAMT based on the proposed guidance. As of December 31, 2025, NRG as an applicable corporation is subject to the CAMT, however, there is no impact on the Company’s provision for income taxes from the CAMT as of December 31, 2025.</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148" w:name="page149"/>
    <w:bookmarkEnd w:id="148"/>
    <w:p>
      <w:pPr>
        <w:ind w:left="400"/>
        <w:spacing w:after="0"/>
        <w:rPr>
          <w:sz w:val="20"/>
          <w:szCs w:val="20"/>
          <w:color w:val="auto"/>
        </w:rPr>
      </w:pPr>
      <w:r>
        <w:rPr>
          <w:rFonts w:ascii="Times New Roman" w:cs="Times New Roman" w:eastAsia="Times New Roman" w:hAnsi="Times New Roman"/>
          <w:sz w:val="18"/>
          <w:szCs w:val="18"/>
          <w:color w:val="auto"/>
        </w:rPr>
        <w:t>The following represented the domestic and foreign components of income/(loss) before income taxes:</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6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6380" w:type="dxa"/>
            <w:vAlign w:val="bottom"/>
            <w:vMerge w:val="continue"/>
          </w:tcPr>
          <w:p>
            <w:pPr>
              <w:spacing w:after="0"/>
              <w:rPr>
                <w:sz w:val="15"/>
                <w:szCs w:val="15"/>
                <w:color w:val="auto"/>
              </w:rPr>
            </w:pP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60" w:type="dxa"/>
            <w:vAlign w:val="bottom"/>
          </w:tcPr>
          <w:p>
            <w:pPr>
              <w:jc w:val="right"/>
              <w:ind w:right="9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580" w:type="dxa"/>
            <w:vAlign w:val="bottom"/>
            <w:tcBorders>
              <w:top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6"/>
              </w:rPr>
              <w:t>261</w:t>
            </w:r>
          </w:p>
        </w:tc>
      </w:tr>
      <w:tr>
        <w:trPr>
          <w:trHeight w:val="224"/>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372"/>
              <w:spacing w:after="0"/>
              <w:rPr>
                <w:sz w:val="20"/>
                <w:szCs w:val="20"/>
                <w:color w:val="auto"/>
              </w:rPr>
            </w:pPr>
            <w:r>
              <w:rPr>
                <w:rFonts w:ascii="Times New Roman" w:cs="Times New Roman" w:eastAsia="Times New Roman" w:hAnsi="Times New Roman"/>
                <w:sz w:val="18"/>
                <w:szCs w:val="18"/>
                <w:color w:val="auto"/>
                <w:w w:val="97"/>
              </w:rPr>
              <w:t>(474)</w:t>
            </w:r>
          </w:p>
        </w:tc>
      </w:tr>
      <w:tr>
        <w:trPr>
          <w:trHeight w:val="242"/>
        </w:trPr>
        <w:tc>
          <w:tcPr>
            <w:tcW w:w="6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center"/>
              <w:ind w:left="372"/>
              <w:spacing w:after="0"/>
              <w:rPr>
                <w:sz w:val="20"/>
                <w:szCs w:val="20"/>
                <w:color w:val="auto"/>
              </w:rPr>
            </w:pPr>
            <w:r>
              <w:rPr>
                <w:rFonts w:ascii="Times New Roman" w:cs="Times New Roman" w:eastAsia="Times New Roman" w:hAnsi="Times New Roman"/>
                <w:sz w:val="18"/>
                <w:szCs w:val="18"/>
                <w:color w:val="auto"/>
                <w:w w:val="97"/>
              </w:rPr>
              <w:t>(213)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Reconciliations of the U.S. federal statutory tax rate to NRG's effective tax rate were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6"/>
          </w:tcPr>
          <w:p>
            <w:pPr>
              <w:jc w:val="right"/>
              <w:ind w:right="73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4"/>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effective income tax rate)</w:t>
            </w: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at federal statutory income tax rate</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24"/>
        </w:trPr>
        <w:tc>
          <w:tcPr>
            <w:tcW w:w="7840" w:type="dxa"/>
            <w:vAlign w:val="bottom"/>
          </w:tcPr>
          <w:p>
            <w:pPr>
              <w:ind w:left="40"/>
              <w:spacing w:after="0" w:line="224" w:lineRule="exact"/>
              <w:rPr>
                <w:sz w:val="20"/>
                <w:szCs w:val="20"/>
                <w:color w:val="auto"/>
              </w:rPr>
            </w:pPr>
            <w:r>
              <w:rPr>
                <w:rFonts w:ascii="Times New Roman" w:cs="Times New Roman" w:eastAsia="Times New Roman" w:hAnsi="Times New Roman"/>
                <w:sz w:val="18"/>
                <w:szCs w:val="18"/>
                <w:color w:val="auto"/>
              </w:rPr>
              <w:t>State and local income taxes, net of federal effect</w:t>
            </w:r>
            <w:r>
              <w:rPr>
                <w:rFonts w:ascii="Times New Roman" w:cs="Times New Roman" w:eastAsia="Times New Roman" w:hAnsi="Times New Roman"/>
                <w:sz w:val="22"/>
                <w:szCs w:val="22"/>
                <w:color w:val="auto"/>
                <w:vertAlign w:val="superscript"/>
              </w:rPr>
              <w:t>(a)</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24"/>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Nontaxable and nondeductible items:</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compensation</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4"/>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Excess executive compensation</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24"/>
        </w:trPr>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24"/>
        </w:trPr>
        <w:tc>
          <w:tcPr>
            <w:tcW w:w="7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Reconciling Items:</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4"/>
        </w:trPr>
        <w:tc>
          <w:tcPr>
            <w:tcW w:w="7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Changes in prior year unrecognized tax benefit</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 State taxes in Texas and Pennsylvania make up the majority (greater than 50 percent) of the tax effect in this category</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7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6"/>
          </w:tcPr>
          <w:p>
            <w:pPr>
              <w:jc w:val="right"/>
              <w:ind w:right="83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4"/>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effective income tax rate)</w:t>
            </w: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84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Income/(Loss) before income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Tax at federal statutory tax rate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135"/>
              <w:spacing w:after="0" w:line="196" w:lineRule="exact"/>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right"/>
              <w:ind w:right="77"/>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4"/>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taxes</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4"/>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77"/>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4"/>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state valuation allowances</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4"/>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Nondeductible loss on Convertible Senior Notes repurchases</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Permanent differences</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4"/>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compensation</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Recognition of uncertain tax benefits</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4"/>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impact of state tax rate changes</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4"/>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tax refunds</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4"/>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Return to provision adjustments</w:t>
            </w: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77"/>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2"/>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expense/(benefit)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8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22.3 %</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For the year ended December 31, 2025, NRG's effective income tax rate was higher than the federal statutory tax rate of 21% primarily due to the state tax expense, partially offset by favorable permanent differences.</w:t>
      </w:r>
    </w:p>
    <w:p>
      <w:pPr>
        <w:spacing w:after="0" w:line="6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2024, NRG's effective income tax rate was higher than the federal statutory tax rate of 21% primarily due to permanent differences and state tax expense partially offset by tax benefits from the revaluation of state deferred tax assets, and decrease of certain state valuation allowances.</w:t>
      </w:r>
    </w:p>
    <w:p>
      <w:pPr>
        <w:spacing w:after="0" w:line="75" w:lineRule="exact"/>
        <w:rPr>
          <w:sz w:val="20"/>
          <w:szCs w:val="20"/>
          <w:color w:val="auto"/>
        </w:rPr>
      </w:pPr>
    </w:p>
    <w:p>
      <w:pPr>
        <w:ind w:right="140" w:firstLine="395"/>
        <w:spacing w:after="0" w:line="268" w:lineRule="auto"/>
        <w:rPr>
          <w:sz w:val="20"/>
          <w:szCs w:val="20"/>
          <w:color w:val="auto"/>
        </w:rPr>
      </w:pPr>
      <w:r>
        <w:rPr>
          <w:rFonts w:ascii="Times New Roman" w:cs="Times New Roman" w:eastAsia="Times New Roman" w:hAnsi="Times New Roman"/>
          <w:sz w:val="18"/>
          <w:szCs w:val="18"/>
          <w:color w:val="auto"/>
        </w:rPr>
        <w:t>For the year ended December 31, 2023, NRG's effective income tax rate was lower than the federal statutory tax rate of 21% primarily due to permanent differences and changes in state valuation allowances.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28"/>
        </w:trPr>
        <w:tc>
          <w:tcPr>
            <w:tcW w:w="4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temporary  differences,  which  gave  rise  to  the</w:t>
            </w:r>
          </w:p>
        </w:tc>
        <w:tc>
          <w:tcPr>
            <w:tcW w:w="40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Company's  deferred  tax  assets  and  liabilities</w:t>
            </w: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consisted</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of</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following:</w:t>
            </w:r>
          </w:p>
        </w:tc>
        <w:tc>
          <w:tcPr>
            <w:tcW w:w="0" w:type="dxa"/>
            <w:vAlign w:val="bottom"/>
          </w:tcPr>
          <w:p>
            <w:pPr>
              <w:spacing w:after="0"/>
              <w:rPr>
                <w:sz w:val="1"/>
                <w:szCs w:val="1"/>
                <w:color w:val="auto"/>
              </w:rPr>
            </w:pPr>
          </w:p>
        </w:tc>
      </w:tr>
      <w:tr>
        <w:trPr>
          <w:trHeight w:val="227"/>
        </w:trPr>
        <w:tc>
          <w:tcPr>
            <w:tcW w:w="49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4"/>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00" w:type="dxa"/>
            <w:vAlign w:val="bottom"/>
            <w:tcBorders>
              <w:bottom w:val="single" w:sz="8" w:color="CCEEFF"/>
            </w:tcBorders>
            <w:vMerge w:val="continue"/>
          </w:tcPr>
          <w:p>
            <w:pPr>
              <w:spacing w:after="0"/>
              <w:rPr>
                <w:sz w:val="16"/>
                <w:szCs w:val="16"/>
                <w:color w:val="auto"/>
              </w:rPr>
            </w:pPr>
          </w:p>
        </w:tc>
        <w:tc>
          <w:tcPr>
            <w:tcW w:w="314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Federal net operating loss carryforwards</w:t>
            </w:r>
          </w:p>
        </w:tc>
        <w:tc>
          <w:tcPr>
            <w:tcW w:w="4060" w:type="dxa"/>
            <w:vAlign w:val="bottom"/>
            <w:gridSpan w:val="2"/>
          </w:tcPr>
          <w:p>
            <w:pPr>
              <w:jc w:val="right"/>
              <w:ind w:right="72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net operating loss carryforwards</w:t>
            </w:r>
          </w:p>
        </w:tc>
        <w:tc>
          <w:tcPr>
            <w:tcW w:w="3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net operating loss carryforwards</w:t>
            </w:r>
          </w:p>
        </w:tc>
        <w:tc>
          <w:tcPr>
            <w:tcW w:w="3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revenues</w:t>
            </w:r>
          </w:p>
        </w:tc>
        <w:tc>
          <w:tcPr>
            <w:tcW w:w="3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Difference between book and tax basis of property</w:t>
            </w:r>
          </w:p>
        </w:tc>
        <w:tc>
          <w:tcPr>
            <w:tcW w:w="3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 tax credit carryforwards</w:t>
            </w:r>
          </w:p>
        </w:tc>
        <w:tc>
          <w:tcPr>
            <w:tcW w:w="3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compensation, accrued vacation and other reserves</w:t>
            </w:r>
          </w:p>
        </w:tc>
        <w:tc>
          <w:tcPr>
            <w:tcW w:w="3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disallowance carryforward per §163(j) of the Tax Act</w:t>
            </w:r>
          </w:p>
        </w:tc>
        <w:tc>
          <w:tcPr>
            <w:tcW w:w="3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3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compensation</w:t>
            </w:r>
          </w:p>
        </w:tc>
        <w:tc>
          <w:tcPr>
            <w:tcW w:w="3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 benefit on state uncertain tax positions</w:t>
            </w:r>
          </w:p>
        </w:tc>
        <w:tc>
          <w:tcPr>
            <w:tcW w:w="3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 obsolescence</w:t>
            </w:r>
          </w:p>
        </w:tc>
        <w:tc>
          <w:tcPr>
            <w:tcW w:w="3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capital loss</w:t>
            </w:r>
          </w:p>
        </w:tc>
        <w:tc>
          <w:tcPr>
            <w:tcW w:w="3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1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3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Intangibles amortization (excluding goodwill)</w:t>
            </w:r>
          </w:p>
        </w:tc>
        <w:tc>
          <w:tcPr>
            <w:tcW w:w="3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Derivatives</w:t>
            </w:r>
          </w:p>
        </w:tc>
        <w:tc>
          <w:tcPr>
            <w:tcW w:w="3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Capitalized contract costs</w:t>
            </w:r>
          </w:p>
        </w:tc>
        <w:tc>
          <w:tcPr>
            <w:tcW w:w="3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3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3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Emissions allowances</w:t>
            </w:r>
          </w:p>
        </w:tc>
        <w:tc>
          <w:tcPr>
            <w:tcW w:w="31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31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deferred tax assets less deferred tax liabilities</w:t>
            </w:r>
          </w:p>
        </w:tc>
        <w:tc>
          <w:tcPr>
            <w:tcW w:w="31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31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net deferred tax assets, net of valuation allowance</w:t>
            </w:r>
          </w:p>
        </w:tc>
        <w:tc>
          <w:tcPr>
            <w:tcW w:w="3140" w:type="dxa"/>
            <w:vAlign w:val="bottom"/>
          </w:tcPr>
          <w:p>
            <w:pPr>
              <w:spacing w:after="0"/>
              <w:rPr>
                <w:sz w:val="18"/>
                <w:szCs w:val="18"/>
                <w:color w:val="auto"/>
              </w:rPr>
            </w:pPr>
          </w:p>
        </w:tc>
        <w:tc>
          <w:tcPr>
            <w:tcW w:w="920" w:type="dxa"/>
            <w:vAlign w:val="bottom"/>
            <w:tcBorders>
              <w:bottom w:val="single" w:sz="8" w:color="auto"/>
            </w:tcBorders>
          </w:tcPr>
          <w:p>
            <w:pPr>
              <w:jc w:val="right"/>
              <w:ind w:right="72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NRG's net deferred tax position as presented in the consolidated balance sheets: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04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0" w:type="dxa"/>
            <w:vAlign w:val="bottom"/>
          </w:tcPr>
          <w:p>
            <w:pPr>
              <w:spacing w:after="0"/>
              <w:rPr>
                <w:sz w:val="1"/>
                <w:szCs w:val="1"/>
                <w:color w:val="auto"/>
              </w:rPr>
            </w:pPr>
          </w:p>
        </w:tc>
      </w:tr>
      <w:tr>
        <w:trPr>
          <w:trHeight w:val="224"/>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2"/>
        </w:trPr>
        <w:tc>
          <w:tcPr>
            <w:tcW w:w="8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deferred tax asset</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primary driver for the decrease in the net deferred tax asset from $2.1 billion as of December 31, 2024 to $1.8 billion as of December 31, 2025 is due to a decrease in the difference between the book and tax basis of property.</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valuation allowance</w:t>
      </w:r>
    </w:p>
    <w:p>
      <w:pPr>
        <w:spacing w:after="0" w:line="111"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Net deferred tax balance </w:t>
      </w:r>
      <w:r>
        <w:rPr>
          <w:rFonts w:ascii="Times New Roman" w:cs="Times New Roman" w:eastAsia="Times New Roman" w:hAnsi="Times New Roman"/>
          <w:sz w:val="18"/>
          <w:szCs w:val="18"/>
          <w:color w:val="auto"/>
        </w:rPr>
        <w:t>— As of December 31, 2025 and 2024, NRG recorded a net deferred tax asset, excluding valuation allowance, of $2.0 billion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$2.2 billion, respectively. The Company believes certain state net operating losses may not be realizable under the more-likely-than-not measurement and as such, a valuation allowance was recorded as of December 31, 2025 as discussed below.</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50" w:name="page151"/>
    <w:bookmarkEnd w:id="150"/>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NOL carryforwards </w:t>
      </w:r>
      <w:r>
        <w:rPr>
          <w:rFonts w:ascii="Times New Roman" w:cs="Times New Roman" w:eastAsia="Times New Roman" w:hAnsi="Times New Roman"/>
          <w:sz w:val="18"/>
          <w:szCs w:val="18"/>
          <w:color w:val="auto"/>
        </w:rPr>
        <w:t>— As of December 31, 2025, the Company had tax-effected cumulative U.S. NOLs consisting of carryforwards for federal and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purposes of $1.4 billion and $326 million, respectively. In addition, NRG has tax-effected cumulative foreign NOL carryforwards of $107 million. The majority of NRG's NOL carryforwards have no expiration date.</w:t>
      </w:r>
    </w:p>
    <w:p>
      <w:pPr>
        <w:spacing w:after="0" w:line="72"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Valuation allowance </w:t>
      </w:r>
      <w:r>
        <w:rPr>
          <w:rFonts w:ascii="Times New Roman" w:cs="Times New Roman" w:eastAsia="Times New Roman" w:hAnsi="Times New Roman"/>
          <w:sz w:val="18"/>
          <w:szCs w:val="18"/>
          <w:color w:val="auto"/>
        </w:rPr>
        <w:t>— As of December 31, 2025, the Company's tax-effected valuation allowance was $150 million, consisting of state NOL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carryforwards and foreign NOL carryforwards. The valuation allowance was recorded based on the assessment of cumulative and forecasted pre-tax book earnings and the future reversal of existing taxable temporary differences.</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Taxes Receivable and Payable</w:t>
      </w:r>
    </w:p>
    <w:p>
      <w:pPr>
        <w:spacing w:after="0" w:line="11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As of December 31, 2025, NRG recorded a current federal receivable of $13 million, a current net state receivable of $12 million and a current net foreign payable of $5 million.</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Uncertain tax benefits</w:t>
      </w:r>
    </w:p>
    <w:p>
      <w:pPr>
        <w:spacing w:after="0" w:line="11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NRG has identified uncertain tax benefits with after-tax value of $53 million and $57 million as of December 31, 2025 and 2024, for which NRG has recorded a non-current tax liability of $59 million and $62 million, respectively. The Company recognizes interest and penalties related to uncertain tax benefits in income tax expense. The Company recognized $1 million of interest expense for the year ended December 31, 2025, $2 million for the year ended December 31, 2024, and $1 million for the year ended December 31, 2023. As of December 31, 2025 and 2024, NRG had cumulative interest and penalties related to these uncertain tax benefits of $6 million and $5 million, respectively.</w:t>
      </w:r>
    </w:p>
    <w:p>
      <w:pPr>
        <w:spacing w:after="0" w:line="78"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Tax jurisdictions </w:t>
      </w:r>
      <w:r>
        <w:rPr>
          <w:rFonts w:ascii="Times New Roman" w:cs="Times New Roman" w:eastAsia="Times New Roman" w:hAnsi="Times New Roman"/>
          <w:sz w:val="18"/>
          <w:szCs w:val="18"/>
          <w:color w:val="auto"/>
        </w:rPr>
        <w:t>— NRG is subject to examination by taxing authorities for income tax returns filed in the U.S. federal jurisdiction and various state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jurisdictions including operations located in Australia and Canada.</w:t>
      </w:r>
    </w:p>
    <w:p>
      <w:pPr>
        <w:spacing w:after="0" w:line="6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is no longer subject to U.S. federal income tax examinations for years prior to 2022. With few exceptions, state and Canadian income tax examinations are no longer open for years before 2015.</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uncertain tax benefits activity: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4"/>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7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80" w:type="dxa"/>
            <w:vAlign w:val="bottom"/>
            <w:tcBorders>
              <w:bottom w:val="single" w:sz="8" w:color="CCEEFF"/>
            </w:tcBorders>
            <w:vMerge w:val="continue"/>
          </w:tcPr>
          <w:p>
            <w:pPr>
              <w:spacing w:after="0"/>
              <w:rPr>
                <w:sz w:val="16"/>
                <w:szCs w:val="16"/>
                <w:color w:val="auto"/>
              </w:rPr>
            </w:pPr>
          </w:p>
        </w:tc>
        <w:tc>
          <w:tcPr>
            <w:tcW w:w="27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27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due to current year positions</w:t>
            </w:r>
          </w:p>
        </w:tc>
        <w:tc>
          <w:tcPr>
            <w:tcW w:w="2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payments and statute closure</w:t>
            </w:r>
          </w:p>
        </w:tc>
        <w:tc>
          <w:tcPr>
            <w:tcW w:w="27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Uncertain tax benefits as of December 31</w:t>
            </w:r>
          </w:p>
        </w:tc>
        <w:tc>
          <w:tcPr>
            <w:tcW w:w="2760" w:type="dxa"/>
            <w:vAlign w:val="bottom"/>
          </w:tcPr>
          <w:p>
            <w:pPr>
              <w:spacing w:after="0"/>
              <w:rPr>
                <w:sz w:val="18"/>
                <w:szCs w:val="18"/>
                <w:color w:val="auto"/>
              </w:rPr>
            </w:pPr>
          </w:p>
        </w:tc>
        <w:tc>
          <w:tcPr>
            <w:tcW w:w="380" w:type="dxa"/>
            <w:vAlign w:val="bottom"/>
            <w:tcBorders>
              <w:bottom w:val="single" w:sz="8" w:color="auto"/>
            </w:tcBorders>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Income Taxes Paid</w:t>
            </w:r>
          </w:p>
        </w:tc>
        <w:tc>
          <w:tcPr>
            <w:tcW w:w="27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5280" w:type="dxa"/>
            <w:vAlign w:val="bottom"/>
            <w:vMerge w:val="continue"/>
          </w:tcPr>
          <w:p>
            <w:pPr>
              <w:spacing w:after="0"/>
              <w:rPr>
                <w:sz w:val="24"/>
                <w:szCs w:val="24"/>
                <w:color w:val="auto"/>
              </w:rPr>
            </w:pP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5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following table summarizes income taxes paid, net of refunds:</w:t>
            </w: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2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2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4"/>
        </w:trPr>
        <w:tc>
          <w:tcPr>
            <w:tcW w:w="52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7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80" w:type="dxa"/>
            <w:vAlign w:val="bottom"/>
            <w:tcBorders>
              <w:bottom w:val="single" w:sz="8" w:color="CCEEFF"/>
            </w:tcBorders>
            <w:vMerge w:val="continue"/>
          </w:tcPr>
          <w:p>
            <w:pPr>
              <w:spacing w:after="0"/>
              <w:rPr>
                <w:sz w:val="16"/>
                <w:szCs w:val="16"/>
                <w:color w:val="auto"/>
              </w:rPr>
            </w:pPr>
          </w:p>
        </w:tc>
        <w:tc>
          <w:tcPr>
            <w:tcW w:w="27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9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state and local:</w:t>
            </w:r>
          </w:p>
        </w:tc>
        <w:tc>
          <w:tcPr>
            <w:tcW w:w="2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Texas</w:t>
            </w:r>
          </w:p>
        </w:tc>
        <w:tc>
          <w:tcPr>
            <w:tcW w:w="3140" w:type="dxa"/>
            <w:vAlign w:val="bottom"/>
            <w:gridSpan w:val="3"/>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New York</w:t>
            </w:r>
          </w:p>
        </w:tc>
        <w:tc>
          <w:tcPr>
            <w:tcW w:w="2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California</w:t>
            </w:r>
          </w:p>
        </w:tc>
        <w:tc>
          <w:tcPr>
            <w:tcW w:w="2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Pennsylvania</w:t>
            </w:r>
          </w:p>
        </w:tc>
        <w:tc>
          <w:tcPr>
            <w:tcW w:w="2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7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28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Foreign:</w:t>
            </w:r>
          </w:p>
        </w:tc>
        <w:tc>
          <w:tcPr>
            <w:tcW w:w="2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800" w:type="dxa"/>
            <w:vAlign w:val="bottom"/>
            <w:tcBorders>
              <w:bottom w:val="single" w:sz="8" w:color="CCEEFF"/>
            </w:tcBorders>
            <w:gridSpan w:val="2"/>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7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820" w:type="dxa"/>
            <w:vAlign w:val="bottom"/>
            <w:tcBorders>
              <w:top w:val="single" w:sz="8" w:color="CCEEFF"/>
              <w:bottom w:val="single" w:sz="8" w:color="auto"/>
            </w:tcBorders>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2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0" w:type="dxa"/>
            <w:vAlign w:val="bottom"/>
          </w:tcPr>
          <w:p>
            <w:pPr>
              <w:spacing w:after="0"/>
              <w:rPr>
                <w:sz w:val="1"/>
                <w:szCs w:val="1"/>
                <w:color w:val="auto"/>
              </w:rPr>
            </w:pPr>
          </w:p>
        </w:tc>
      </w:tr>
      <w:tr>
        <w:trPr>
          <w:trHeight w:val="24"/>
        </w:trPr>
        <w:tc>
          <w:tcPr>
            <w:tcW w:w="52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7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80" w:type="dxa"/>
            <w:vAlign w:val="bottom"/>
            <w:tcBorders>
              <w:bottom w:val="single" w:sz="8" w:color="CCEEFF"/>
            </w:tcBorders>
            <w:vMerge w:val="continue"/>
          </w:tcPr>
          <w:p>
            <w:pPr>
              <w:spacing w:after="0"/>
              <w:rPr>
                <w:sz w:val="16"/>
                <w:szCs w:val="16"/>
                <w:color w:val="auto"/>
              </w:rPr>
            </w:pPr>
          </w:p>
        </w:tc>
        <w:tc>
          <w:tcPr>
            <w:tcW w:w="27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27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2"/>
        </w:trPr>
        <w:tc>
          <w:tcPr>
            <w:tcW w:w="5280" w:type="dxa"/>
            <w:vAlign w:val="bottom"/>
          </w:tcPr>
          <w:p>
            <w:pPr>
              <w:spacing w:after="0"/>
              <w:rPr>
                <w:sz w:val="24"/>
                <w:szCs w:val="24"/>
                <w:color w:val="auto"/>
              </w:rPr>
            </w:pPr>
          </w:p>
        </w:tc>
        <w:tc>
          <w:tcPr>
            <w:tcW w:w="2760" w:type="dxa"/>
            <w:vAlign w:val="bottom"/>
          </w:tcPr>
          <w:p>
            <w:pPr>
              <w:jc w:val="right"/>
              <w:ind w:right="2192"/>
              <w:spacing w:after="0"/>
              <w:rPr>
                <w:sz w:val="20"/>
                <w:szCs w:val="20"/>
                <w:color w:val="auto"/>
              </w:rPr>
            </w:pPr>
            <w:r>
              <w:rPr>
                <w:rFonts w:ascii="Times New Roman" w:cs="Times New Roman" w:eastAsia="Times New Roman" w:hAnsi="Times New Roman"/>
                <w:sz w:val="18"/>
                <w:szCs w:val="18"/>
                <w:color w:val="auto"/>
              </w:rPr>
              <w:t>151</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280" w:type="dxa"/>
            <w:vAlign w:val="bottom"/>
            <w:tcBorders>
              <w:bottom w:val="single" w:sz="8" w:color="9A9A9A"/>
            </w:tcBorders>
          </w:tcPr>
          <w:p>
            <w:pPr>
              <w:spacing w:after="0"/>
              <w:rPr>
                <w:sz w:val="9"/>
                <w:szCs w:val="9"/>
                <w:color w:val="auto"/>
              </w:rPr>
            </w:pPr>
          </w:p>
        </w:tc>
        <w:tc>
          <w:tcPr>
            <w:tcW w:w="27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color w:val="auto"/>
        </w:rPr>
        <w:t xml:space="preserve">Note 20 — </w:t>
      </w:r>
      <w:r>
        <w:rPr>
          <w:rFonts w:ascii="Times New Roman" w:cs="Times New Roman" w:eastAsia="Times New Roman" w:hAnsi="Times New Roman"/>
          <w:sz w:val="18"/>
          <w:szCs w:val="18"/>
          <w:b w:val="1"/>
          <w:bCs w:val="1"/>
          <w:i w:val="1"/>
          <w:iCs w:val="1"/>
          <w:color w:val="auto"/>
        </w:rPr>
        <w:t>Stock-Based Compensation</w:t>
      </w:r>
    </w:p>
    <w:p>
      <w:pPr>
        <w:spacing w:after="0" w:line="11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Company's stock-based compensation consists of awards granted under the NRG LTIP and following the acquisition of Vivint Smart Home in March 2023, the Vivint LTIP.</w:t>
      </w:r>
    </w:p>
    <w:p>
      <w:pPr>
        <w:spacing w:after="0" w:line="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NRG Energy, Inc. Long-Term Incentive Plan</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As of December 31, 2025 and 2024, a total of 25,000,000 shares of NRG common stock were authorized for issuance under the NRG LTIP. There were 6,648,805 and 7,188,824 shares of common stock remaining available for grants under the NRG LTIP as of December 31, 2025 and 2024, respectively. The NRG LTIP is subject to adjustments in the event of reorganization, recapitalization, stock split, reverse stock split, stock dividend, and a combination of shares, merger or similar change in NRG's structure or outstanding shares of common stock. As of December 31, 2025, the outstanding awards under the NRG LTIP include restricted stock units, deferred stock units and relative performance stock units.</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NRG Energy, Inc. 2020 Omnibus Incentive Plan (Legacy Vivint)</w:t>
      </w:r>
    </w:p>
    <w:p>
      <w:pPr>
        <w:spacing w:after="0" w:line="109"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 xml:space="preserve">Effective March 10, 2023, in connection with the Vivint Smart Home Acquisition, as discussed in Note 4,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xml:space="preserve"> NRG assumed the NRG Energy, Inc. 2020 Omnibus Incentive Plan (Legacy Vivint) (formerly known as Vivint Smart Home, Inc. Long-Term Incentive Plan) or Vivint LTIP. In addition to the rollover awards converted as part of the acquisition, the Vivint LTIP provides for issuances of time-based restricted stock units and performance-based restricted stock units. As of December 31, 2025 and 2024, 17,500,000 shares of NRG common stock were authorized for issuance under the Vivint LTIP. There were 12,893,481 and 12,557,143 shares of common stock remaining available for grants under the Vivint LTIP as of December 31, 2025 and 2024, respectively.</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1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As of December 31, 2025, RSUs granted under the NRG LTIP and Vivint LTIP typically have three-year graded vesting schedules beginning on the grant date. Fair value of the RSUs granted during 2025 and 2024 is derived from the closing price of NRG common stock on the grant date. RSUs under the Vivint LTIP also include RSUs which were granted prior to the acquisition of Vivint Smart Home and were converted into awards that vest as NRG common stock ("Rollover RSUs"). These awards typically had four-year graded vesting schedules beginning on the grant date. The fair value of the Rollover RSUs is based on the fair value of NRG common stock on the acquisition date of March 10, 2023, after applying the conversion ratio as per the merger agreement. The following table summarizes the Company's non-vested RSU awards and changes during the year:</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Rollover RSUs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RSUs, excluding Rollover RSUs</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gridSpan w:val="3"/>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300" w:type="dxa"/>
            <w:vAlign w:val="bottom"/>
          </w:tcPr>
          <w:p>
            <w:pPr>
              <w:spacing w:after="0"/>
              <w:rPr>
                <w:sz w:val="11"/>
                <w:szCs w:val="11"/>
                <w:color w:val="auto"/>
              </w:rPr>
            </w:pPr>
          </w:p>
        </w:tc>
        <w:tc>
          <w:tcPr>
            <w:tcW w:w="1160" w:type="dxa"/>
            <w:vAlign w:val="bottom"/>
            <w:tcBorders>
              <w:top w:val="single" w:sz="8" w:color="auto"/>
            </w:tcBorders>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top w:val="single" w:sz="8" w:color="auto"/>
            </w:tcBorders>
          </w:tcPr>
          <w:p>
            <w:pPr>
              <w:spacing w:after="0"/>
              <w:rPr>
                <w:sz w:val="11"/>
                <w:szCs w:val="11"/>
                <w:color w:val="auto"/>
              </w:rPr>
            </w:pPr>
          </w:p>
        </w:tc>
        <w:tc>
          <w:tcPr>
            <w:tcW w:w="2140" w:type="dxa"/>
            <w:vAlign w:val="bottom"/>
            <w:tcBorders>
              <w:top w:val="single" w:sz="8" w:color="auto"/>
            </w:tcBorders>
            <w:gridSpan w:val="2"/>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w w:val="99"/>
              </w:rPr>
              <w:t>Weighted Average Grant Date Fair</w:t>
            </w:r>
          </w:p>
        </w:tc>
        <w:tc>
          <w:tcPr>
            <w:tcW w:w="100" w:type="dxa"/>
            <w:vAlign w:val="bottom"/>
          </w:tcPr>
          <w:p>
            <w:pPr>
              <w:spacing w:after="0"/>
              <w:rPr>
                <w:sz w:val="11"/>
                <w:szCs w:val="11"/>
                <w:color w:val="auto"/>
              </w:rPr>
            </w:pPr>
          </w:p>
        </w:tc>
        <w:tc>
          <w:tcPr>
            <w:tcW w:w="1180" w:type="dxa"/>
            <w:vAlign w:val="bottom"/>
            <w:tcBorders>
              <w:top w:val="single" w:sz="8" w:color="auto"/>
            </w:tcBorders>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Borders>
              <w:top w:val="single" w:sz="8" w:color="auto"/>
            </w:tcBorders>
          </w:tcPr>
          <w:p>
            <w:pPr>
              <w:spacing w:after="0"/>
              <w:rPr>
                <w:sz w:val="11"/>
                <w:szCs w:val="11"/>
                <w:color w:val="auto"/>
              </w:rPr>
            </w:pPr>
          </w:p>
        </w:tc>
        <w:tc>
          <w:tcPr>
            <w:tcW w:w="2140" w:type="dxa"/>
            <w:vAlign w:val="bottom"/>
            <w:tcBorders>
              <w:top w:val="single" w:sz="8" w:color="auto"/>
            </w:tcBorders>
            <w:gridSpan w:val="2"/>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w w:val="99"/>
              </w:rPr>
              <w:t>Weighted Average Grant Date Fair</w:t>
            </w:r>
          </w:p>
        </w:tc>
        <w:tc>
          <w:tcPr>
            <w:tcW w:w="0" w:type="dxa"/>
            <w:vAlign w:val="bottom"/>
          </w:tcPr>
          <w:p>
            <w:pPr>
              <w:spacing w:after="0"/>
              <w:rPr>
                <w:sz w:val="1"/>
                <w:szCs w:val="1"/>
                <w:color w:val="auto"/>
              </w:rPr>
            </w:pPr>
          </w:p>
        </w:tc>
      </w:tr>
      <w:tr>
        <w:trPr>
          <w:trHeight w:val="190"/>
        </w:trPr>
        <w:tc>
          <w:tcPr>
            <w:tcW w:w="43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Value per Unit</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Value per Unit</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1,349,743</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2,228,743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0" w:type="dxa"/>
            <w:vAlign w:val="bottom"/>
          </w:tcPr>
          <w:p>
            <w:pPr>
              <w:spacing w:after="0"/>
              <w:rPr>
                <w:sz w:val="1"/>
                <w:szCs w:val="1"/>
                <w:color w:val="auto"/>
              </w:rPr>
            </w:pPr>
          </w:p>
        </w:tc>
      </w:tr>
      <w:tr>
        <w:trPr>
          <w:trHeight w:val="224"/>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914,595</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94.37</w:t>
            </w:r>
          </w:p>
        </w:tc>
        <w:tc>
          <w:tcPr>
            <w:tcW w:w="0" w:type="dxa"/>
            <w:vAlign w:val="bottom"/>
          </w:tcPr>
          <w:p>
            <w:pPr>
              <w:spacing w:after="0"/>
              <w:rPr>
                <w:sz w:val="1"/>
                <w:szCs w:val="1"/>
                <w:color w:val="auto"/>
              </w:rPr>
            </w:pPr>
          </w:p>
        </w:tc>
      </w:tr>
      <w:tr>
        <w:trPr>
          <w:trHeight w:val="224"/>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(110,306)</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70.85</w:t>
            </w:r>
          </w:p>
        </w:tc>
        <w:tc>
          <w:tcPr>
            <w:tcW w:w="0" w:type="dxa"/>
            <w:vAlign w:val="bottom"/>
          </w:tcPr>
          <w:p>
            <w:pPr>
              <w:spacing w:after="0"/>
              <w:rPr>
                <w:sz w:val="1"/>
                <w:szCs w:val="1"/>
                <w:color w:val="auto"/>
              </w:rPr>
            </w:pPr>
          </w:p>
        </w:tc>
      </w:tr>
      <w:tr>
        <w:trPr>
          <w:trHeight w:val="224"/>
        </w:trPr>
        <w:tc>
          <w:tcPr>
            <w:tcW w:w="4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(978,086)</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(1,143,431)</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0" w:type="dxa"/>
            <w:vAlign w:val="bottom"/>
          </w:tcPr>
          <w:p>
            <w:pPr>
              <w:spacing w:after="0"/>
              <w:rPr>
                <w:sz w:val="1"/>
                <w:szCs w:val="1"/>
                <w:color w:val="auto"/>
              </w:rPr>
            </w:pPr>
          </w:p>
        </w:tc>
      </w:tr>
      <w:tr>
        <w:trPr>
          <w:trHeight w:val="242"/>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December 31, 2025</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329,485</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1,889,601</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total fair value of RSUs vested during the years ended December 31, 2025, 2024 and 2023 was $338 million, $206 million and $86 million, respectively. The weighted average grant date fair value of RSUs granted during the years ended December 31, 2025, 2024 and 2023 was $94.37, $54.61 and $35.49, respectively.</w:t>
      </w:r>
    </w:p>
    <w:p>
      <w:pPr>
        <w:spacing w:after="0" w:line="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Deferred Stock Units</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DSUs represent the right of a participant to be paid one share of NRG common stock at the end of a deferral period established under the terms of the award. DSUs granted under the NRG LTIP are fully vested at the date of issuance. Fair value of the DSUs, which is based on the closing price of NRG common stock on the date of grant, is recorded as compensation expense in the period of grant.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sectPr>
      </w:pPr>
    </w:p>
    <w:bookmarkStart w:id="152" w:name="page153"/>
    <w:bookmarkEnd w:id="152"/>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Company's outstanding DSU awards and changes during the year:</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44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3"/>
                <w:szCs w:val="13"/>
                <w:color w:val="auto"/>
              </w:rPr>
            </w:pPr>
          </w:p>
        </w:tc>
        <w:tc>
          <w:tcPr>
            <w:tcW w:w="2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Weighted Average Grant Date Fair</w:t>
            </w:r>
          </w:p>
        </w:tc>
        <w:tc>
          <w:tcPr>
            <w:tcW w:w="0" w:type="dxa"/>
            <w:vAlign w:val="bottom"/>
          </w:tcPr>
          <w:p>
            <w:pPr>
              <w:spacing w:after="0"/>
              <w:rPr>
                <w:sz w:val="1"/>
                <w:szCs w:val="1"/>
                <w:color w:val="auto"/>
              </w:rPr>
            </w:pPr>
          </w:p>
        </w:tc>
      </w:tr>
      <w:tr>
        <w:trPr>
          <w:trHeight w:val="190"/>
        </w:trPr>
        <w:tc>
          <w:tcPr>
            <w:tcW w:w="75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Value per Unit</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0" w:type="dxa"/>
            <w:vAlign w:val="bottom"/>
          </w:tcPr>
          <w:p>
            <w:pPr>
              <w:spacing w:after="0"/>
              <w:rPr>
                <w:sz w:val="1"/>
                <w:szCs w:val="1"/>
                <w:color w:val="auto"/>
              </w:rPr>
            </w:pPr>
          </w:p>
        </w:tc>
      </w:tr>
      <w:tr>
        <w:trPr>
          <w:trHeight w:val="224"/>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155.90</w:t>
            </w:r>
          </w:p>
        </w:tc>
        <w:tc>
          <w:tcPr>
            <w:tcW w:w="0" w:type="dxa"/>
            <w:vAlign w:val="bottom"/>
          </w:tcPr>
          <w:p>
            <w:pPr>
              <w:spacing w:after="0"/>
              <w:rPr>
                <w:sz w:val="1"/>
                <w:szCs w:val="1"/>
                <w:color w:val="auto"/>
              </w:rPr>
            </w:pPr>
          </w:p>
        </w:tc>
      </w:tr>
      <w:tr>
        <w:trPr>
          <w:trHeight w:val="224"/>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Converted to Common Stock</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155.90</w:t>
            </w:r>
          </w:p>
        </w:tc>
        <w:tc>
          <w:tcPr>
            <w:tcW w:w="0" w:type="dxa"/>
            <w:vAlign w:val="bottom"/>
          </w:tcPr>
          <w:p>
            <w:pPr>
              <w:spacing w:after="0"/>
              <w:rPr>
                <w:sz w:val="1"/>
                <w:szCs w:val="1"/>
                <w:color w:val="auto"/>
              </w:rPr>
            </w:pPr>
          </w:p>
        </w:tc>
      </w:tr>
      <w:tr>
        <w:trPr>
          <w:trHeight w:val="217"/>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2025</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391,988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aggregate intrinsic values for DSUs outstanding as of December 31, 2025, 2024 and 2023 were approximately $62 million, $34 million and $23 million, respectively. The aggregate intrinsic values for DSUs converted to common stock for the years ended December 31, 2025, 2024 and 2023 were immaterial, $10 million and $3 million, respectively. The weighted average grant date fair value of DSUs granted during the years ended December 31, 2025, 2024 and 2023 was $155.90, $76.31 and $34.40, respectively.</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Relative Performance Stock Units</w:t>
      </w:r>
    </w:p>
    <w:p>
      <w:pPr>
        <w:spacing w:after="0" w:line="113"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RPSUs entitle the recipient to stock upon vesting. The quantity of shares awarded is subject to the Company's achievement of certain performance measures over the vesting period. RPSUs are restricted grants where the quantity of shares increases and decreases alongside the Company's Total Shareholder Return ("TSR"), relative to the TSR of the Company's peer group, which consists of the companies that comprise the Standard &amp; Poor’s 500 Index on the first day of the performance period. Each RPSU represents the potential to receive NRG common stock after the completion of the performance period, typically three years of service from the date of grant. The number of shares of NRG common stock to be paid (if any) as of the vesting date for each RPSU will depend on the Company’s percentile rank within the Peer Group. The number of shares of common stock to be paid as of the vesting date for each RPSU is linearly interpolated for TSR performance between the following points: (i) 0% if ranked below the 25th percentile; (ii) 25% if ranked at the 25th percentile; (iii) 100% if ranked at the 55th percentile (or the 65th percentile if the Company's absolute TSR is less than negative 15%); and (iv) 200% if ranked at the 75th percentile or above.</w:t>
      </w:r>
    </w:p>
    <w:p>
      <w:pPr>
        <w:spacing w:after="0" w:line="83"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The legacy structure of the program included a total value cap of 600%, which limited the payout to no more than 600% of the stock price on the date of grant (“Total Value Cap”). Due to a significant increase in the Company’s stock price over the performance period of outstanding awards starting with the RPSU awards granted in 2023, future payouts of certain outstanding awards are expected to exceed the Total Value Cap. In that event, additional stock price appreciated and TSR outperformance would not result in any further increases in payout above the cap for those award cycles, creating potential significant misalignment between the incentive value of the awards and value creation for shareholders. As a result, NRG’s Board of Directors, in October 2025, approved an amendment to remove the Total Value Cap for all outstanding RPSU awards held by active employees. The amendment was accounted for as a Type I (probable-to-probable) modification under ASC 718. RPSU awards encompassing a total of 635,780 shares were amended. As a result of the amendment, the weighted-average fair value of the amended awards increased from $232.49 per award to $332.05 per award, resulting in incremental compensation cost of $63 million, of which $38 million was recorded during the year ended December 31, 2025, with the remainder to be recognized over the remaining performance period of the amended awards.</w:t>
      </w:r>
    </w:p>
    <w:p>
      <w:pPr>
        <w:spacing w:after="0" w:line="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Company's non-vested RPSU awards and changes during the year:</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44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3"/>
                <w:szCs w:val="13"/>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Weighted Average Grant-Date Fair</w:t>
            </w:r>
          </w:p>
        </w:tc>
        <w:tc>
          <w:tcPr>
            <w:tcW w:w="0" w:type="dxa"/>
            <w:vAlign w:val="bottom"/>
          </w:tcPr>
          <w:p>
            <w:pPr>
              <w:spacing w:after="0"/>
              <w:rPr>
                <w:sz w:val="1"/>
                <w:szCs w:val="1"/>
                <w:color w:val="auto"/>
              </w:rPr>
            </w:pPr>
          </w:p>
        </w:tc>
      </w:tr>
      <w:tr>
        <w:trPr>
          <w:trHeight w:val="191"/>
        </w:trPr>
        <w:tc>
          <w:tcPr>
            <w:tcW w:w="75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Value per Unit</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887,356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0" w:type="dxa"/>
            <w:vAlign w:val="bottom"/>
          </w:tcPr>
          <w:p>
            <w:pPr>
              <w:spacing w:after="0"/>
              <w:rPr>
                <w:sz w:val="1"/>
                <w:szCs w:val="1"/>
                <w:color w:val="auto"/>
              </w:rPr>
            </w:pPr>
          </w:p>
        </w:tc>
      </w:tr>
      <w:tr>
        <w:trPr>
          <w:trHeight w:val="224"/>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100.52</w:t>
            </w:r>
          </w:p>
        </w:tc>
        <w:tc>
          <w:tcPr>
            <w:tcW w:w="0" w:type="dxa"/>
            <w:vAlign w:val="bottom"/>
          </w:tcPr>
          <w:p>
            <w:pPr>
              <w:spacing w:after="0"/>
              <w:rPr>
                <w:sz w:val="1"/>
                <w:szCs w:val="1"/>
                <w:color w:val="auto"/>
              </w:rPr>
            </w:pPr>
          </w:p>
        </w:tc>
      </w:tr>
      <w:tr>
        <w:trPr>
          <w:trHeight w:val="224"/>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110.37</w:t>
            </w:r>
          </w:p>
        </w:tc>
        <w:tc>
          <w:tcPr>
            <w:tcW w:w="0" w:type="dxa"/>
            <w:vAlign w:val="bottom"/>
          </w:tcPr>
          <w:p>
            <w:pPr>
              <w:spacing w:after="0"/>
              <w:rPr>
                <w:sz w:val="1"/>
                <w:szCs w:val="1"/>
                <w:color w:val="auto"/>
              </w:rPr>
            </w:pPr>
          </w:p>
        </w:tc>
      </w:tr>
      <w:tr>
        <w:trPr>
          <w:trHeight w:val="224"/>
        </w:trPr>
        <w:tc>
          <w:tcPr>
            <w:tcW w:w="7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(498,147)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55.89</w:t>
            </w:r>
          </w:p>
        </w:tc>
        <w:tc>
          <w:tcPr>
            <w:tcW w:w="0" w:type="dxa"/>
            <w:vAlign w:val="bottom"/>
          </w:tcPr>
          <w:p>
            <w:pPr>
              <w:spacing w:after="0"/>
              <w:rPr>
                <w:sz w:val="1"/>
                <w:szCs w:val="1"/>
                <w:color w:val="auto"/>
              </w:rPr>
            </w:pPr>
          </w:p>
        </w:tc>
      </w:tr>
      <w:tr>
        <w:trPr>
          <w:trHeight w:val="242"/>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December 31,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764,858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weighted average grant date fair value of RPSUs granted during the years ended December 31, 2025, 2024 and 2023, was $100.52, $63.11 and $40.25, respectively.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53" w:name="page154"/>
    <w:bookmarkEnd w:id="153"/>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fair value of RPSUs is estimated on the date of grant using a Monte Carlo simulation model and expensed over the service period, which equals the vesting period. Significant assumptions used in the fair value model with respect to the Company's RPSUs are summarized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33.49 %</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34.46 %</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41.35 %</w:t>
            </w:r>
          </w:p>
        </w:tc>
      </w:tr>
      <w:tr>
        <w:trPr>
          <w:trHeight w:val="224"/>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4"/>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rate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4.24 %</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4.05 %</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4.18 %</w:t>
            </w:r>
          </w:p>
        </w:tc>
      </w:tr>
    </w:tbl>
    <w:p>
      <w:pPr>
        <w:spacing w:after="0" w:line="17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expected volatility is calculated based on NRG's historical stock price volatility data over the period commensurate with the expected term of the RPSU, which equals the vesting period.</w:t>
      </w:r>
    </w:p>
    <w:p>
      <w:pPr>
        <w:spacing w:after="0" w:line="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following table summarizes NRG's total compensation expense recognized for the years presented, as well as total non-vested compensation costs not yet recognized and the period over which this expense is expected to be recognized as of December 31, 2025, for each of the types of awards issued under the LTIPs. Minimum tax withholdings of $92 million, $50 million, and $22 million for the years ended December 31, 2025, 2024, and 2023, respectively, are reflected as a reduction to additional paid-in capital on the Company's consolidated balance sheets.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Non-vested Compensation Cost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weighted average data)</w:t>
            </w: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Expense</w:t>
            </w: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center"/>
              <w:ind w:left="284"/>
              <w:spacing w:after="0" w:line="125" w:lineRule="exact"/>
              <w:rPr>
                <w:sz w:val="20"/>
                <w:szCs w:val="20"/>
                <w:color w:val="auto"/>
              </w:rPr>
            </w:pPr>
            <w:r>
              <w:rPr>
                <w:rFonts w:ascii="Times New Roman" w:cs="Times New Roman" w:eastAsia="Times New Roman" w:hAnsi="Times New Roman"/>
                <w:sz w:val="14"/>
                <w:szCs w:val="14"/>
                <w:b w:val="1"/>
                <w:bCs w:val="1"/>
                <w:color w:val="auto"/>
                <w:w w:val="99"/>
              </w:rPr>
              <w:t>Unrecognized</w:t>
            </w:r>
          </w:p>
        </w:tc>
        <w:tc>
          <w:tcPr>
            <w:tcW w:w="340" w:type="dxa"/>
            <w:vAlign w:val="bottom"/>
          </w:tcPr>
          <w:p>
            <w:pPr>
              <w:spacing w:after="0"/>
              <w:rPr>
                <w:sz w:val="10"/>
                <w:szCs w:val="10"/>
                <w:color w:val="auto"/>
              </w:rPr>
            </w:pPr>
          </w:p>
        </w:tc>
        <w:tc>
          <w:tcPr>
            <w:tcW w:w="2020" w:type="dxa"/>
            <w:vAlign w:val="bottom"/>
          </w:tcPr>
          <w:p>
            <w:pPr>
              <w:jc w:val="center"/>
              <w:ind w:left="40"/>
              <w:spacing w:after="0" w:line="125" w:lineRule="exact"/>
              <w:rPr>
                <w:sz w:val="20"/>
                <w:szCs w:val="20"/>
                <w:color w:val="auto"/>
              </w:rPr>
            </w:pPr>
            <w:r>
              <w:rPr>
                <w:rFonts w:ascii="Times New Roman" w:cs="Times New Roman" w:eastAsia="Times New Roman" w:hAnsi="Times New Roman"/>
                <w:sz w:val="14"/>
                <w:szCs w:val="14"/>
                <w:b w:val="1"/>
                <w:bCs w:val="1"/>
                <w:color w:val="auto"/>
              </w:rPr>
              <w:t>Weighted Average Recognition</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460" w:type="dxa"/>
            <w:vAlign w:val="bottom"/>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w w:val="98"/>
              </w:rPr>
              <w:t>Total Cost</w:t>
            </w:r>
          </w:p>
        </w:tc>
        <w:tc>
          <w:tcPr>
            <w:tcW w:w="3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left="40"/>
              <w:spacing w:after="0"/>
              <w:rPr>
                <w:sz w:val="20"/>
                <w:szCs w:val="20"/>
                <w:color w:val="auto"/>
              </w:rPr>
            </w:pPr>
            <w:r>
              <w:rPr>
                <w:rFonts w:ascii="Times New Roman" w:cs="Times New Roman" w:eastAsia="Times New Roman" w:hAnsi="Times New Roman"/>
                <w:sz w:val="14"/>
                <w:szCs w:val="14"/>
                <w:b w:val="1"/>
                <w:bCs w:val="1"/>
                <w:color w:val="auto"/>
              </w:rPr>
              <w:t>Period Remaining (In years)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2"/>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4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Award</w:t>
            </w:r>
          </w:p>
        </w:tc>
        <w:tc>
          <w:tcPr>
            <w:tcW w:w="300" w:type="dxa"/>
            <w:vAlign w:val="bottom"/>
          </w:tcPr>
          <w:p>
            <w:pPr>
              <w:spacing w:after="0"/>
              <w:rPr>
                <w:sz w:val="12"/>
                <w:szCs w:val="12"/>
                <w:color w:val="auto"/>
              </w:rPr>
            </w:pPr>
          </w:p>
        </w:tc>
        <w:tc>
          <w:tcPr>
            <w:tcW w:w="980" w:type="dxa"/>
            <w:vAlign w:val="bottom"/>
          </w:tcPr>
          <w:p>
            <w:pPr>
              <w:jc w:val="right"/>
              <w:ind w:right="395"/>
              <w:spacing w:after="0" w:line="145"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center"/>
              <w:ind w:right="215"/>
              <w:spacing w:after="0" w:line="145"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435"/>
              <w:spacing w:after="0" w:line="14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180" w:type="dxa"/>
            <w:vAlign w:val="bottom"/>
          </w:tcPr>
          <w:p>
            <w:pPr>
              <w:jc w:val="center"/>
              <w:ind w:left="264"/>
              <w:spacing w:after="0" w:line="145"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340" w:type="dxa"/>
            <w:vAlign w:val="bottom"/>
          </w:tcPr>
          <w:p>
            <w:pPr>
              <w:spacing w:after="0"/>
              <w:rPr>
                <w:sz w:val="12"/>
                <w:szCs w:val="12"/>
                <w:color w:val="auto"/>
              </w:rPr>
            </w:pPr>
          </w:p>
        </w:tc>
        <w:tc>
          <w:tcPr>
            <w:tcW w:w="2020" w:type="dxa"/>
            <w:vAlign w:val="bottom"/>
          </w:tcPr>
          <w:p>
            <w:pPr>
              <w:jc w:val="center"/>
              <w:ind w:left="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400" w:type="dxa"/>
            <w:vAlign w:val="bottom"/>
            <w:tcBorders>
              <w:top w:val="single" w:sz="8" w:color="auto"/>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DSUs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RPSUs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tcPr>
          <w:p>
            <w:pPr>
              <w:spacing w:after="0"/>
              <w:rPr>
                <w:sz w:val="19"/>
                <w:szCs w:val="19"/>
                <w:color w:val="auto"/>
              </w:rPr>
            </w:pPr>
          </w:p>
        </w:tc>
        <w:tc>
          <w:tcPr>
            <w:tcW w:w="3460" w:type="dxa"/>
            <w:vAlign w:val="bottom"/>
            <w:tcBorders>
              <w:bottom w:val="single" w:sz="8" w:color="CCEEFF"/>
            </w:tcBorders>
            <w:gridSpan w:val="2"/>
          </w:tcPr>
          <w:p>
            <w:pPr>
              <w:spacing w:after="0" w:line="224" w:lineRule="exact"/>
              <w:rPr>
                <w:sz w:val="20"/>
                <w:szCs w:val="20"/>
                <w:color w:val="auto"/>
              </w:rPr>
            </w:pPr>
            <w:r>
              <w:rPr>
                <w:rFonts w:ascii="Times New Roman" w:cs="Times New Roman" w:eastAsia="Times New Roman" w:hAnsi="Times New Roman"/>
                <w:sz w:val="18"/>
                <w:szCs w:val="18"/>
                <w:color w:val="auto"/>
              </w:rPr>
              <w:t>PRSUs</w:t>
            </w:r>
            <w:r>
              <w:rPr>
                <w:rFonts w:ascii="Times New Roman" w:cs="Times New Roman" w:eastAsia="Times New Roman" w:hAnsi="Times New Roman"/>
                <w:sz w:val="22"/>
                <w:szCs w:val="22"/>
                <w:color w:val="auto"/>
                <w:vertAlign w:val="superscript"/>
              </w:rPr>
              <w:t>(a)</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3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00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138</w:t>
            </w:r>
          </w:p>
        </w:tc>
        <w:tc>
          <w:tcPr>
            <w:tcW w:w="2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3"/>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Tax (benefit)/detriment recognized</w:t>
            </w:r>
          </w:p>
        </w:tc>
        <w:tc>
          <w:tcPr>
            <w:tcW w:w="300" w:type="dxa"/>
            <w:vAlign w:val="bottom"/>
            <w:tcBorders>
              <w:top w:val="single" w:sz="8" w:color="auto"/>
              <w:bottom w:val="single" w:sz="8" w:color="auto"/>
            </w:tcBorders>
          </w:tcPr>
          <w:p>
            <w:pPr>
              <w:jc w:val="right"/>
              <w:ind w:right="1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2"/>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400" w:right="200" w:hanging="395"/>
        <w:spacing w:after="0" w:line="287" w:lineRule="auto"/>
        <w:tabs>
          <w:tab w:leader="none" w:pos="398"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Phantom Restricted Stock Units, PRSUs, are liability-classified time-based awards that typically vest ratably over a three-year period. The amount to be paid upon vesting is based on NRG's closing stock price for the period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21 — </w:t>
      </w:r>
      <w:r>
        <w:rPr>
          <w:rFonts w:ascii="Times New Roman" w:cs="Times New Roman" w:eastAsia="Times New Roman" w:hAnsi="Times New Roman"/>
          <w:sz w:val="18"/>
          <w:szCs w:val="18"/>
          <w:b w:val="1"/>
          <w:bCs w:val="1"/>
          <w:i w:val="1"/>
          <w:iCs w:val="1"/>
          <w:color w:val="auto"/>
        </w:rPr>
        <w:t>Related Party Transactions</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NRG provides services to some of its related parties, who are accounted for as equity method investments, under operations and maintenance agreements. Fees for the services under these agreements include recovery of NRG's costs of operating the plants. Certain agreements also include fees for administrative service, a base monthly fee, profit margin and/or annual incentive bonus.</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NRG's material related party transactions with third-party affiliates: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4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Revenues from Related Parties Included in Revenues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Gladstone</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4"/>
        </w:trPr>
        <w:tc>
          <w:tcPr>
            <w:tcW w:w="640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Ivanpah</w:t>
            </w:r>
            <w:r>
              <w:rPr>
                <w:rFonts w:ascii="Times New Roman" w:cs="Times New Roman" w:eastAsia="Times New Roman" w:hAnsi="Times New Roman"/>
                <w:sz w:val="22"/>
                <w:szCs w:val="22"/>
                <w:color w:val="auto"/>
                <w:vertAlign w:val="superscript"/>
              </w:rPr>
              <w:t>(a)</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4"/>
        </w:trPr>
        <w:tc>
          <w:tcPr>
            <w:tcW w:w="6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Midway-Sunset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2"/>
        </w:trPr>
        <w:tc>
          <w:tcPr>
            <w:tcW w:w="64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3" w:lineRule="exact"/>
        <w:rPr>
          <w:sz w:val="20"/>
          <w:szCs w:val="20"/>
          <w:color w:val="auto"/>
        </w:rPr>
      </w:pPr>
    </w:p>
    <w:p>
      <w:pPr>
        <w:ind w:left="400" w:hanging="395"/>
        <w:spacing w:after="0"/>
        <w:tabs>
          <w:tab w:leader="none" w:pos="4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fees under project management agreements with each project company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color w:val="auto"/>
        </w:rPr>
        <w:t xml:space="preserve">Note 22 — </w:t>
      </w:r>
      <w:r>
        <w:rPr>
          <w:rFonts w:ascii="Times New Roman" w:cs="Times New Roman" w:eastAsia="Times New Roman" w:hAnsi="Times New Roman"/>
          <w:sz w:val="18"/>
          <w:szCs w:val="18"/>
          <w:b w:val="1"/>
          <w:bCs w:val="1"/>
          <w:i w:val="1"/>
          <w:iCs w:val="1"/>
          <w:color w:val="auto"/>
        </w:rPr>
        <w:t>Commitments and Contingencies</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13"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NRG has entered into long-term contractual arrangements related to energy products, including power purchases, gas transportation and storage, fuel and transportation services and generation projects. These contracts are not included in the consolidated balance sheet as of December 31, 2025.</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As  of</w:t>
            </w:r>
          </w:p>
        </w:tc>
        <w:tc>
          <w:tcPr>
            <w:tcW w:w="9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2025,  the  Company's  minimum  commitments  under  such  outstanding  agreements  are  estimated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as  follows:</w:t>
            </w:r>
          </w:p>
        </w:tc>
      </w:tr>
      <w:tr>
        <w:trPr>
          <w:trHeight w:val="172"/>
        </w:trPr>
        <w:tc>
          <w:tcPr>
            <w:tcW w:w="2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640" w:type="dxa"/>
            <w:vAlign w:val="bottom"/>
          </w:tcPr>
          <w:p>
            <w:pPr>
              <w:spacing w:after="0"/>
              <w:rPr>
                <w:sz w:val="14"/>
                <w:szCs w:val="14"/>
                <w:color w:val="auto"/>
              </w:rPr>
            </w:pPr>
          </w:p>
        </w:tc>
        <w:tc>
          <w:tcPr>
            <w:tcW w:w="1620" w:type="dxa"/>
            <w:vAlign w:val="bottom"/>
            <w:gridSpan w:val="2"/>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33"/>
        </w:trPr>
        <w:tc>
          <w:tcPr>
            <w:tcW w:w="20" w:type="dxa"/>
            <w:vAlign w:val="bottom"/>
            <w:tcBorders>
              <w:bottom w:val="single" w:sz="8" w:color="CCEEFF"/>
            </w:tcBorders>
          </w:tcPr>
          <w:p>
            <w:pPr>
              <w:spacing w:after="0"/>
              <w:rPr>
                <w:sz w:val="2"/>
                <w:szCs w:val="2"/>
                <w:color w:val="auto"/>
              </w:rPr>
            </w:pPr>
          </w:p>
        </w:tc>
        <w:tc>
          <w:tcPr>
            <w:tcW w:w="400" w:type="dxa"/>
            <w:vAlign w:val="bottom"/>
            <w:tcBorders>
              <w:top w:val="single" w:sz="8" w:color="auto"/>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6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shd w:val="clear" w:color="auto" w:fill="CCEEFF"/>
          </w:tcPr>
          <w:p>
            <w:pPr>
              <w:spacing w:after="0"/>
              <w:rPr>
                <w:sz w:val="18"/>
                <w:szCs w:val="18"/>
                <w:color w:val="auto"/>
              </w:rPr>
            </w:pPr>
          </w:p>
        </w:tc>
        <w:tc>
          <w:tcPr>
            <w:tcW w:w="86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r>
      <w:tr>
        <w:trPr>
          <w:trHeight w:val="224"/>
        </w:trPr>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w:t>
            </w:r>
          </w:p>
        </w:tc>
      </w:tr>
      <w:tr>
        <w:trPr>
          <w:trHeight w:val="224"/>
        </w:trPr>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60" w:type="dxa"/>
            <w:vAlign w:val="bottom"/>
            <w:shd w:val="clear" w:color="auto" w:fill="CCEEFF"/>
          </w:tcPr>
          <w:p>
            <w:pPr>
              <w:spacing w:after="0"/>
              <w:rPr>
                <w:sz w:val="19"/>
                <w:szCs w:val="19"/>
                <w:color w:val="auto"/>
              </w:rPr>
            </w:pPr>
          </w:p>
        </w:tc>
        <w:tc>
          <w:tcPr>
            <w:tcW w:w="86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r>
      <w:tr>
        <w:trPr>
          <w:trHeight w:val="224"/>
        </w:trPr>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6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r>
      <w:tr>
        <w:trPr>
          <w:trHeight w:val="224"/>
        </w:trPr>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60" w:type="dxa"/>
            <w:vAlign w:val="bottom"/>
            <w:shd w:val="clear" w:color="auto" w:fill="CCEEFF"/>
          </w:tcPr>
          <w:p>
            <w:pPr>
              <w:spacing w:after="0"/>
              <w:rPr>
                <w:sz w:val="19"/>
                <w:szCs w:val="19"/>
                <w:color w:val="auto"/>
              </w:rPr>
            </w:pPr>
          </w:p>
        </w:tc>
        <w:tc>
          <w:tcPr>
            <w:tcW w:w="86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24"/>
        </w:trPr>
        <w:tc>
          <w:tcPr>
            <w:tcW w:w="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864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w:t>
            </w: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spacing w:after="0" w:line="217"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2"/>
                <w:szCs w:val="22"/>
                <w:color w:val="auto"/>
                <w:vertAlign w:val="superscript"/>
              </w:rPr>
              <w:t>(a)</w:t>
            </w:r>
          </w:p>
        </w:tc>
        <w:tc>
          <w:tcPr>
            <w:tcW w:w="86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6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400" w:hanging="395"/>
        <w:spacing w:after="0"/>
        <w:tabs>
          <w:tab w:leader="none" w:pos="40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year 2026 does not include an additional $1.4 billion of short-term commitments</w:t>
      </w:r>
    </w:p>
    <w:p>
      <w:pPr>
        <w:spacing w:after="0" w:line="10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Company's actual costs may be significantly higher than these estimated minimum unconditional long-term firm commitments with remaining term in excess of one year. For the years ended December 31, 2025, 2024 and 2023, the costs of fuel and purchased energy were $14.2 billion, $12.2 billion and $13.4 billion, respectively.</w:t>
      </w:r>
    </w:p>
    <w:p>
      <w:pPr>
        <w:spacing w:after="0" w:line="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First Lien Structure</w:t>
      </w:r>
    </w:p>
    <w:p>
      <w:pPr>
        <w:spacing w:after="0" w:line="11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NRG has granted first liens to certain counterparties on a substantial portion of property and assets owned by NRG and the guarantors of its senior debt. NRG uses the first lien structure to reduce the amount of cash collateral and letters of credit that it would otherwise be required to post from time to time to support its obligations under out-of-the-money hedges. To the extent that the underlying hedge positions for a counterparty are out-of-the-money to NRG, the counterparty would have a claim under the first lien program. As of December 31, 2025, counterparties’ net exposure to NRG of approximately $5 million on out-of-the-money hedges was secured by the first lien structure.</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11"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 xml:space="preserve">The Company's material legal proceedings are described below. The Company believes that it has valid defenses to these legal proceedings and intends to defend them vigorously. NRG records accruals for estimated losses from contingencies when information available indicates that a loss is probable and the amount of the loss, or range of loss, can be reasonably estimated. As applicable, the Company believes it has established an adequate accrual for the applicable legal matters, including regulatory and environmental matters as further discussed in Note 23, </w:t>
      </w:r>
      <w:r>
        <w:rPr>
          <w:rFonts w:ascii="Times New Roman" w:cs="Times New Roman" w:eastAsia="Times New Roman" w:hAnsi="Times New Roman"/>
          <w:sz w:val="16"/>
          <w:szCs w:val="16"/>
          <w:i w:val="1"/>
          <w:iCs w:val="1"/>
          <w:color w:val="auto"/>
        </w:rPr>
        <w:t>Regulatory Matters</w:t>
      </w:r>
      <w:r>
        <w:rPr>
          <w:rFonts w:ascii="Times New Roman" w:cs="Times New Roman" w:eastAsia="Times New Roman" w:hAnsi="Times New Roman"/>
          <w:sz w:val="16"/>
          <w:szCs w:val="16"/>
          <w:color w:val="auto"/>
        </w:rPr>
        <w:t xml:space="preserve">, and Note 24, </w:t>
      </w:r>
      <w:r>
        <w:rPr>
          <w:rFonts w:ascii="Times New Roman" w:cs="Times New Roman" w:eastAsia="Times New Roman" w:hAnsi="Times New Roman"/>
          <w:sz w:val="16"/>
          <w:szCs w:val="16"/>
          <w:i w:val="1"/>
          <w:iCs w:val="1"/>
          <w:color w:val="auto"/>
        </w:rPr>
        <w:t>Environmental Matters</w:t>
      </w:r>
      <w:r>
        <w:rPr>
          <w:rFonts w:ascii="Times New Roman" w:cs="Times New Roman" w:eastAsia="Times New Roman" w:hAnsi="Times New Roman"/>
          <w:sz w:val="16"/>
          <w:szCs w:val="16"/>
          <w:color w:val="auto"/>
        </w:rPr>
        <w:t>. In addition, legal costs are expensed as incurred. Management has assessed each of the following matters based on current information and made a judgment concerning its potential outcome, considering the nature of the claim, the amount and nature of damages sought, and the probability of success. Unless specified below, the Company is unable to predict the outcome of these legal proceedings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accruals and that such difference could be material.</w:t>
      </w:r>
    </w:p>
    <w:p>
      <w:pPr>
        <w:spacing w:after="0" w:line="5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addition to the legal proceedings noted below, NRG and its subsidiaries are party to other litigation or legal proceedings arising in the ordinary course of business. In management's opinion, the disposition of these ordinary course matters will not materially adversely affect NRG's consolidated financial position, results of operations, or cash flows.</w:t>
      </w:r>
    </w:p>
    <w:p>
      <w:pPr>
        <w:spacing w:after="0" w:line="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Environmental Lawsuits</w:t>
      </w:r>
    </w:p>
    <w:p>
      <w:pPr>
        <w:spacing w:after="0" w:line="11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Sierra club et al. v. Midwest Generation LLC </w:t>
      </w:r>
      <w:r>
        <w:rPr>
          <w:rFonts w:ascii="Times New Roman" w:cs="Times New Roman" w:eastAsia="Times New Roman" w:hAnsi="Times New Roman"/>
          <w:sz w:val="18"/>
          <w:szCs w:val="18"/>
          <w:color w:val="auto"/>
        </w:rPr>
        <w:t>— In 2012, several environmental groups filed a complaint against Midwest Generation with the Illinois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Pollution Control Board ("IPCB") alleging violations of environmental law resulting in groundwater contamination. In June 2019, the IPCB found in an interim order that Midwest Generation violated the law because it had improperly handled coal ash at four facilities in Illinois and caused or allowed coal ash constituents to impact groundwater. On September 9, 2019, Midwest Generation filed a Motion to Reconsider numerous issues, which the court granted in part and denied in part on February 6, 2020. In 2023, the IPCB held hearings regarding the appropriate relief. Midwest Generation has been working with the Illinois EPA to address the groundwater issues since 2010.</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55" w:name="page156"/>
    <w:bookmarkEnd w:id="155"/>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Consumer Lawsuits</w:t>
      </w:r>
    </w:p>
    <w:p>
      <w:pPr>
        <w:spacing w:after="0" w:line="10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Similar to other energy service companies (“ESCOs”) and smart home companies operating in the industry, from time-to-time, the Company and/or its subsidiaries may be subject to consumer lawsuits in various jurisdictions where they sell natural gas, electricity or smart home solutions.</w:t>
      </w:r>
    </w:p>
    <w:p>
      <w:pPr>
        <w:spacing w:after="0" w:line="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Variable Price Case</w:t>
      </w:r>
    </w:p>
    <w:p>
      <w:pPr>
        <w:spacing w:after="0" w:line="109"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Mirkin v. XOOM Energy (E.D.N.Y. Aug. 2019) </w:t>
      </w:r>
      <w:r>
        <w:rPr>
          <w:rFonts w:ascii="Times New Roman" w:cs="Times New Roman" w:eastAsia="Times New Roman" w:hAnsi="Times New Roman"/>
          <w:sz w:val="18"/>
          <w:szCs w:val="18"/>
          <w:color w:val="auto"/>
        </w:rPr>
        <w:t>— XOOM Energy is a defendant in a putative class action lawsuit pending in New York, alleging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XOOM Energy breached its contractual duty to set customer variable rates based on actual and estimated supply costs. The Court denied XOOM's motion for summary judgment and granted class certification. The Second Circuit denied XOOM's request to appeal the class certification grants. XOOM prevailed in its challenge to Mirkin's expert reports. The Court granted XOOM's motion to exclude both reports on damages. As a result, Mirkin has no method to establish damages for its class. The Court is considering whether class certification is still appropriate. Recently, this matter was moved to a new judge for further handling. A trial setting has not yet been scheduled. This matter was known and accrued for at the time of the XOOM acquisition.</w:t>
      </w:r>
    </w:p>
    <w:p>
      <w:pPr>
        <w:spacing w:after="0" w:line="80" w:lineRule="exact"/>
        <w:rPr>
          <w:sz w:val="20"/>
          <w:szCs w:val="20"/>
          <w:color w:val="auto"/>
        </w:rPr>
      </w:pPr>
    </w:p>
    <w:p>
      <w:pPr>
        <w:jc w:val="both"/>
        <w:ind w:firstLine="395"/>
        <w:spacing w:after="0" w:line="294" w:lineRule="auto"/>
        <w:rPr>
          <w:sz w:val="20"/>
          <w:szCs w:val="20"/>
          <w:color w:val="auto"/>
        </w:rPr>
      </w:pPr>
      <w:r>
        <w:rPr>
          <w:rFonts w:ascii="Times New Roman" w:cs="Times New Roman" w:eastAsia="Times New Roman" w:hAnsi="Times New Roman"/>
          <w:sz w:val="16"/>
          <w:szCs w:val="16"/>
          <w:i w:val="1"/>
          <w:iCs w:val="1"/>
          <w:color w:val="auto"/>
        </w:rPr>
        <w:t xml:space="preserve">Telephone Consumer Protection Act ("TCPA") Cases </w:t>
      </w:r>
      <w:r>
        <w:rPr>
          <w:rFonts w:ascii="Times New Roman" w:cs="Times New Roman" w:eastAsia="Times New Roman" w:hAnsi="Times New Roman"/>
          <w:sz w:val="16"/>
          <w:szCs w:val="16"/>
          <w:color w:val="auto"/>
        </w:rPr>
        <w:t>— In the cases set forth below, referred to as the TCPA Cases, such actions involve consumers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alleging violations of the Telephone Consumer Protection Act of 1991, as amended, by receiving calls, texts or voicemails without consent in violation of the federal Telemarketing Sales Rule, and/or state counterpart legislation. The underlying claims of each case are similar. The Company denies the allegations asserted by plaintiffs and intends to vigorously defend these matters. These matters were known and accrued for at the time of the Direct Energy acquisition.</w:t>
      </w:r>
    </w:p>
    <w:p>
      <w:pPr>
        <w:spacing w:after="0" w:line="48"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There are two putative class actions pending against Direct Energy: (1) Holly Newman v. Direct Energy, LP (D. Md Sept 2021) - Direct Energy filed its Motion to Dismiss asserting the ruling in the Brittany Burk v. Direct Energy (S.D. Tex. Feb 2019) preempts the plaintiff's ability to file suit based on the same facts. The Court denied Direct Energy's motion stating the Court does not have the benefit of all of the facts that were in front of the Burk court to issue a similar ruling. On April 12, 2023, the Court granted Direct Energy’s Motion to Transfer Venue, moving the case to the Southern District of Texas. The parties have settled with the plaintiff on an individual basis and the plaintiff has dismissed the matter; and (2) Matthew Dickson v. Direct Energy (N.D. Ohio Jan. 2018) - The case was stayed pending the outcome of an appeal to the Sixth Circuit based on the unconstitutionality of the TCPA during the period from 2015-2020. The Sixth Circuit found the TCPA was in effect during that period and remanded the case back to the trial court. Direct Energy refiled its motions along with supplements. On March 25, 2022, the Court granted summary judgment in favor of Direct Energy and dismissed the case. Dickson appealed and the case was sent back to the trial court. The parties conducted fact and expert discovery and Direct Energy submitted its motion for summary judgment in August 2024. On December 16, 2025, the Court granted summary judgment in favor of Direct Energy. The Court subsequently entered default judgments against the remaining two defendants. Dickson’s deadline to appeal is March 4, 2026.</w:t>
      </w:r>
    </w:p>
    <w:p>
      <w:pPr>
        <w:spacing w:after="0" w:line="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Sales Practice Lawsuit</w:t>
      </w:r>
    </w:p>
    <w:p>
      <w:pPr>
        <w:spacing w:after="0" w:line="11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A Vivint Smart Home competitor made a claim against Vivint Smart Home alleging, among other things, that Vivint Smart Home's sales representatives used deceptive sales practices. This matter was known and accrued for at the time of the Vivint Smart Home acquisition. CPI Security Systems, Inc. ("CPI") v. Vivint Smart Home, Inc. (W.D.N.C. Sept. 2020) was filed in 2020, went to trial, and in February 2023, the jury issued a verdict against Vivint Smart Home, in favor of CPI for $50 million of compensatory damages and an additional $140 million of punitive damages. Vivint Smart Home appealed. The Fourth Circuit Court of Appeals issued its opinion on July 22, 2025, upholding the trial court’s judgment. Following the decision, the Company increased the accrual for this matter to the amount of the judgment plus accrued interest. On September 5, 2025, the Company paid the $190 million judgment, plus $34 million of accrued interest, for a total payment of $224 million.</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Patent Infringement Lawsuit</w:t>
      </w:r>
    </w:p>
    <w:p>
      <w:pPr>
        <w:spacing w:after="0" w:line="110" w:lineRule="exact"/>
        <w:rPr>
          <w:sz w:val="20"/>
          <w:szCs w:val="20"/>
          <w:color w:val="auto"/>
        </w:rPr>
      </w:pPr>
    </w:p>
    <w:p>
      <w:pPr>
        <w:jc w:val="both"/>
        <w:ind w:firstLine="39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SB IP Holdings LLC (“Skybell”) v. Vivint Smart Home, Inc. </w:t>
      </w:r>
      <w:r>
        <w:rPr>
          <w:rFonts w:ascii="Arial" w:cs="Arial" w:eastAsia="Arial" w:hAnsi="Arial"/>
          <w:sz w:val="19"/>
          <w:szCs w:val="19"/>
          <w:color w:val="auto"/>
        </w:rPr>
        <w:t>— O</w:t>
      </w:r>
      <w:r>
        <w:rPr>
          <w:rFonts w:ascii="Times New Roman" w:cs="Times New Roman" w:eastAsia="Times New Roman" w:hAnsi="Times New Roman"/>
          <w:sz w:val="18"/>
          <w:szCs w:val="18"/>
          <w:color w:val="auto"/>
        </w:rPr>
        <w:t>n October 23, 2023, a jury in the U.S. District Court, Eastern District of Texas, Sherman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Division, issued a verdict against the Company in favor of Skybell for $45 million in damages for patent infringement. The patents that were the basis for the claims made by Skybell were ruled invalid by the U.S. International Trade Commission in November 2021. The Company did not believe the verdict was legally supported and pursued appellate remedies. During the second quarter of 2025, the parties entered into a settlement agreement and dismissed the matter and pending appeals.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56" w:name="page157"/>
    <w:bookmarkEnd w:id="156"/>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Winter Storm Uri Lawsuits</w:t>
      </w:r>
    </w:p>
    <w:p>
      <w:pPr>
        <w:spacing w:after="0" w:line="113"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The Company has been named in certain property damage and wrongful death claims that have been filed in connection with Winter Storm Uri in its capacity as a generator and a retail electric provider. Most of the lawsuits related to Winter Storm Uri are consolidated into a single multi-district litigation matter in Harris County District Court. NRG's retail electric providers have since been dismissed from the multi-district litigation. As a power generator, the Company is named in various cases with claims ranging from: wrongful death; personal injury only; property damage and personal injury; property damage only; and subrogation. The First Court of Appeals conditionally granted the generators' mandamus relief, ordering the trial court to grant the generator defendants' Motion to Dismiss. The plaintiffs challenged the ruling and the matters are stayed pending appeals by the various parties. The generators have filed their responses to the plaintiffs’ appeal. The plaintiffs’ reply briefing is due in February 2026. The Company intends to vigorously defend these matters.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23 — </w:t>
      </w:r>
      <w:r>
        <w:rPr>
          <w:rFonts w:ascii="Times New Roman" w:cs="Times New Roman" w:eastAsia="Times New Roman" w:hAnsi="Times New Roman"/>
          <w:sz w:val="18"/>
          <w:szCs w:val="18"/>
          <w:b w:val="1"/>
          <w:bCs w:val="1"/>
          <w:i w:val="1"/>
          <w:iCs w:val="1"/>
          <w:color w:val="auto"/>
        </w:rPr>
        <w:t>Regulatory Matters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Environmental regulatory matters are discussed within Note 24,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NRG operates in a highly regulated industry and is subject to regulation by various federal, state and provincial agencies. As such, NRG is affected by regulatory developments at the federal, state and provincial levels and in the regions in which NRG operates. In addition, NRG is subject to the market rules, procedures, and protocols of the various ISO and RTO markets in which NRG participates. These power markets are subject to ongoing legislative and regulatory changes that may impact NRG's wholesale and retail operations.</w:t>
      </w:r>
    </w:p>
    <w:p>
      <w:pPr>
        <w:spacing w:after="0" w:line="7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addition to the regulatory proceedings noted below, NRG and its subsidiaries are parties to other regulatory proceedings arising in the ordinary course of business or have other regulatory exposure. In management's opinion, the disposition of these ordinary course matters will not materially adversely affect NRG's consolidated financial position, results of operations, or cash flows.</w:t>
      </w:r>
    </w:p>
    <w:p>
      <w:pPr>
        <w:spacing w:after="0" w:line="73"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FTC Investigation </w:t>
      </w:r>
      <w:r>
        <w:rPr>
          <w:rFonts w:ascii="Times New Roman" w:cs="Times New Roman" w:eastAsia="Times New Roman" w:hAnsi="Times New Roman"/>
          <w:sz w:val="18"/>
          <w:szCs w:val="18"/>
          <w:color w:val="auto"/>
        </w:rPr>
        <w:t>— In 2019, Vivint Smart Home received a civil investigative demand from the staff of the FTC concerning potential violations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Credit Reporting Act and the “Red Flags Rule” thereunder, and the FTC Act. In April 2021, Vivint Smart Home entered into a settlement with the FTC that resolved this investigation. As part of this settlement, Vivint Smart Home paid $20 million and agreed to implement various additional compliance related measures ("Stipulated Order"). The Company is engaged in ongoing discussions with the staff of the FTC regarding the Company’s compliance with the terms of the Stipulated Order. Under the terms of the Stipulated Order, Vivint Smart Home is required to undertake biennial assessments by an independent third-party assessor (the "Assessor"), which reviews Vivint Smart Home’s compliance program and provides a report on Vivint Smart Home’s ongoing compliance with the Stipulated Order. Since its inception through November 2025, Vivint Smart Home has completed its initial assessment and its first and second biennial assessments as required by the Stipulated Order. In addition, Vivint Smart Home has voluntarily completed eleven quarterly assessments, for a total of fourteen assessments overall. Across all assessments, the Assessor reported no material findings of non-compliance and concluded that Vivint Smart Home’s Compliance Program remains substantially effective and comprehensive.</w:t>
      </w:r>
    </w:p>
    <w:p>
      <w:pPr>
        <w:spacing w:after="0" w:line="80"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i w:val="1"/>
          <w:iCs w:val="1"/>
          <w:color w:val="auto"/>
        </w:rPr>
        <w:t xml:space="preserve">NYSPSC – Order to Show Cause </w:t>
      </w:r>
      <w:r>
        <w:rPr>
          <w:rFonts w:ascii="Times New Roman" w:cs="Times New Roman" w:eastAsia="Times New Roman" w:hAnsi="Times New Roman"/>
          <w:sz w:val="16"/>
          <w:szCs w:val="16"/>
          <w:color w:val="auto"/>
        </w:rPr>
        <w:t>— The NYSPSC issued an order referred to as the Retail Reset Order in December 2019 that limited the offers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ESCOs for electric and natural gas to three compliant products: guaranteed savings from the utility default rate, a fixed rate commodity product that is priced at no more than 5% greater than the trailing 12-month average utility supply rate or New York-sourced renewable energy that is at least 50% greater than the prevailing New York Renewable Energy Standard for load serving entities. Subsequently, the NYSPSC issued an order referred to as the Clarification Order on September 18, 2020 stating the Retail Reset Order applies only to prospective customer contracts. NRG took action to comply with the order when it became effective April 16, 2021. On January 8, 2024, the NYSPSC notified eight of NRG's retail energy suppliers (serving both electricity and natural gas) of alleged non-compliance with New York regulatory requirements. NRG responded to the notices in February 2024 and on September 23, 2025, the NYSPSC issued a follow-up order further alleging separately that the NRG retail supplier responsible for selling natural gas to commercial and industrial customers had been improperly serving residential customers. The follow-up order directed NRG to show cause why consequences, ranging from sales monitoring, fines, refunds, debarment and/or eligibility revocation, should not be imposed for failure to comply with the Retail Reset Order and other Commission directives. The Company believes it has complied with the law and applicable orders and does not agree with the NYSPSC's assertions.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24 — </w:t>
      </w:r>
      <w:r>
        <w:rPr>
          <w:rFonts w:ascii="Times New Roman" w:cs="Times New Roman" w:eastAsia="Times New Roman" w:hAnsi="Times New Roman"/>
          <w:sz w:val="18"/>
          <w:szCs w:val="18"/>
          <w:b w:val="1"/>
          <w:bCs w:val="1"/>
          <w:i w:val="1"/>
          <w:iCs w:val="1"/>
          <w:color w:val="auto"/>
        </w:rPr>
        <w:t>Environmental Matters</w:t>
      </w:r>
    </w:p>
    <w:p>
      <w:pPr>
        <w:spacing w:after="0" w:line="1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NRG is subject to numerous environmental laws in the development, construction, ownership and operation of power plants. These laws generally require that governmental permits and approvals be obtained before construction and maintained during operation of power plants. In general, the electric generation industry has faced increasingly stringent requirements regarding air quality, GHG emissions, combustion byproducts, water use and discharge, and threatened and endangered species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57" w:name="page158"/>
    <w:bookmarkEnd w:id="157"/>
    <w:p>
      <w:pPr>
        <w:jc w:val="both"/>
        <w:spacing w:after="0" w:line="249" w:lineRule="auto"/>
        <w:rPr>
          <w:sz w:val="20"/>
          <w:szCs w:val="20"/>
          <w:color w:val="auto"/>
        </w:rPr>
      </w:pPr>
      <w:r>
        <w:rPr>
          <w:rFonts w:ascii="Times New Roman" w:cs="Times New Roman" w:eastAsia="Times New Roman" w:hAnsi="Times New Roman"/>
          <w:sz w:val="18"/>
          <w:szCs w:val="18"/>
          <w:color w:val="auto"/>
        </w:rPr>
        <w:t>including several rules promulgated in 2024. Future laws may require the addition of emissions controls or other environmental controls or to impose additional restrictions on the operations of the Company's facilities, which could have a material effect on the Company's consolidated financial position, results of operations, or cash flows. At the federal level, the President has issued several Executive Orders that indicate that the current administration intends to relax or rescind some previously promulgated regulations. The EPA has proposed several and finalized some rules that relax and/or rescind regulations previously promulgated. The Company has elected to use a $1 million disclosure threshold, as permitted, for environmental proceedings to which the government is a party.</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Air</w:t>
      </w:r>
    </w:p>
    <w:p>
      <w:pPr>
        <w:spacing w:after="0" w:line="111" w:lineRule="exact"/>
        <w:rPr>
          <w:sz w:val="20"/>
          <w:szCs w:val="20"/>
          <w:color w:val="auto"/>
        </w:rPr>
      </w:pPr>
    </w:p>
    <w:p>
      <w:pPr>
        <w:jc w:val="both"/>
        <w:ind w:firstLine="395"/>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CPP/ACE Rules </w:t>
      </w:r>
      <w:r>
        <w:rPr>
          <w:rFonts w:ascii="Times New Roman" w:cs="Times New Roman" w:eastAsia="Times New Roman" w:hAnsi="Times New Roman"/>
          <w:sz w:val="18"/>
          <w:szCs w:val="18"/>
          <w:color w:val="auto"/>
        </w:rPr>
        <w:t>— The attention in recent years on GHG emissions has resulted in federal and state regulations. In 2019, the EPA promulgated the 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which rescinded the CPP, which had sought to broadly regulate 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emissions from the power sector. On January 19, 2021, the D.C. Circuit vacated the ACE rule (but on February 22, 2021, at the EPA's request, stayed the issuance of the portion of the mandate that would vacate the repeal of the CPP). On June 30, 2022, the U.S. Supreme Court held that the "generation shifting" approach in the CPP exceeded the powers granted to the EPA by Congress. On May 9, 2024, the EPA promulgated a rule that repealed the ACE rule and significantly revised the manner in which new combustion-turbine and existing steam EGU's GHG emissions would be regulated including capturing and storing/sequestering 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in some instances. This rule has been challenged by numerous parties in the D.C. Circuit including 27 states with 22 states intervening in support of the rule. The D.C. Circuit held oral arguments related to this rule in December 2024. In February 2025, the court granted a motion the DOJ filed asking the court to hold proceedings in abeyance while the EPA evaluates the rule. On June 17, 2025, the EPA proposed to repeal all GHG emission standards for fossil fuel-fired power plants under Section 111 of the CAA. The EPA is proposing to conclude that GHG emissions from domestic fossil fuel-fired EGUs do not contribute to dangerous air pollution at a level sufficient to invoke the EPA’s authority under CAA Section 111. In addition to its primary proposal to repeal all GHG emission standards for the power sector promulgated in both 2015 and 2024, the EPA has included an alternative proposal to repeal only specific portions. The Company believes that the EPA may amend such regulations in the next few months.</w:t>
      </w:r>
    </w:p>
    <w:p>
      <w:pPr>
        <w:spacing w:after="0" w:line="94"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CSAPR </w:t>
      </w:r>
      <w:r>
        <w:rPr>
          <w:rFonts w:ascii="Times New Roman" w:cs="Times New Roman" w:eastAsia="Times New Roman" w:hAnsi="Times New Roman"/>
          <w:sz w:val="18"/>
          <w:szCs w:val="18"/>
          <w:color w:val="auto"/>
        </w:rPr>
        <w:t>— On March 15, 2023, the EPA signed and released a prepublication version of a FIP after earlier having disapproved numerous state plans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 the issue. Several states, including Texas, challenged the EPA's disapproval of their state plans. On May 1, 2023, the U.S. Court of Appeals for the Fifth Circuit stayed the EPA's disapproval of Texas's and Louisiana's state plans, which disapprovals are a condition precedent to the EPA imposing its plan on Texas and Louisiana. On March 25, 2025, the Fifth Circuit upheld the EPA’s disapproval of Texas’s and Louisiana’s state plans but did not address the FIP. On May 9, 2025, Texas and other parties petitioned the Fifth Circuit for a rehearing with the whole court. On June 5, 2023, the EPA promulgated the FIP. On June 27, 2024, the U.S. Supreme Court stayed the FIP in the 11 states where the rule had not already been stayed. On April 14, 2025, the D.C. Circuit granted the EPA’s request to hold the legal challenges in abeyance while the EPA revisits the rule. On January 30, 2026, the EPA proposed a Phase 1 reconsideration rule covering Alabama, Arizona, Iowa, Kansas, Kentucky, Minnesota, Mississippi, Nevada, New Mexico and Tennessee. The EPA intends to address additional states in a separate action. The Company cannot predict the outcome of the legal challenges to the various state disapprovals and the final rule promulgated on June 5, 2023.</w:t>
      </w:r>
    </w:p>
    <w:p>
      <w:pPr>
        <w:spacing w:after="0" w:line="19"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7"/>
          <w:szCs w:val="17"/>
          <w:i w:val="1"/>
          <w:iCs w:val="1"/>
          <w:color w:val="auto"/>
        </w:rPr>
        <w:t xml:space="preserve">Regional Haze </w:t>
      </w:r>
      <w:r>
        <w:rPr>
          <w:rFonts w:ascii="Times New Roman" w:cs="Times New Roman" w:eastAsia="Times New Roman" w:hAnsi="Times New Roman"/>
          <w:sz w:val="17"/>
          <w:szCs w:val="17"/>
          <w:color w:val="auto"/>
        </w:rPr>
        <w:t>— In May 2023, the EPA proposed to withdraw the existing Texas Sulfur Dioxide Trading Program and replace it with unit-specific SO</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limits for 12 units in Texas to address requirements to improve visibility at National Parks and Wilderness areas. The Company does not expect this proposal to be finalized during the current U.S. presidential administration. On December 5, 2025, the EPA approved Texas’s plans to address the Regional Haze rule.</w:t>
      </w:r>
    </w:p>
    <w:p>
      <w:pPr>
        <w:spacing w:after="0" w:line="5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MATS — </w:t>
      </w:r>
      <w:r>
        <w:rPr>
          <w:rFonts w:ascii="Times New Roman" w:cs="Times New Roman" w:eastAsia="Times New Roman" w:hAnsi="Times New Roman"/>
          <w:sz w:val="18"/>
          <w:szCs w:val="18"/>
          <w:color w:val="auto"/>
        </w:rPr>
        <w:t>On May 7, 2024, the EPA promulgated a final rule that amends the MATS rule by, among other things, increasing the stringency of the filterable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particulate matter standard at coal-burning units. The deadline for complying with this more stringent standard had been 2027. On April 8, 2025, the President signed a Proclamation that creates a 2-year exemption for compliance beginning on July 8, 2027 and ending on July 8, 2029 for certain coal units including those owned by the Company. Twenty-three states have challenged this rule in the D.C. Circuit. On June 17, 2025, the EPA proposed to repeal the majority of the 2024 final rule amending the MATS rule. The outcome of this rulemaking is uncertain.</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Water</w:t>
      </w:r>
    </w:p>
    <w:p>
      <w:pPr>
        <w:spacing w:after="0" w:line="111"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ELG </w:t>
      </w:r>
      <w:r>
        <w:rPr>
          <w:rFonts w:ascii="Times New Roman" w:cs="Times New Roman" w:eastAsia="Times New Roman" w:hAnsi="Times New Roman"/>
          <w:sz w:val="18"/>
          <w:szCs w:val="18"/>
          <w:color w:val="auto"/>
        </w:rPr>
        <w:t>— In 2015, the EPA revised the ELG for Steam Electric Generating Facilities, which imposed more stringent requirements (as individual permits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renewed) for wastewater streams from FGD, fly ash, bottom ash and flue gas mercury control. On October 13, 2020, the EPA amended the 2015 ELG rule by: (i) altering the stringency of certain limits for FGD wastewater; (ii) relaxing the zero-discharge requirement for bottom ash transport water; and (iii) changing several deadlines. In 2021, NRG informed its regulators that the Company intends to comply with the ELG by ceasing combustion of coal by the end of 2028 at its domestic coal units outside of Texas, and installing appropriate controls by the end of 2025 at its two plants that have coal-fired units in Texas. On May 9, 2024, the EPA promulgated a rule that again revises the ELG by, among other things, further restricting the discharge of (i) FGD wastewater, (ii) bottom ash transport water, and (iii) combustion residual leachate.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58" w:name="page159"/>
    <w:bookmarkEnd w:id="158"/>
    <w:p>
      <w:pPr>
        <w:jc w:val="both"/>
        <w:spacing w:after="0" w:line="252" w:lineRule="auto"/>
        <w:rPr>
          <w:sz w:val="20"/>
          <w:szCs w:val="20"/>
          <w:color w:val="auto"/>
        </w:rPr>
      </w:pPr>
      <w:r>
        <w:rPr>
          <w:rFonts w:ascii="Times New Roman" w:cs="Times New Roman" w:eastAsia="Times New Roman" w:hAnsi="Times New Roman"/>
          <w:sz w:val="18"/>
          <w:szCs w:val="18"/>
          <w:color w:val="auto"/>
        </w:rPr>
        <w:t>The rule was challenged in numerous courts, but the cases were consolidated in the U.S. Court of Appeals for the Eighth Circuit. The outcome of the legal challenges is uncertain. On February 19, 2025, the DOJ filed a motion asking the court to hold proceedings in abeyance while the U.S. presidential administration evaluates the rule, which the court granted. On December 31, 2025, the EPA promulgated a rule that extends several deadlines and provides greater flexibility regarding decisions to invest in more stringent controls.</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Byproducts</w:t>
      </w:r>
    </w:p>
    <w:p>
      <w:pPr>
        <w:spacing w:after="0" w:line="113"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In 2015, the EPA finalized the rule regulating byproducts of coal combustion (e.g., ash and gypsum) as solid wastes under the RCRA. On August 21, 2018, the D.C. Circuit found, among other things, that the EPA had not adequately regulated unlined ponds and legacy surface impoundments. On August 28, 2020, the EPA finalized "A Holistic Approach to Closure Part A: Deadline to Initiate Closure," which amended the April 2015 Rule to address the August 2018 D.C. Circuit decision and extend some of the deadlines. On November 12, 2020, the EPA finalized "A Holistic Approach to Closure Part B: Alternative Demonstration for Unlined Surface Impoundments," which further amended the April 2015 Rule to, among other things, provide procedures for requesting approval to operate existing ash impoundments with an alternate liner. On May 8, 2024, the EPA promulgated a rule that establishes requirements for: (i) inactive (or legacy) surface impoundments at inactive facilities and (ii) CCR management units (regardless of how or when the CCR was placed) at regulated facilities. The rule also creates an obligation to conduct site assessments (at all active and certain inactive facilities) to determine whether CCR management units are present. On February 10, 2026, the EPA promulgated a rule extending certain deadlines in the 2024 rule. The rule has been challenged in the D.C. Circuit and the outcome of the legal challenges is uncertain.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25 — </w:t>
      </w:r>
      <w:r>
        <w:rPr>
          <w:rFonts w:ascii="Times New Roman" w:cs="Times New Roman" w:eastAsia="Times New Roman" w:hAnsi="Times New Roman"/>
          <w:sz w:val="18"/>
          <w:szCs w:val="18"/>
          <w:b w:val="1"/>
          <w:bCs w:val="1"/>
          <w:i w:val="1"/>
          <w:iCs w:val="1"/>
          <w:color w:val="auto"/>
        </w:rPr>
        <w:t>Cash Flow Information</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Detail of supplemental disclosures of cash flow and non-cash investing and financing information was: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40" w:type="dxa"/>
            <w:vAlign w:val="bottom"/>
            <w:gridSpan w:val="5"/>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0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04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 net of amount capitalized</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24"/>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Decreases to fixed assets for accrued capital expenditures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Excise tax accrued on share repurchases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26 — </w:t>
      </w:r>
      <w:r>
        <w:rPr>
          <w:rFonts w:ascii="Times New Roman" w:cs="Times New Roman" w:eastAsia="Times New Roman" w:hAnsi="Times New Roman"/>
          <w:sz w:val="18"/>
          <w:szCs w:val="18"/>
          <w:b w:val="1"/>
          <w:bCs w:val="1"/>
          <w:i w:val="1"/>
          <w:iCs w:val="1"/>
          <w:color w:val="auto"/>
        </w:rPr>
        <w:t>Guarantees</w:t>
      </w:r>
    </w:p>
    <w:p>
      <w:pPr>
        <w:spacing w:after="0" w:line="11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NRG and its subsidiaries enter into various contracts that include indemnification and guarantee provisions as a routine part of the Company's business activities. Examples of these contracts include asset purchases and sale agreements, commodity sale and purchase agreements, retail contracts, joint venture agreements, EPC agreements, operation and maintenance agreements, service agreements, settlement agreements, and other types of contractual agreements with vendors and other third parties, as well as affiliates. These contracts generally indemnify the counterparty for tax, environmental liability, litigation and other matters, as well as breaches of representations, warranties and covenants set forth in these agreements. The Company is obligated with respect to customer deposits associated with the Company's retail operations. In some cases, NRG's maximum potential liability cannot be estimated, since the underlying agreements contain no limits on potential liability.</w:t>
      </w:r>
    </w:p>
    <w:p>
      <w:pPr>
        <w:spacing w:after="0" w:line="8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the maximum potential exposures that can be estimated for NRG's guarantees, indemnities, and other contingent liabilities by maturity:</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50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By Remaining Maturity at December 31,</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100" w:type="dxa"/>
            <w:vAlign w:val="bottom"/>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Guarantees</w:t>
            </w:r>
          </w:p>
        </w:tc>
        <w:tc>
          <w:tcPr>
            <w:tcW w:w="220" w:type="dxa"/>
            <w:vAlign w:val="bottom"/>
          </w:tcPr>
          <w:p>
            <w:pPr>
              <w:spacing w:after="0"/>
              <w:rPr>
                <w:sz w:val="11"/>
                <w:szCs w:val="11"/>
                <w:color w:val="auto"/>
              </w:rPr>
            </w:pPr>
          </w:p>
        </w:tc>
        <w:tc>
          <w:tcPr>
            <w:tcW w:w="96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Under</w:t>
            </w:r>
          </w:p>
        </w:tc>
        <w:tc>
          <w:tcPr>
            <w:tcW w:w="200" w:type="dxa"/>
            <w:vAlign w:val="bottom"/>
          </w:tcPr>
          <w:p>
            <w:pPr>
              <w:spacing w:after="0"/>
              <w:rPr>
                <w:sz w:val="11"/>
                <w:szCs w:val="11"/>
                <w:color w:val="auto"/>
              </w:rPr>
            </w:pPr>
          </w:p>
        </w:tc>
        <w:tc>
          <w:tcPr>
            <w:tcW w:w="90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20" w:type="dxa"/>
            <w:vAlign w:val="bottom"/>
          </w:tcPr>
          <w:p>
            <w:pPr>
              <w:spacing w:after="0"/>
              <w:rPr>
                <w:sz w:val="11"/>
                <w:szCs w:val="11"/>
                <w:color w:val="auto"/>
              </w:rPr>
            </w:pPr>
          </w:p>
        </w:tc>
        <w:tc>
          <w:tcPr>
            <w:tcW w:w="98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Over</w:t>
            </w:r>
          </w:p>
        </w:tc>
        <w:tc>
          <w:tcPr>
            <w:tcW w:w="26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1"/>
                <w:szCs w:val="11"/>
                <w:color w:val="auto"/>
              </w:rPr>
            </w:pPr>
          </w:p>
        </w:tc>
        <w:tc>
          <w:tcPr>
            <w:tcW w:w="94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2024 Total</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rPr>
              <w:t>1 Year</w:t>
            </w:r>
          </w:p>
        </w:tc>
        <w:tc>
          <w:tcPr>
            <w:tcW w:w="2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ind w:left="100"/>
              <w:spacing w:after="0" w:line="145" w:lineRule="exact"/>
              <w:rPr>
                <w:sz w:val="20"/>
                <w:szCs w:val="20"/>
                <w:color w:val="auto"/>
              </w:rPr>
            </w:pPr>
            <w:r>
              <w:rPr>
                <w:rFonts w:ascii="Times New Roman" w:cs="Times New Roman" w:eastAsia="Times New Roman" w:hAnsi="Times New Roman"/>
                <w:sz w:val="14"/>
                <w:szCs w:val="14"/>
                <w:b w:val="1"/>
                <w:bCs w:val="1"/>
                <w:color w:val="auto"/>
              </w:rPr>
              <w:t>5 Years</w:t>
            </w:r>
          </w:p>
        </w:tc>
        <w:tc>
          <w:tcPr>
            <w:tcW w:w="2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00" w:type="dxa"/>
            <w:vAlign w:val="bottom"/>
            <w:tcBorders>
              <w:top w:val="single" w:sz="8" w:color="auto"/>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Letters of credit and surety bonds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sales guarantee obligations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guarantees</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guarantees</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ind w:firstLine="395"/>
        <w:spacing w:after="0" w:line="294" w:lineRule="auto"/>
        <w:rPr>
          <w:sz w:val="20"/>
          <w:szCs w:val="20"/>
          <w:color w:val="auto"/>
        </w:rPr>
      </w:pPr>
      <w:r>
        <w:rPr>
          <w:rFonts w:ascii="Times New Roman" w:cs="Times New Roman" w:eastAsia="Times New Roman" w:hAnsi="Times New Roman"/>
          <w:sz w:val="16"/>
          <w:szCs w:val="16"/>
          <w:i w:val="1"/>
          <w:iCs w:val="1"/>
          <w:color w:val="auto"/>
        </w:rPr>
        <w:t xml:space="preserve">Letters of credit and surety bonds </w:t>
      </w:r>
      <w:r>
        <w:rPr>
          <w:rFonts w:ascii="Times New Roman" w:cs="Times New Roman" w:eastAsia="Times New Roman" w:hAnsi="Times New Roman"/>
          <w:sz w:val="16"/>
          <w:szCs w:val="16"/>
          <w:color w:val="auto"/>
        </w:rPr>
        <w:t>— As of December 31, 2025, NRG and its consolidated subsidiaries were contingently obligated for a total of $4.3</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billion under letters of credit and surety bonds. Most of these letters of credit and surety bonds are issued in support of the Company's obligations to perform under commodity agreements and obligations associated with future closure and maintenance of ash sites, as well as for financing or other arrangements. A majority of these letters of credit and surety bonds expire within one year of issuance, and it is typical for the Company to renew them on similar terms.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59" w:name="page160"/>
    <w:bookmarkEnd w:id="159"/>
    <w:p>
      <w:pPr>
        <w:ind w:left="400"/>
        <w:spacing w:after="0"/>
        <w:rPr>
          <w:sz w:val="20"/>
          <w:szCs w:val="20"/>
          <w:color w:val="auto"/>
        </w:rPr>
      </w:pPr>
      <w:r>
        <w:rPr>
          <w:rFonts w:ascii="Times New Roman" w:cs="Times New Roman" w:eastAsia="Times New Roman" w:hAnsi="Times New Roman"/>
          <w:sz w:val="18"/>
          <w:szCs w:val="18"/>
          <w:color w:val="auto"/>
        </w:rPr>
        <w:t>The material indemnities, within the scope of ASC 460, are as follows:</w:t>
      </w:r>
    </w:p>
    <w:p>
      <w:pPr>
        <w:spacing w:after="0" w:line="107"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Asset sales </w:t>
      </w:r>
      <w:r>
        <w:rPr>
          <w:rFonts w:ascii="Times New Roman" w:cs="Times New Roman" w:eastAsia="Times New Roman" w:hAnsi="Times New Roman"/>
          <w:sz w:val="18"/>
          <w:szCs w:val="18"/>
          <w:color w:val="auto"/>
        </w:rPr>
        <w:t>— The purchase and sale agreements which govern NRG's asset or share investments and divestitures customarily contain guarantees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indemnifications of the transaction to third parties. The contracts indemnify the parties for liabilities incurred as a result of a breach of a representation or warranty by the indemnifying party, changes in tax laws or for pre-existing environmental matters. These obligations generally have a discrete term and are intended to protect the parties against risks that are difficult to predict or estimate at the time of the transaction. In several cases, the contract limits the liability of the indemnifier. NRG has no reason to believe that the Company currently has any material liability relating to such routine indemnification obligations included in the table above, except for the California property tax indemnity for estimated increases in California property taxes of certain solar properties that the Company agreed to indemnify, as part of the agreement to sell NRG Yield and the Renewables Platform. The California property tax indemnity is estimated to be $94 million as of December 31, 2025 and is included in the above table under asset sales guarantee obligations.</w:t>
      </w:r>
    </w:p>
    <w:p>
      <w:pPr>
        <w:spacing w:after="0" w:line="85"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guarantees </w:t>
      </w:r>
      <w:r>
        <w:rPr>
          <w:rFonts w:ascii="Times New Roman" w:cs="Times New Roman" w:eastAsia="Times New Roman" w:hAnsi="Times New Roman"/>
          <w:sz w:val="18"/>
          <w:szCs w:val="18"/>
          <w:color w:val="auto"/>
        </w:rPr>
        <w:t>— NRG has issued other guarantees of obligations including payments under certain agreements with respect to certain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unconsolidated subsidiaries, payment or performance by fuel providers and payment or reimbursement of credit support and deposits. The Company does not believe that it will be required to perform under these guarantees.</w:t>
      </w:r>
    </w:p>
    <w:p>
      <w:pPr>
        <w:spacing w:after="0" w:line="7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Other indemnities </w:t>
      </w:r>
      <w:r>
        <w:rPr>
          <w:rFonts w:ascii="Times New Roman" w:cs="Times New Roman" w:eastAsia="Times New Roman" w:hAnsi="Times New Roman"/>
          <w:sz w:val="18"/>
          <w:szCs w:val="18"/>
          <w:color w:val="auto"/>
        </w:rPr>
        <w:t>— Other indemnifications NRG has provided cover operational, tax, litigation and breaches of representations, warranties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covenants. NRG has also indemnified, on a routine basis in the ordinary course of business, consultants or other vendors who have provided services to the Company. NRG's maximum potential exposure under these indemnifications can range from a specified dollar amount to an indeterminate amount, depending on the nature of the transaction. Total maximum potential exposure under these indemnifications is not estimable due to uncertainty as to whether claims will be made or how they will be resolved. NRG does not have any reason to believe that the Company will be required to make any material payments under these indemnity provisions.</w:t>
      </w:r>
    </w:p>
    <w:p>
      <w:pPr>
        <w:spacing w:after="0" w:line="8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Because many of the guarantees and indemnities NRG issues to third parties and affiliates do not limit the amount or duration of its obligations to perform under them, there exists a risk that the Company may have obligations in excess of the amounts described above. For those guarantees and indemnities that do not limit the Company's liability exposure, it may not be able to estimate what the Company's liability would be, until a claim is made for payment or performance, due to the contingent nature of these contracts.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27 — </w:t>
      </w:r>
      <w:r>
        <w:rPr>
          <w:rFonts w:ascii="Times New Roman" w:cs="Times New Roman" w:eastAsia="Times New Roman" w:hAnsi="Times New Roman"/>
          <w:sz w:val="18"/>
          <w:szCs w:val="18"/>
          <w:b w:val="1"/>
          <w:bCs w:val="1"/>
          <w:i w:val="1"/>
          <w:iCs w:val="1"/>
          <w:color w:val="auto"/>
        </w:rPr>
        <w:t>Jointly Owned Plant</w:t>
      </w:r>
    </w:p>
    <w:p>
      <w:pPr>
        <w:spacing w:after="0" w:line="1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NRG owns an undivided interest in Cedar Bayou. Cedar Bayou is maintained and operated pursuant to its joint ownership participation and operating agreement. NRG is responsible for its subsidiary’s share of operating costs and direct expenses and includes its proportionate share of the facility and related revenues and direct expenses in the jointly-owned plant in the corresponding balance sheet and income statement captions of the Company's consolidated financial statements.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following</w:t>
            </w:r>
          </w:p>
        </w:tc>
        <w:tc>
          <w:tcPr>
            <w:tcW w:w="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table</w:t>
            </w:r>
          </w:p>
        </w:tc>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summarizes</w:t>
            </w: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NRG's</w:t>
            </w: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proportionate</w:t>
            </w:r>
          </w:p>
        </w:tc>
        <w:tc>
          <w:tcPr>
            <w:tcW w:w="1100" w:type="dxa"/>
            <w:vAlign w:val="bottom"/>
            <w:gridSpan w:val="3"/>
          </w:tcPr>
          <w:p>
            <w:pPr>
              <w:jc w:val="center"/>
              <w:ind w:right="12"/>
              <w:spacing w:after="0"/>
              <w:rPr>
                <w:sz w:val="20"/>
                <w:szCs w:val="20"/>
                <w:color w:val="auto"/>
              </w:rPr>
            </w:pPr>
            <w:r>
              <w:rPr>
                <w:rFonts w:ascii="Times New Roman" w:cs="Times New Roman" w:eastAsia="Times New Roman" w:hAnsi="Times New Roman"/>
                <w:sz w:val="18"/>
                <w:szCs w:val="18"/>
                <w:color w:val="auto"/>
                <w:w w:val="95"/>
              </w:rPr>
              <w:t>ownership</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in</w:t>
            </w:r>
          </w:p>
        </w:tc>
        <w:tc>
          <w:tcPr>
            <w:tcW w:w="660" w:type="dxa"/>
            <w:vAlign w:val="bottom"/>
            <w:gridSpan w:val="3"/>
          </w:tcPr>
          <w:p>
            <w:pPr>
              <w:jc w:val="right"/>
              <w:ind w:right="92"/>
              <w:spacing w:after="0"/>
              <w:rPr>
                <w:sz w:val="20"/>
                <w:szCs w:val="20"/>
                <w:color w:val="auto"/>
              </w:rPr>
            </w:pPr>
            <w:r>
              <w:rPr>
                <w:rFonts w:ascii="Times New Roman" w:cs="Times New Roman" w:eastAsia="Times New Roman" w:hAnsi="Times New Roman"/>
                <w:sz w:val="18"/>
                <w:szCs w:val="18"/>
                <w:color w:val="auto"/>
              </w:rPr>
              <w:t>the</w:t>
            </w: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Company's</w:t>
            </w: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jointly-owned</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2"/>
              </w:rPr>
              <w:t>facility:</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4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 millions unless otherwise stated)</w:t>
            </w: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20" w:type="dxa"/>
            <w:vAlign w:val="bottom"/>
            <w:gridSpan w:val="4"/>
          </w:tcPr>
          <w:p>
            <w:pPr>
              <w:jc w:val="center"/>
              <w:ind w:right="192"/>
              <w:spacing w:after="0" w:line="157"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1440" w:type="dxa"/>
            <w:vAlign w:val="bottom"/>
            <w:gridSpan w:val="4"/>
          </w:tcPr>
          <w:p>
            <w:pPr>
              <w:ind w:left="40"/>
              <w:spacing w:after="0" w:line="157" w:lineRule="exact"/>
              <w:rPr>
                <w:sz w:val="20"/>
                <w:szCs w:val="20"/>
                <w:color w:val="auto"/>
              </w:rPr>
            </w:pPr>
            <w:r>
              <w:rPr>
                <w:rFonts w:ascii="Times New Roman" w:cs="Times New Roman" w:eastAsia="Times New Roman" w:hAnsi="Times New Roman"/>
                <w:sz w:val="14"/>
                <w:szCs w:val="14"/>
                <w:b w:val="1"/>
                <w:bCs w:val="1"/>
                <w:color w:val="auto"/>
              </w:rPr>
              <w:t>Property, Plant &amp;</w:t>
            </w:r>
          </w:p>
        </w:tc>
        <w:tc>
          <w:tcPr>
            <w:tcW w:w="220" w:type="dxa"/>
            <w:vAlign w:val="bottom"/>
          </w:tcPr>
          <w:p>
            <w:pPr>
              <w:spacing w:after="0"/>
              <w:rPr>
                <w:sz w:val="13"/>
                <w:szCs w:val="13"/>
                <w:color w:val="auto"/>
              </w:rPr>
            </w:pPr>
          </w:p>
        </w:tc>
        <w:tc>
          <w:tcPr>
            <w:tcW w:w="106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3"/>
          </w:tcPr>
          <w:p>
            <w:pPr>
              <w:jc w:val="center"/>
              <w:ind w:right="260"/>
              <w:spacing w:after="0" w:line="157" w:lineRule="exact"/>
              <w:rPr>
                <w:sz w:val="20"/>
                <w:szCs w:val="20"/>
                <w:color w:val="auto"/>
              </w:rPr>
            </w:pPr>
            <w:r>
              <w:rPr>
                <w:rFonts w:ascii="Times New Roman" w:cs="Times New Roman" w:eastAsia="Times New Roman" w:hAnsi="Times New Roman"/>
                <w:sz w:val="14"/>
                <w:szCs w:val="14"/>
                <w:b w:val="1"/>
                <w:bCs w:val="1"/>
                <w:color w:val="auto"/>
                <w:w w:val="98"/>
              </w:rPr>
              <w:t>Construction in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20" w:type="dxa"/>
            <w:vAlign w:val="bottom"/>
            <w:gridSpan w:val="4"/>
          </w:tcPr>
          <w:p>
            <w:pPr>
              <w:jc w:val="center"/>
              <w:ind w:right="192"/>
              <w:spacing w:after="0" w:line="123"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00" w:type="dxa"/>
            <w:vAlign w:val="bottom"/>
            <w:gridSpan w:val="2"/>
          </w:tcPr>
          <w:p>
            <w:pPr>
              <w:ind w:left="240"/>
              <w:spacing w:after="0" w:line="123" w:lineRule="exact"/>
              <w:rPr>
                <w:sz w:val="20"/>
                <w:szCs w:val="20"/>
                <w:color w:val="auto"/>
              </w:rPr>
            </w:pPr>
            <w:r>
              <w:rPr>
                <w:rFonts w:ascii="Times New Roman" w:cs="Times New Roman" w:eastAsia="Times New Roman" w:hAnsi="Times New Roman"/>
                <w:sz w:val="14"/>
                <w:szCs w:val="14"/>
                <w:b w:val="1"/>
                <w:bCs w:val="1"/>
                <w:color w:val="auto"/>
              </w:rPr>
              <w:t>Equipment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ind w:left="160"/>
              <w:spacing w:after="0" w:line="123" w:lineRule="exact"/>
              <w:rPr>
                <w:sz w:val="20"/>
                <w:szCs w:val="20"/>
                <w:color w:val="auto"/>
              </w:rPr>
            </w:pPr>
            <w:r>
              <w:rPr>
                <w:rFonts w:ascii="Times New Roman" w:cs="Times New Roman" w:eastAsia="Times New Roman" w:hAnsi="Times New Roman"/>
                <w:sz w:val="14"/>
                <w:szCs w:val="14"/>
                <w:b w:val="1"/>
                <w:bCs w:val="1"/>
                <w:color w:val="auto"/>
              </w:rPr>
              <w:t>Depreciation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ind w:left="230"/>
              <w:spacing w:after="0" w:line="123" w:lineRule="exact"/>
              <w:rPr>
                <w:sz w:val="20"/>
                <w:szCs w:val="20"/>
                <w:color w:val="auto"/>
              </w:rPr>
            </w:pPr>
            <w:r>
              <w:rPr>
                <w:rFonts w:ascii="Times New Roman" w:cs="Times New Roman" w:eastAsia="Times New Roman" w:hAnsi="Times New Roman"/>
                <w:sz w:val="14"/>
                <w:szCs w:val="14"/>
                <w:b w:val="1"/>
                <w:bCs w:val="1"/>
                <w:color w:val="auto"/>
                <w:w w:val="99"/>
              </w:rPr>
              <w:t>Progress</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800" w:type="dxa"/>
            <w:vAlign w:val="bottom"/>
            <w:tcBorders>
              <w:top w:val="single" w:sz="8" w:color="auto"/>
              <w:bottom w:val="single" w:sz="8" w:color="CCEEFF"/>
            </w:tcBorders>
          </w:tcPr>
          <w:p>
            <w:pPr>
              <w:spacing w:after="0"/>
              <w:rPr>
                <w:sz w:val="2"/>
                <w:szCs w:val="2"/>
                <w:color w:val="auto"/>
              </w:rPr>
            </w:pPr>
          </w:p>
        </w:tc>
        <w:tc>
          <w:tcPr>
            <w:tcW w:w="680" w:type="dxa"/>
            <w:vAlign w:val="bottom"/>
            <w:tcBorders>
              <w:top w:val="single" w:sz="8" w:color="auto"/>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Cedar Bayou Unit 4, Baytown, TX</w:t>
            </w: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28 — </w:t>
      </w:r>
      <w:r>
        <w:rPr>
          <w:rFonts w:ascii="Times New Roman" w:cs="Times New Roman" w:eastAsia="Times New Roman" w:hAnsi="Times New Roman"/>
          <w:sz w:val="18"/>
          <w:szCs w:val="18"/>
          <w:b w:val="1"/>
          <w:bCs w:val="1"/>
          <w:i w:val="1"/>
          <w:iCs w:val="1"/>
          <w:color w:val="auto"/>
        </w:rPr>
        <w:t>Balance Sheet Components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accrued expenses and other current liabilities are as follows:</w:t>
      </w:r>
    </w:p>
    <w:p>
      <w:pPr>
        <w:spacing w:after="0" w:line="59"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7"/>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RECs</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24"/>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24"/>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r>
      <w:tr>
        <w:trPr>
          <w:trHeight w:val="217"/>
        </w:trPr>
        <w:tc>
          <w:tcPr>
            <w:tcW w:w="8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accrued expenses and other current liabilities</w:t>
            </w: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w:t>
            </w:r>
          </w:p>
        </w:tc>
      </w:tr>
      <w:tr>
        <w:trPr>
          <w:trHeight w:val="20"/>
        </w:trPr>
        <w:tc>
          <w:tcPr>
            <w:tcW w:w="8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60" w:name="page161"/>
    <w:bookmarkEnd w:id="160"/>
    <w:p>
      <w:pPr>
        <w:ind w:right="3080" w:firstLine="3079"/>
        <w:spacing w:after="0" w:line="325" w:lineRule="auto"/>
        <w:rPr>
          <w:sz w:val="20"/>
          <w:szCs w:val="20"/>
          <w:color w:val="auto"/>
        </w:rPr>
      </w:pPr>
      <w:r>
        <w:rPr>
          <w:rFonts w:ascii="Times New Roman" w:cs="Times New Roman" w:eastAsia="Times New Roman" w:hAnsi="Times New Roman"/>
          <w:sz w:val="18"/>
          <w:szCs w:val="18"/>
          <w:b w:val="1"/>
          <w:bCs w:val="1"/>
          <w:color w:val="auto"/>
        </w:rPr>
        <w:t xml:space="preserve">SCHEDULE 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VALUATION AND QUALIFYING ACCOUNTS For the Years Ended December 31, 2025, 2024 and 2023</w:t>
      </w:r>
    </w:p>
    <w:tbl>
      <w:tblPr>
        <w:tblLayout w:type="fixed"/>
        <w:tblInd w:w="0" w:type="dxa"/>
        <w:tblCellMar>
          <w:top w:w="0" w:type="dxa"/>
          <w:left w:w="0" w:type="dxa"/>
          <w:bottom w:w="0" w:type="dxa"/>
          <w:right w:w="0" w:type="dxa"/>
        </w:tblCellMar>
      </w:tblPr>
      <w:tr>
        <w:trPr>
          <w:trHeight w:val="146"/>
        </w:trPr>
        <w:tc>
          <w:tcPr>
            <w:tcW w:w="4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w w:val="98"/>
              </w:rPr>
              <w:t>Balance at</w:t>
            </w: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140" w:type="dxa"/>
            <w:vAlign w:val="bottom"/>
          </w:tcPr>
          <w:p>
            <w:pPr>
              <w:spacing w:after="0"/>
              <w:rPr>
                <w:sz w:val="12"/>
                <w:szCs w:val="12"/>
                <w:color w:val="auto"/>
              </w:rPr>
            </w:pPr>
          </w:p>
        </w:tc>
        <w:tc>
          <w:tcPr>
            <w:tcW w:w="1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3"/>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w w:val="98"/>
              </w:rPr>
              <w:t>Costs and</w:t>
            </w: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6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4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Other Accounts</w:t>
            </w: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0" w:type="dxa"/>
            <w:vAlign w:val="bottom"/>
          </w:tcPr>
          <w:p>
            <w:pPr>
              <w:spacing w:after="0"/>
              <w:rPr>
                <w:sz w:val="1"/>
                <w:szCs w:val="1"/>
                <w:color w:val="auto"/>
              </w:rPr>
            </w:pPr>
          </w:p>
        </w:tc>
      </w:tr>
      <w:tr>
        <w:trPr>
          <w:trHeight w:val="156"/>
        </w:trPr>
        <w:tc>
          <w:tcPr>
            <w:tcW w:w="466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Allowance for credit losses, deducted from accounts</w:t>
            </w: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receivable and other non-current assets</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460"/>
              <w:spacing w:after="0" w:line="224" w:lineRule="exact"/>
              <w:rPr>
                <w:sz w:val="20"/>
                <w:szCs w:val="20"/>
                <w:color w:val="auto"/>
              </w:rPr>
            </w:pPr>
            <w:r>
              <w:rPr>
                <w:rFonts w:ascii="Times New Roman" w:cs="Times New Roman" w:eastAsia="Times New Roman" w:hAnsi="Times New Roman"/>
                <w:sz w:val="18"/>
                <w:szCs w:val="18"/>
                <w:color w:val="auto"/>
              </w:rPr>
              <w:t xml:space="preserve">(297) </w:t>
            </w:r>
            <w:r>
              <w:rPr>
                <w:rFonts w:ascii="Times New Roman" w:cs="Times New Roman" w:eastAsia="Times New Roman" w:hAnsi="Times New Roman"/>
                <w:sz w:val="22"/>
                <w:szCs w:val="22"/>
                <w:color w:val="auto"/>
                <w:vertAlign w:val="superscript"/>
              </w:rPr>
              <w:t>(a)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460"/>
              <w:spacing w:after="0" w:line="224" w:lineRule="exact"/>
              <w:rPr>
                <w:sz w:val="20"/>
                <w:szCs w:val="20"/>
                <w:color w:val="auto"/>
              </w:rPr>
            </w:pPr>
            <w:r>
              <w:rPr>
                <w:rFonts w:ascii="Times New Roman" w:cs="Times New Roman" w:eastAsia="Times New Roman" w:hAnsi="Times New Roman"/>
                <w:sz w:val="18"/>
                <w:szCs w:val="18"/>
                <w:color w:val="auto"/>
              </w:rPr>
              <w:t xml:space="preserve">(325) </w:t>
            </w:r>
            <w:r>
              <w:rPr>
                <w:rFonts w:ascii="Times New Roman" w:cs="Times New Roman" w:eastAsia="Times New Roman" w:hAnsi="Times New Roman"/>
                <w:sz w:val="22"/>
                <w:szCs w:val="22"/>
                <w:color w:val="auto"/>
                <w:vertAlign w:val="superscript"/>
              </w:rPr>
              <w:t>(a)</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460"/>
              <w:spacing w:after="0" w:line="224" w:lineRule="exact"/>
              <w:rPr>
                <w:sz w:val="20"/>
                <w:szCs w:val="20"/>
                <w:color w:val="auto"/>
              </w:rPr>
            </w:pPr>
            <w:r>
              <w:rPr>
                <w:rFonts w:ascii="Times New Roman" w:cs="Times New Roman" w:eastAsia="Times New Roman" w:hAnsi="Times New Roman"/>
                <w:sz w:val="18"/>
                <w:szCs w:val="18"/>
                <w:color w:val="auto"/>
              </w:rPr>
              <w:t xml:space="preserve">(274) </w:t>
            </w:r>
            <w:r>
              <w:rPr>
                <w:rFonts w:ascii="Times New Roman" w:cs="Times New Roman" w:eastAsia="Times New Roman" w:hAnsi="Times New Roman"/>
                <w:sz w:val="22"/>
                <w:szCs w:val="22"/>
                <w:color w:val="auto"/>
                <w:vertAlign w:val="superscript"/>
              </w:rPr>
              <w:t>(a)</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171"/>
        </w:trPr>
        <w:tc>
          <w:tcPr>
            <w:tcW w:w="466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b w:val="1"/>
                <w:bCs w:val="1"/>
                <w:color w:val="auto"/>
                <w:w w:val="99"/>
              </w:rPr>
              <w:t>Income tax valuation allowance, deducted from deferred tax</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7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400" w:hanging="395"/>
        <w:spacing w:after="0"/>
        <w:tabs>
          <w:tab w:leader="none" w:pos="40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principally net amounts charged as uncollectible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61" w:name="page162"/>
    <w:bookmarkEnd w:id="161"/>
    <w:p>
      <w:pPr>
        <w:ind w:left="4640"/>
        <w:spacing w:after="0"/>
        <w:rPr>
          <w:sz w:val="20"/>
          <w:szCs w:val="20"/>
          <w:color w:val="auto"/>
        </w:rPr>
      </w:pPr>
      <w:r>
        <w:rPr>
          <w:rFonts w:ascii="Times New Roman" w:cs="Times New Roman" w:eastAsia="Times New Roman" w:hAnsi="Times New Roman"/>
          <w:sz w:val="16"/>
          <w:szCs w:val="16"/>
          <w:b w:val="1"/>
          <w:bCs w:val="1"/>
          <w:color w:val="auto"/>
        </w:rPr>
        <w:t>EXHIBIT INDEX</w:t>
      </w:r>
    </w:p>
    <w:p>
      <w:pPr>
        <w:spacing w:after="0" w:line="7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Number</w:t>
        <w:tab/>
        <w:t>Description</w:t>
      </w:r>
    </w:p>
    <w:p>
      <w:pPr>
        <w:spacing w:after="0" w:line="29" w:lineRule="exact"/>
        <w:rPr>
          <w:sz w:val="20"/>
          <w:szCs w:val="20"/>
          <w:color w:val="auto"/>
        </w:rPr>
      </w:pPr>
    </w:p>
    <w:p>
      <w:pPr>
        <w:ind w:left="780" w:hanging="451"/>
        <w:spacing w:after="0" w:line="237" w:lineRule="auto"/>
        <w:tabs>
          <w:tab w:leader="none" w:pos="7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2.1</w:t>
      </w:r>
      <w:r>
        <w:rPr>
          <w:sz w:val="20"/>
          <w:szCs w:val="20"/>
          <w:color w:val="auto"/>
        </w:rPr>
        <w:tab/>
      </w:r>
      <w:hyperlink r:id="rId230">
        <w:r>
          <w:rPr>
            <w:rFonts w:ascii="Times New Roman" w:cs="Times New Roman" w:eastAsia="Times New Roman" w:hAnsi="Times New Roman"/>
            <w:sz w:val="16"/>
            <w:szCs w:val="16"/>
            <w:u w:val="single" w:color="auto"/>
            <w:color w:val="0000FF"/>
          </w:rPr>
          <w:t>Third Amended Joint Plan of Reorganization of GenOn Energy, Inc. and its Debtor</w:t>
        </w:r>
      </w:hyperlink>
      <w:r>
        <w:rPr>
          <w:rFonts w:ascii="Times New Roman" w:cs="Times New Roman" w:eastAsia="Times New Roman" w:hAnsi="Times New Roman"/>
          <w:sz w:val="16"/>
          <w:szCs w:val="16"/>
          <w:u w:val="single" w:color="auto"/>
          <w:color w:val="0000FF"/>
        </w:rPr>
        <w:t xml:space="preserve"> </w:t>
      </w:r>
      <w:hyperlink r:id="rId230">
        <w:r>
          <w:rPr>
            <w:rFonts w:ascii="Times New Roman" w:cs="Times New Roman" w:eastAsia="Times New Roman" w:hAnsi="Times New Roman"/>
            <w:sz w:val="16"/>
            <w:szCs w:val="16"/>
            <w:u w:val="single" w:color="auto"/>
            <w:color w:val="0000FF"/>
          </w:rPr>
          <w:t>Affiliates.</w:t>
        </w:r>
      </w:hyperlink>
    </w:p>
    <w:p>
      <w:pPr>
        <w:spacing w:after="0" w:line="5" w:lineRule="exact"/>
        <w:rPr>
          <w:sz w:val="20"/>
          <w:szCs w:val="20"/>
          <w:color w:val="auto"/>
        </w:rPr>
      </w:pPr>
    </w:p>
    <w:p>
      <w:pPr>
        <w:ind w:left="780" w:hanging="555"/>
        <w:spacing w:after="0" w:line="227" w:lineRule="auto"/>
        <w:tabs>
          <w:tab w:leader="none" w:pos="7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2.2†^</w:t>
      </w:r>
      <w:r>
        <w:rPr>
          <w:sz w:val="20"/>
          <w:szCs w:val="20"/>
          <w:color w:val="auto"/>
        </w:rPr>
        <w:tab/>
      </w:r>
      <w:hyperlink r:id="rId231">
        <w:r>
          <w:rPr>
            <w:rFonts w:ascii="Times New Roman" w:cs="Times New Roman" w:eastAsia="Times New Roman" w:hAnsi="Times New Roman"/>
            <w:sz w:val="16"/>
            <w:szCs w:val="16"/>
            <w:u w:val="single" w:color="auto"/>
            <w:color w:val="0000FF"/>
          </w:rPr>
          <w:t>Purchase and Sale Agreement, dated as of February 6, 2018, by and among NRG</w:t>
        </w:r>
      </w:hyperlink>
      <w:r>
        <w:rPr>
          <w:rFonts w:ascii="Times New Roman" w:cs="Times New Roman" w:eastAsia="Times New Roman" w:hAnsi="Times New Roman"/>
          <w:sz w:val="16"/>
          <w:szCs w:val="16"/>
          <w:u w:val="single" w:color="auto"/>
          <w:color w:val="0000FF"/>
        </w:rPr>
        <w:t xml:space="preserve"> </w:t>
      </w:r>
      <w:hyperlink r:id="rId231">
        <w:r>
          <w:rPr>
            <w:rFonts w:ascii="Times New Roman" w:cs="Times New Roman" w:eastAsia="Times New Roman" w:hAnsi="Times New Roman"/>
            <w:sz w:val="16"/>
            <w:szCs w:val="16"/>
            <w:u w:val="single" w:color="auto"/>
            <w:color w:val="0000FF"/>
          </w:rPr>
          <w:t>Energy, Inc. and NRG Repowering Holdings LLC, and GIP III Zephyr Acquisition</w:t>
        </w:r>
      </w:hyperlink>
      <w:r>
        <w:rPr>
          <w:rFonts w:ascii="Times New Roman" w:cs="Times New Roman" w:eastAsia="Times New Roman" w:hAnsi="Times New Roman"/>
          <w:sz w:val="16"/>
          <w:szCs w:val="16"/>
          <w:u w:val="single" w:color="auto"/>
          <w:color w:val="0000FF"/>
        </w:rPr>
        <w:t xml:space="preserve"> </w:t>
      </w:r>
      <w:hyperlink r:id="rId231">
        <w:r>
          <w:rPr>
            <w:rFonts w:ascii="Times New Roman" w:cs="Times New Roman" w:eastAsia="Times New Roman" w:hAnsi="Times New Roman"/>
            <w:sz w:val="16"/>
            <w:szCs w:val="16"/>
            <w:u w:val="single" w:color="auto"/>
            <w:color w:val="0000FF"/>
          </w:rPr>
          <w:t>Partners, L.P.</w:t>
        </w:r>
      </w:hyperlink>
    </w:p>
    <w:p>
      <w:pPr>
        <w:spacing w:after="0" w:line="4" w:lineRule="exact"/>
        <w:rPr>
          <w:rFonts w:ascii="Times New Roman" w:cs="Times New Roman" w:eastAsia="Times New Roman" w:hAnsi="Times New Roman"/>
          <w:sz w:val="16"/>
          <w:szCs w:val="16"/>
          <w:u w:val="single" w:color="auto"/>
          <w:color w:val="0000FF"/>
        </w:rPr>
      </w:pPr>
    </w:p>
    <w:p>
      <w:pPr>
        <w:jc w:val="center"/>
        <w:ind w:left="280" w:right="20"/>
        <w:spacing w:after="0" w:line="237"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2.3^   </w:t>
      </w:r>
      <w:hyperlink r:id="rId232">
        <w:r>
          <w:rPr>
            <w:rFonts w:ascii="Times New Roman" w:cs="Times New Roman" w:eastAsia="Times New Roman" w:hAnsi="Times New Roman"/>
            <w:sz w:val="16"/>
            <w:szCs w:val="16"/>
            <w:u w:val="single" w:color="auto"/>
            <w:color w:val="0000FF"/>
          </w:rPr>
          <w:t>Purchase and Sale Agreement, dated as of February 6, 2018, by and between NRG</w:t>
        </w:r>
      </w:hyperlink>
      <w:r>
        <w:rPr>
          <w:rFonts w:ascii="Times New Roman" w:cs="Times New Roman" w:eastAsia="Times New Roman" w:hAnsi="Times New Roman"/>
          <w:sz w:val="16"/>
          <w:szCs w:val="16"/>
          <w:color w:val="auto"/>
        </w:rPr>
        <w:t xml:space="preserve"> </w:t>
      </w:r>
      <w:hyperlink r:id="rId232">
        <w:r>
          <w:rPr>
            <w:rFonts w:ascii="Times New Roman" w:cs="Times New Roman" w:eastAsia="Times New Roman" w:hAnsi="Times New Roman"/>
            <w:sz w:val="16"/>
            <w:szCs w:val="16"/>
            <w:u w:val="single" w:color="auto"/>
            <w:color w:val="0000FF"/>
          </w:rPr>
          <w:t>Energy, Inc., NRG South Central Generating LLC, and Cleco Energy LLC.</w:t>
        </w:r>
      </w:hyperlink>
    </w:p>
    <w:p>
      <w:pPr>
        <w:spacing w:after="0" w:line="5" w:lineRule="exact"/>
        <w:rPr>
          <w:sz w:val="20"/>
          <w:szCs w:val="20"/>
          <w:color w:val="auto"/>
        </w:rPr>
      </w:pPr>
    </w:p>
    <w:p>
      <w:pPr>
        <w:ind w:left="780" w:right="20" w:hanging="481"/>
        <w:spacing w:after="0" w:line="269" w:lineRule="auto"/>
        <w:tabs>
          <w:tab w:leader="none" w:pos="7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2.4‡</w:t>
      </w:r>
      <w:r>
        <w:rPr>
          <w:sz w:val="20"/>
          <w:szCs w:val="20"/>
          <w:color w:val="auto"/>
        </w:rPr>
        <w:tab/>
      </w:r>
      <w:hyperlink r:id="rId233">
        <w:r>
          <w:rPr>
            <w:rFonts w:ascii="Times New Roman" w:cs="Times New Roman" w:eastAsia="Times New Roman" w:hAnsi="Times New Roman"/>
            <w:sz w:val="16"/>
            <w:szCs w:val="16"/>
            <w:u w:val="single" w:color="auto"/>
            <w:color w:val="0000FF"/>
          </w:rPr>
          <w:t>Purchase and Sale Agreement dated as of February 28, 2021 by and between NRG</w:t>
        </w:r>
      </w:hyperlink>
      <w:r>
        <w:rPr>
          <w:rFonts w:ascii="Times New Roman" w:cs="Times New Roman" w:eastAsia="Times New Roman" w:hAnsi="Times New Roman"/>
          <w:sz w:val="16"/>
          <w:szCs w:val="16"/>
          <w:u w:val="single" w:color="auto"/>
          <w:color w:val="0000FF"/>
        </w:rPr>
        <w:t xml:space="preserve"> </w:t>
      </w:r>
      <w:hyperlink r:id="rId233">
        <w:r>
          <w:rPr>
            <w:rFonts w:ascii="Times New Roman" w:cs="Times New Roman" w:eastAsia="Times New Roman" w:hAnsi="Times New Roman"/>
            <w:sz w:val="16"/>
            <w:szCs w:val="16"/>
            <w:u w:val="single" w:color="auto"/>
            <w:color w:val="0000FF"/>
          </w:rPr>
          <w:t>Energy, Inc., and Generation Bridge Acquisition, LLC, as a Purchaser</w:t>
        </w:r>
      </w:hyperlink>
    </w:p>
    <w:p>
      <w:pPr>
        <w:spacing w:after="0" w:line="9" w:lineRule="exact"/>
        <w:rPr>
          <w:sz w:val="20"/>
          <w:szCs w:val="20"/>
          <w:color w:val="auto"/>
        </w:rPr>
      </w:pPr>
    </w:p>
    <w:p>
      <w:pPr>
        <w:ind w:left="780" w:right="160" w:hanging="476"/>
        <w:spacing w:after="0" w:line="269" w:lineRule="auto"/>
        <w:tabs>
          <w:tab w:leader="none" w:pos="760" w:val="left"/>
        </w:tabs>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auto"/>
        </w:rPr>
        <w:t>2.5^</w:t>
      </w:r>
      <w:r>
        <w:rPr>
          <w:sz w:val="20"/>
          <w:szCs w:val="20"/>
          <w:color w:val="auto"/>
        </w:rPr>
        <w:tab/>
      </w:r>
      <w:hyperlink r:id="rId234">
        <w:r>
          <w:rPr>
            <w:rFonts w:ascii="Times New Roman" w:cs="Times New Roman" w:eastAsia="Times New Roman" w:hAnsi="Times New Roman"/>
            <w:sz w:val="16"/>
            <w:szCs w:val="16"/>
            <w:u w:val="single" w:color="auto"/>
            <w:color w:val="0000FF"/>
          </w:rPr>
          <w:t>Agreement and Plan of Merger dated as of December 6, 2022, by and among the</w:t>
        </w:r>
      </w:hyperlink>
      <w:r>
        <w:rPr>
          <w:rFonts w:ascii="Times New Roman" w:cs="Times New Roman" w:eastAsia="Times New Roman" w:hAnsi="Times New Roman"/>
          <w:sz w:val="16"/>
          <w:szCs w:val="16"/>
          <w:u w:val="single" w:color="auto"/>
          <w:color w:val="0000FF"/>
        </w:rPr>
        <w:t xml:space="preserve"> </w:t>
      </w:r>
      <w:hyperlink r:id="rId234">
        <w:r>
          <w:rPr>
            <w:rFonts w:ascii="Times New Roman" w:cs="Times New Roman" w:eastAsia="Times New Roman" w:hAnsi="Times New Roman"/>
            <w:sz w:val="16"/>
            <w:szCs w:val="16"/>
            <w:u w:val="single" w:color="auto"/>
            <w:color w:val="0000FF"/>
          </w:rPr>
          <w:t>Company, Merger Sub and Vivint</w:t>
        </w:r>
        <w:r>
          <w:rPr>
            <w:rFonts w:ascii="Times New Roman" w:cs="Times New Roman" w:eastAsia="Times New Roman" w:hAnsi="Times New Roman"/>
            <w:sz w:val="16"/>
            <w:szCs w:val="16"/>
            <w:color w:val="000000"/>
          </w:rPr>
          <w:t>.</w:t>
        </w:r>
      </w:hyperlink>
    </w:p>
    <w:p>
      <w:pPr>
        <w:spacing w:after="0" w:line="9" w:lineRule="exact"/>
        <w:rPr>
          <w:sz w:val="20"/>
          <w:szCs w:val="20"/>
          <w:color w:val="auto"/>
        </w:rPr>
      </w:pPr>
    </w:p>
    <w:p>
      <w:pPr>
        <w:ind w:left="780" w:right="160" w:hanging="402"/>
        <w:spacing w:after="0" w:line="227" w:lineRule="auto"/>
        <w:tabs>
          <w:tab w:leader="none" w:pos="7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2.6</w:t>
      </w:r>
      <w:r>
        <w:rPr>
          <w:sz w:val="20"/>
          <w:szCs w:val="20"/>
          <w:color w:val="auto"/>
        </w:rPr>
        <w:tab/>
      </w:r>
      <w:hyperlink r:id="rId235">
        <w:r>
          <w:rPr>
            <w:rFonts w:ascii="Times New Roman" w:cs="Times New Roman" w:eastAsia="Times New Roman" w:hAnsi="Times New Roman"/>
            <w:sz w:val="16"/>
            <w:szCs w:val="16"/>
            <w:u w:val="single" w:color="auto"/>
            <w:color w:val="0000FF"/>
          </w:rPr>
          <w:t>Equity Purchase Agreement, dated May 31, 2023 by and among Constellation</w:t>
        </w:r>
      </w:hyperlink>
      <w:r>
        <w:rPr>
          <w:rFonts w:ascii="Times New Roman" w:cs="Times New Roman" w:eastAsia="Times New Roman" w:hAnsi="Times New Roman"/>
          <w:sz w:val="16"/>
          <w:szCs w:val="16"/>
          <w:u w:val="single" w:color="auto"/>
          <w:color w:val="0000FF"/>
        </w:rPr>
        <w:t xml:space="preserve"> </w:t>
      </w:r>
      <w:hyperlink r:id="rId235">
        <w:r>
          <w:rPr>
            <w:rFonts w:ascii="Times New Roman" w:cs="Times New Roman" w:eastAsia="Times New Roman" w:hAnsi="Times New Roman"/>
            <w:sz w:val="16"/>
            <w:szCs w:val="16"/>
            <w:u w:val="single" w:color="auto"/>
            <w:color w:val="0000FF"/>
          </w:rPr>
          <w:t>Energy Generation, LLC, as Buyer and Texas Genco GP, LLC, Texas Genco LP,</w:t>
        </w:r>
      </w:hyperlink>
      <w:r>
        <w:rPr>
          <w:rFonts w:ascii="Times New Roman" w:cs="Times New Roman" w:eastAsia="Times New Roman" w:hAnsi="Times New Roman"/>
          <w:sz w:val="16"/>
          <w:szCs w:val="16"/>
          <w:u w:val="single" w:color="auto"/>
          <w:color w:val="0000FF"/>
        </w:rPr>
        <w:t xml:space="preserve"> </w:t>
      </w:r>
      <w:hyperlink r:id="rId235">
        <w:r>
          <w:rPr>
            <w:rFonts w:ascii="Times New Roman" w:cs="Times New Roman" w:eastAsia="Times New Roman" w:hAnsi="Times New Roman"/>
            <w:sz w:val="16"/>
            <w:szCs w:val="16"/>
            <w:u w:val="single" w:color="auto"/>
            <w:color w:val="0000FF"/>
          </w:rPr>
          <w:t>LLC, together, Seller.</w:t>
        </w:r>
      </w:hyperlink>
    </w:p>
    <w:p>
      <w:pPr>
        <w:spacing w:after="0" w:line="4" w:lineRule="exact"/>
        <w:rPr>
          <w:rFonts w:ascii="Times New Roman" w:cs="Times New Roman" w:eastAsia="Times New Roman" w:hAnsi="Times New Roman"/>
          <w:sz w:val="16"/>
          <w:szCs w:val="16"/>
          <w:u w:val="single" w:color="auto"/>
          <w:color w:val="0000FF"/>
        </w:rPr>
      </w:pPr>
    </w:p>
    <w:p>
      <w:pPr>
        <w:ind w:left="780" w:right="40" w:hanging="402"/>
        <w:spacing w:after="0" w:line="227" w:lineRule="auto"/>
        <w:tabs>
          <w:tab w:leader="none" w:pos="7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2.7</w:t>
      </w:r>
      <w:r>
        <w:rPr>
          <w:sz w:val="20"/>
          <w:szCs w:val="20"/>
          <w:color w:val="auto"/>
        </w:rPr>
        <w:tab/>
      </w:r>
      <w:hyperlink r:id="rId236">
        <w:r>
          <w:rPr>
            <w:rFonts w:ascii="Times New Roman" w:cs="Times New Roman" w:eastAsia="Times New Roman" w:hAnsi="Times New Roman"/>
            <w:sz w:val="16"/>
            <w:szCs w:val="16"/>
            <w:u w:val="single" w:color="auto"/>
            <w:color w:val="0000FF"/>
          </w:rPr>
          <w:t>Amendment No.1 to Equity Purchase Agreement dated September 29, 2023 by</w:t>
        </w:r>
      </w:hyperlink>
      <w:r>
        <w:rPr>
          <w:rFonts w:ascii="Times New Roman" w:cs="Times New Roman" w:eastAsia="Times New Roman" w:hAnsi="Times New Roman"/>
          <w:sz w:val="16"/>
          <w:szCs w:val="16"/>
          <w:u w:val="single" w:color="auto"/>
          <w:color w:val="0000FF"/>
        </w:rPr>
        <w:t xml:space="preserve"> </w:t>
      </w:r>
      <w:hyperlink r:id="rId236">
        <w:r>
          <w:rPr>
            <w:rFonts w:ascii="Times New Roman" w:cs="Times New Roman" w:eastAsia="Times New Roman" w:hAnsi="Times New Roman"/>
            <w:sz w:val="16"/>
            <w:szCs w:val="16"/>
            <w:u w:val="single" w:color="auto"/>
            <w:color w:val="0000FF"/>
          </w:rPr>
          <w:t>and among Constellation Energy Generation, LLC. as Buyer and Texas Genco GP,</w:t>
        </w:r>
      </w:hyperlink>
      <w:r>
        <w:rPr>
          <w:rFonts w:ascii="Times New Roman" w:cs="Times New Roman" w:eastAsia="Times New Roman" w:hAnsi="Times New Roman"/>
          <w:sz w:val="16"/>
          <w:szCs w:val="16"/>
          <w:u w:val="single" w:color="auto"/>
          <w:color w:val="0000FF"/>
        </w:rPr>
        <w:t xml:space="preserve"> </w:t>
      </w:r>
      <w:hyperlink r:id="rId236">
        <w:r>
          <w:rPr>
            <w:rFonts w:ascii="Times New Roman" w:cs="Times New Roman" w:eastAsia="Times New Roman" w:hAnsi="Times New Roman"/>
            <w:sz w:val="16"/>
            <w:szCs w:val="16"/>
            <w:u w:val="single" w:color="auto"/>
            <w:color w:val="0000FF"/>
          </w:rPr>
          <w:t>LLC, together, Seller</w:t>
        </w:r>
      </w:hyperlink>
    </w:p>
    <w:p>
      <w:pPr>
        <w:spacing w:after="0" w:line="4" w:lineRule="exact"/>
        <w:rPr>
          <w:rFonts w:ascii="Times New Roman" w:cs="Times New Roman" w:eastAsia="Times New Roman" w:hAnsi="Times New Roman"/>
          <w:sz w:val="16"/>
          <w:szCs w:val="16"/>
          <w:u w:val="single" w:color="auto"/>
          <w:color w:val="0000FF"/>
        </w:rPr>
      </w:pPr>
    </w:p>
    <w:p>
      <w:pPr>
        <w:ind w:left="780" w:hanging="402"/>
        <w:spacing w:after="0" w:line="227" w:lineRule="auto"/>
        <w:tabs>
          <w:tab w:leader="none" w:pos="7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2.8</w:t>
      </w:r>
      <w:r>
        <w:rPr>
          <w:sz w:val="20"/>
          <w:szCs w:val="20"/>
          <w:color w:val="auto"/>
        </w:rPr>
        <w:tab/>
      </w:r>
      <w:hyperlink r:id="rId237">
        <w:r>
          <w:rPr>
            <w:rFonts w:ascii="Times New Roman" w:cs="Times New Roman" w:eastAsia="Times New Roman" w:hAnsi="Times New Roman"/>
            <w:sz w:val="16"/>
            <w:szCs w:val="16"/>
            <w:u w:val="single" w:color="auto"/>
            <w:color w:val="0000FF"/>
          </w:rPr>
          <w:t>Amendment No. 2 to Equity Purchase Agreement dated November 1, 2023 by and</w:t>
        </w:r>
      </w:hyperlink>
      <w:r>
        <w:rPr>
          <w:rFonts w:ascii="Times New Roman" w:cs="Times New Roman" w:eastAsia="Times New Roman" w:hAnsi="Times New Roman"/>
          <w:sz w:val="16"/>
          <w:szCs w:val="16"/>
          <w:u w:val="single" w:color="auto"/>
          <w:color w:val="0000FF"/>
        </w:rPr>
        <w:t xml:space="preserve"> </w:t>
      </w:r>
      <w:hyperlink r:id="rId237">
        <w:r>
          <w:rPr>
            <w:rFonts w:ascii="Times New Roman" w:cs="Times New Roman" w:eastAsia="Times New Roman" w:hAnsi="Times New Roman"/>
            <w:sz w:val="16"/>
            <w:szCs w:val="16"/>
            <w:u w:val="single" w:color="auto"/>
            <w:color w:val="0000FF"/>
          </w:rPr>
          <w:t>among Constellation Energy Generation, LLC. as Buyer and Texas Genco GP,</w:t>
        </w:r>
      </w:hyperlink>
      <w:r>
        <w:rPr>
          <w:rFonts w:ascii="Times New Roman" w:cs="Times New Roman" w:eastAsia="Times New Roman" w:hAnsi="Times New Roman"/>
          <w:sz w:val="16"/>
          <w:szCs w:val="16"/>
          <w:u w:val="single" w:color="auto"/>
          <w:color w:val="0000FF"/>
        </w:rPr>
        <w:t xml:space="preserve"> </w:t>
      </w:r>
      <w:hyperlink r:id="rId237">
        <w:r>
          <w:rPr>
            <w:rFonts w:ascii="Times New Roman" w:cs="Times New Roman" w:eastAsia="Times New Roman" w:hAnsi="Times New Roman"/>
            <w:sz w:val="16"/>
            <w:szCs w:val="16"/>
            <w:u w:val="single" w:color="auto"/>
            <w:color w:val="0000FF"/>
          </w:rPr>
          <w:t>LLC, together, Seller</w:t>
        </w:r>
      </w:hyperlink>
    </w:p>
    <w:p>
      <w:pPr>
        <w:spacing w:after="0" w:line="4" w:lineRule="exact"/>
        <w:rPr>
          <w:rFonts w:ascii="Times New Roman" w:cs="Times New Roman" w:eastAsia="Times New Roman" w:hAnsi="Times New Roman"/>
          <w:sz w:val="16"/>
          <w:szCs w:val="16"/>
          <w:u w:val="single" w:color="auto"/>
          <w:color w:val="0000FF"/>
        </w:rPr>
      </w:pPr>
    </w:p>
    <w:p>
      <w:pPr>
        <w:ind w:left="780" w:hanging="402"/>
        <w:spacing w:after="0" w:line="227" w:lineRule="auto"/>
        <w:tabs>
          <w:tab w:leader="none" w:pos="7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2.9</w:t>
      </w:r>
      <w:r>
        <w:rPr>
          <w:sz w:val="20"/>
          <w:szCs w:val="20"/>
          <w:color w:val="auto"/>
        </w:rPr>
        <w:tab/>
      </w:r>
      <w:hyperlink r:id="rId238">
        <w:r>
          <w:rPr>
            <w:rFonts w:ascii="Times New Roman" w:cs="Times New Roman" w:eastAsia="Times New Roman" w:hAnsi="Times New Roman"/>
            <w:sz w:val="16"/>
            <w:szCs w:val="16"/>
            <w:u w:val="single" w:color="auto"/>
            <w:color w:val="0000FF"/>
          </w:rPr>
          <w:t>Amendment No. 3 to Equity Purchase Agreement dated November 1, 2023 by and</w:t>
        </w:r>
      </w:hyperlink>
      <w:r>
        <w:rPr>
          <w:rFonts w:ascii="Times New Roman" w:cs="Times New Roman" w:eastAsia="Times New Roman" w:hAnsi="Times New Roman"/>
          <w:sz w:val="16"/>
          <w:szCs w:val="16"/>
          <w:u w:val="single" w:color="auto"/>
          <w:color w:val="0000FF"/>
        </w:rPr>
        <w:t xml:space="preserve"> </w:t>
      </w:r>
      <w:hyperlink r:id="rId238">
        <w:r>
          <w:rPr>
            <w:rFonts w:ascii="Times New Roman" w:cs="Times New Roman" w:eastAsia="Times New Roman" w:hAnsi="Times New Roman"/>
            <w:sz w:val="16"/>
            <w:szCs w:val="16"/>
            <w:u w:val="single" w:color="auto"/>
            <w:color w:val="0000FF"/>
          </w:rPr>
          <w:t>among Constellation Energy Generation, LLC. as Buyer and Texas Genco GP,</w:t>
        </w:r>
      </w:hyperlink>
      <w:r>
        <w:rPr>
          <w:rFonts w:ascii="Times New Roman" w:cs="Times New Roman" w:eastAsia="Times New Roman" w:hAnsi="Times New Roman"/>
          <w:sz w:val="16"/>
          <w:szCs w:val="16"/>
          <w:u w:val="single" w:color="auto"/>
          <w:color w:val="0000FF"/>
        </w:rPr>
        <w:t xml:space="preserve"> </w:t>
      </w:r>
      <w:hyperlink r:id="rId238">
        <w:r>
          <w:rPr>
            <w:rFonts w:ascii="Times New Roman" w:cs="Times New Roman" w:eastAsia="Times New Roman" w:hAnsi="Times New Roman"/>
            <w:sz w:val="16"/>
            <w:szCs w:val="16"/>
            <w:u w:val="single" w:color="auto"/>
            <w:color w:val="0000FF"/>
          </w:rPr>
          <w:t>LLC, together, Seller</w:t>
        </w:r>
      </w:hyperlink>
    </w:p>
    <w:p>
      <w:pPr>
        <w:spacing w:after="0" w:line="4" w:lineRule="exact"/>
        <w:rPr>
          <w:rFonts w:ascii="Times New Roman" w:cs="Times New Roman" w:eastAsia="Times New Roman" w:hAnsi="Times New Roman"/>
          <w:sz w:val="16"/>
          <w:szCs w:val="16"/>
          <w:u w:val="single" w:color="auto"/>
          <w:color w:val="0000FF"/>
        </w:rPr>
      </w:pPr>
    </w:p>
    <w:p>
      <w:pPr>
        <w:ind w:left="780" w:right="140" w:hanging="481"/>
        <w:spacing w:after="0" w:line="221" w:lineRule="auto"/>
        <w:tabs>
          <w:tab w:leader="none" w:pos="7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2.10</w:t>
      </w:r>
      <w:r>
        <w:rPr>
          <w:sz w:val="20"/>
          <w:szCs w:val="20"/>
          <w:color w:val="auto"/>
        </w:rPr>
        <w:tab/>
      </w:r>
      <w:hyperlink r:id="rId239">
        <w:r>
          <w:rPr>
            <w:rFonts w:ascii="Times New Roman" w:cs="Times New Roman" w:eastAsia="Times New Roman" w:hAnsi="Times New Roman"/>
            <w:sz w:val="16"/>
            <w:szCs w:val="16"/>
            <w:u w:val="single" w:color="auto"/>
            <w:color w:val="0000FF"/>
          </w:rPr>
          <w:t>Purchase and Sale Agreement, dated May 12, 2025, by and among NRG Energy,</w:t>
        </w:r>
      </w:hyperlink>
      <w:r>
        <w:rPr>
          <w:rFonts w:ascii="Times New Roman" w:cs="Times New Roman" w:eastAsia="Times New Roman" w:hAnsi="Times New Roman"/>
          <w:sz w:val="16"/>
          <w:szCs w:val="16"/>
          <w:u w:val="single" w:color="auto"/>
          <w:color w:val="0000FF"/>
        </w:rPr>
        <w:t xml:space="preserve"> </w:t>
      </w:r>
      <w:hyperlink r:id="rId239">
        <w:r>
          <w:rPr>
            <w:rFonts w:ascii="Times New Roman" w:cs="Times New Roman" w:eastAsia="Times New Roman" w:hAnsi="Times New Roman"/>
            <w:sz w:val="16"/>
            <w:szCs w:val="16"/>
            <w:u w:val="single" w:color="auto"/>
            <w:color w:val="0000FF"/>
          </w:rPr>
          <w:t>Inc., the Buyer Entities (as defined therein), Lightning Power Holdings, LLC,</w:t>
        </w:r>
      </w:hyperlink>
      <w:r>
        <w:rPr>
          <w:rFonts w:ascii="Times New Roman" w:cs="Times New Roman" w:eastAsia="Times New Roman" w:hAnsi="Times New Roman"/>
          <w:sz w:val="16"/>
          <w:szCs w:val="16"/>
          <w:u w:val="single" w:color="auto"/>
          <w:color w:val="0000FF"/>
        </w:rPr>
        <w:t xml:space="preserve"> </w:t>
      </w:r>
      <w:hyperlink r:id="rId239">
        <w:r>
          <w:rPr>
            <w:rFonts w:ascii="Times New Roman" w:cs="Times New Roman" w:eastAsia="Times New Roman" w:hAnsi="Times New Roman"/>
            <w:sz w:val="16"/>
            <w:szCs w:val="16"/>
            <w:u w:val="single" w:color="auto"/>
            <w:color w:val="0000FF"/>
          </w:rPr>
          <w:t>Thunder Generation, LLC, CCS Power Holdings, LLC, and Linebacker Power</w:t>
        </w:r>
      </w:hyperlink>
      <w:r>
        <w:rPr>
          <w:rFonts w:ascii="Times New Roman" w:cs="Times New Roman" w:eastAsia="Times New Roman" w:hAnsi="Times New Roman"/>
          <w:sz w:val="16"/>
          <w:szCs w:val="16"/>
          <w:u w:val="single" w:color="auto"/>
          <w:color w:val="0000FF"/>
        </w:rPr>
        <w:t xml:space="preserve"> </w:t>
      </w:r>
      <w:hyperlink r:id="rId239">
        <w:r>
          <w:rPr>
            <w:rFonts w:ascii="Times New Roman" w:cs="Times New Roman" w:eastAsia="Times New Roman" w:hAnsi="Times New Roman"/>
            <w:sz w:val="16"/>
            <w:szCs w:val="16"/>
            <w:u w:val="single" w:color="auto"/>
            <w:color w:val="0000FF"/>
          </w:rPr>
          <w:t>Development Funding, LLC**</w:t>
        </w:r>
      </w:hyperlink>
    </w:p>
    <w:p>
      <w:pPr>
        <w:spacing w:after="0" w:line="7" w:lineRule="exact"/>
        <w:rPr>
          <w:rFonts w:ascii="Times New Roman" w:cs="Times New Roman" w:eastAsia="Times New Roman" w:hAnsi="Times New Roman"/>
          <w:sz w:val="16"/>
          <w:szCs w:val="16"/>
          <w:u w:val="single" w:color="auto"/>
          <w:color w:val="0000FF"/>
        </w:rPr>
      </w:pPr>
    </w:p>
    <w:p>
      <w:pPr>
        <w:ind w:left="380"/>
        <w:spacing w:after="0"/>
        <w:tabs>
          <w:tab w:leader="none" w:pos="760" w:val="left"/>
        </w:tabs>
        <w:rPr>
          <w:rFonts w:ascii="Times New Roman" w:cs="Times New Roman" w:eastAsia="Times New Roman" w:hAnsi="Times New Roman"/>
          <w:sz w:val="15"/>
          <w:szCs w:val="15"/>
          <w:u w:val="single" w:color="auto"/>
          <w:color w:val="0000FF"/>
        </w:rPr>
      </w:pPr>
      <w:r>
        <w:rPr>
          <w:rFonts w:ascii="Times New Roman" w:cs="Times New Roman" w:eastAsia="Times New Roman" w:hAnsi="Times New Roman"/>
          <w:sz w:val="16"/>
          <w:szCs w:val="16"/>
          <w:color w:val="auto"/>
        </w:rPr>
        <w:t>3.1</w:t>
      </w:r>
      <w:r>
        <w:rPr>
          <w:sz w:val="20"/>
          <w:szCs w:val="20"/>
          <w:color w:val="auto"/>
        </w:rPr>
        <w:tab/>
      </w:r>
      <w:hyperlink r:id="rId240">
        <w:r>
          <w:rPr>
            <w:rFonts w:ascii="Times New Roman" w:cs="Times New Roman" w:eastAsia="Times New Roman" w:hAnsi="Times New Roman"/>
            <w:sz w:val="15"/>
            <w:szCs w:val="15"/>
            <w:u w:val="single" w:color="auto"/>
            <w:color w:val="0000FF"/>
          </w:rPr>
          <w:t>Amended and Restated Certificate of Incorporation, dated May 1, 2025</w:t>
        </w:r>
      </w:hyperlink>
    </w:p>
    <w:p>
      <w:pPr>
        <w:spacing w:after="0" w:line="184" w:lineRule="exact"/>
        <w:rPr>
          <w:rFonts w:ascii="Times New Roman" w:cs="Times New Roman" w:eastAsia="Times New Roman" w:hAnsi="Times New Roman"/>
          <w:sz w:val="16"/>
          <w:szCs w:val="16"/>
          <w:u w:val="single" w:color="auto"/>
          <w:color w:val="0000FF"/>
        </w:rPr>
      </w:pPr>
    </w:p>
    <w:p>
      <w:pPr>
        <w:ind w:left="380"/>
        <w:spacing w:after="0"/>
        <w:tabs>
          <w:tab w:leader="none" w:pos="760" w:val="left"/>
        </w:tabs>
        <w:rPr>
          <w:rFonts w:ascii="Times New Roman" w:cs="Times New Roman" w:eastAsia="Times New Roman" w:hAnsi="Times New Roman"/>
          <w:sz w:val="15"/>
          <w:szCs w:val="15"/>
          <w:u w:val="single" w:color="auto"/>
          <w:color w:val="0000FF"/>
        </w:rPr>
      </w:pPr>
      <w:r>
        <w:rPr>
          <w:rFonts w:ascii="Times New Roman" w:cs="Times New Roman" w:eastAsia="Times New Roman" w:hAnsi="Times New Roman"/>
          <w:sz w:val="16"/>
          <w:szCs w:val="16"/>
          <w:color w:val="auto"/>
        </w:rPr>
        <w:t>3.2</w:t>
      </w:r>
      <w:r>
        <w:rPr>
          <w:sz w:val="20"/>
          <w:szCs w:val="20"/>
          <w:color w:val="auto"/>
        </w:rPr>
        <w:tab/>
      </w:r>
      <w:hyperlink r:id="rId241">
        <w:r>
          <w:rPr>
            <w:rFonts w:ascii="Times New Roman" w:cs="Times New Roman" w:eastAsia="Times New Roman" w:hAnsi="Times New Roman"/>
            <w:sz w:val="15"/>
            <w:szCs w:val="15"/>
            <w:u w:val="single" w:color="auto"/>
            <w:color w:val="0000FF"/>
          </w:rPr>
          <w:t>Sixth Amended and Restated By-Laws.</w:t>
        </w:r>
      </w:hyperlink>
    </w:p>
    <w:p>
      <w:pPr>
        <w:spacing w:after="0" w:line="184" w:lineRule="exact"/>
        <w:rPr>
          <w:rFonts w:ascii="Times New Roman" w:cs="Times New Roman" w:eastAsia="Times New Roman" w:hAnsi="Times New Roman"/>
          <w:sz w:val="16"/>
          <w:szCs w:val="16"/>
          <w:u w:val="single" w:color="auto"/>
          <w:color w:val="0000FF"/>
        </w:rPr>
      </w:pPr>
    </w:p>
    <w:p>
      <w:pPr>
        <w:ind w:left="780" w:right="80" w:hanging="402"/>
        <w:spacing w:after="0" w:line="237" w:lineRule="auto"/>
        <w:tabs>
          <w:tab w:leader="none" w:pos="7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3.3</w:t>
      </w:r>
      <w:r>
        <w:rPr>
          <w:sz w:val="20"/>
          <w:szCs w:val="20"/>
          <w:color w:val="auto"/>
        </w:rPr>
        <w:tab/>
      </w:r>
      <w:hyperlink r:id="rId242">
        <w:r>
          <w:rPr>
            <w:rFonts w:ascii="Times New Roman" w:cs="Times New Roman" w:eastAsia="Times New Roman" w:hAnsi="Times New Roman"/>
            <w:sz w:val="16"/>
            <w:szCs w:val="16"/>
            <w:u w:val="single" w:color="auto"/>
            <w:color w:val="0000FF"/>
          </w:rPr>
          <w:t>Series A Preferred Stock Certificate of Designation filed with the Secretary of the</w:t>
        </w:r>
      </w:hyperlink>
      <w:r>
        <w:rPr>
          <w:rFonts w:ascii="Times New Roman" w:cs="Times New Roman" w:eastAsia="Times New Roman" w:hAnsi="Times New Roman"/>
          <w:sz w:val="16"/>
          <w:szCs w:val="16"/>
          <w:u w:val="single" w:color="auto"/>
          <w:color w:val="0000FF"/>
        </w:rPr>
        <w:t xml:space="preserve"> </w:t>
      </w:r>
      <w:hyperlink r:id="rId242">
        <w:r>
          <w:rPr>
            <w:rFonts w:ascii="Times New Roman" w:cs="Times New Roman" w:eastAsia="Times New Roman" w:hAnsi="Times New Roman"/>
            <w:sz w:val="16"/>
            <w:szCs w:val="16"/>
            <w:u w:val="single" w:color="auto"/>
            <w:color w:val="0000FF"/>
          </w:rPr>
          <w:t>State of Delaware on March 9, 2023.</w:t>
        </w:r>
      </w:hyperlink>
    </w:p>
    <w:p>
      <w:pPr>
        <w:spacing w:after="0" w:line="5" w:lineRule="exact"/>
        <w:rPr>
          <w:sz w:val="20"/>
          <w:szCs w:val="20"/>
          <w:color w:val="auto"/>
        </w:rPr>
      </w:pPr>
    </w:p>
    <w:p>
      <w:pPr>
        <w:ind w:left="320"/>
        <w:spacing w:after="0"/>
        <w:tabs>
          <w:tab w:leader="none" w:pos="760" w:val="left"/>
        </w:tabs>
        <w:rPr>
          <w:rFonts w:ascii="Times New Roman" w:cs="Times New Roman" w:eastAsia="Times New Roman" w:hAnsi="Times New Roman"/>
          <w:sz w:val="15"/>
          <w:szCs w:val="15"/>
          <w:u w:val="single" w:color="auto"/>
          <w:color w:val="0000FF"/>
        </w:rPr>
      </w:pPr>
      <w:r>
        <w:rPr>
          <w:rFonts w:ascii="Times New Roman" w:cs="Times New Roman" w:eastAsia="Times New Roman" w:hAnsi="Times New Roman"/>
          <w:sz w:val="16"/>
          <w:szCs w:val="16"/>
          <w:color w:val="auto"/>
        </w:rPr>
        <w:t>4.1</w:t>
      </w:r>
      <w:r>
        <w:rPr>
          <w:sz w:val="20"/>
          <w:szCs w:val="20"/>
          <w:color w:val="auto"/>
        </w:rPr>
        <w:tab/>
      </w:r>
      <w:hyperlink r:id="rId243">
        <w:r>
          <w:rPr>
            <w:rFonts w:ascii="Times New Roman" w:cs="Times New Roman" w:eastAsia="Times New Roman" w:hAnsi="Times New Roman"/>
            <w:sz w:val="15"/>
            <w:szCs w:val="15"/>
            <w:u w:val="single" w:color="auto"/>
            <w:color w:val="0000FF"/>
          </w:rPr>
          <w:t>Specimen of Certificate representing common stock of NRG Energy, Inc.</w:t>
        </w:r>
      </w:hyperlink>
    </w:p>
    <w:p>
      <w:pPr>
        <w:spacing w:after="0" w:line="184" w:lineRule="exact"/>
        <w:rPr>
          <w:sz w:val="20"/>
          <w:szCs w:val="20"/>
          <w:color w:val="auto"/>
        </w:rPr>
      </w:pPr>
    </w:p>
    <w:p>
      <w:pPr>
        <w:ind w:left="780" w:right="20" w:hanging="451"/>
        <w:spacing w:after="0" w:line="238" w:lineRule="auto"/>
        <w:tabs>
          <w:tab w:leader="none" w:pos="7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4.2</w:t>
      </w:r>
      <w:r>
        <w:rPr>
          <w:sz w:val="20"/>
          <w:szCs w:val="20"/>
          <w:color w:val="auto"/>
        </w:rPr>
        <w:tab/>
      </w:r>
      <w:hyperlink r:id="rId244">
        <w:r>
          <w:rPr>
            <w:rFonts w:ascii="Times New Roman" w:cs="Times New Roman" w:eastAsia="Times New Roman" w:hAnsi="Times New Roman"/>
            <w:sz w:val="16"/>
            <w:szCs w:val="16"/>
            <w:u w:val="single" w:color="auto"/>
            <w:color w:val="0000FF"/>
          </w:rPr>
          <w:t>Base Indenture, dated May 23, 2016, between NRG Energy, Inc. and Delaware</w:t>
        </w:r>
      </w:hyperlink>
      <w:r>
        <w:rPr>
          <w:rFonts w:ascii="Times New Roman" w:cs="Times New Roman" w:eastAsia="Times New Roman" w:hAnsi="Times New Roman"/>
          <w:sz w:val="16"/>
          <w:szCs w:val="16"/>
          <w:u w:val="single" w:color="auto"/>
          <w:color w:val="0000FF"/>
        </w:rPr>
        <w:t xml:space="preserve"> </w:t>
      </w:r>
      <w:hyperlink r:id="rId244">
        <w:r>
          <w:rPr>
            <w:rFonts w:ascii="Times New Roman" w:cs="Times New Roman" w:eastAsia="Times New Roman" w:hAnsi="Times New Roman"/>
            <w:sz w:val="16"/>
            <w:szCs w:val="16"/>
            <w:u w:val="single" w:color="auto"/>
            <w:color w:val="0000FF"/>
          </w:rPr>
          <w:t>Trust Company (as successor in interest to Law Debenture Trust Company of New</w:t>
        </w:r>
      </w:hyperlink>
      <w:r>
        <w:rPr>
          <w:rFonts w:ascii="Times New Roman" w:cs="Times New Roman" w:eastAsia="Times New Roman" w:hAnsi="Times New Roman"/>
          <w:sz w:val="16"/>
          <w:szCs w:val="16"/>
          <w:u w:val="single" w:color="auto"/>
          <w:color w:val="0000FF"/>
        </w:rPr>
        <w:t xml:space="preserve"> </w:t>
      </w:r>
      <w:hyperlink r:id="rId244">
        <w:r>
          <w:rPr>
            <w:rFonts w:ascii="Times New Roman" w:cs="Times New Roman" w:eastAsia="Times New Roman" w:hAnsi="Times New Roman"/>
            <w:sz w:val="16"/>
            <w:szCs w:val="16"/>
            <w:u w:val="single" w:color="auto"/>
            <w:color w:val="0000FF"/>
          </w:rPr>
          <w:t>York), as trustee.</w:t>
        </w:r>
      </w:hyperlink>
    </w:p>
    <w:p>
      <w:pPr>
        <w:spacing w:after="0" w:line="5" w:lineRule="exact"/>
        <w:rPr>
          <w:rFonts w:ascii="Times New Roman" w:cs="Times New Roman" w:eastAsia="Times New Roman" w:hAnsi="Times New Roman"/>
          <w:sz w:val="16"/>
          <w:szCs w:val="16"/>
          <w:u w:val="single" w:color="auto"/>
          <w:color w:val="0000FF"/>
        </w:rPr>
      </w:pPr>
    </w:p>
    <w:p>
      <w:pPr>
        <w:ind w:left="780" w:right="240" w:hanging="402"/>
        <w:spacing w:after="0" w:line="227" w:lineRule="auto"/>
        <w:tabs>
          <w:tab w:leader="none" w:pos="7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4.3</w:t>
      </w:r>
      <w:r>
        <w:rPr>
          <w:sz w:val="20"/>
          <w:szCs w:val="20"/>
          <w:color w:val="auto"/>
        </w:rPr>
        <w:tab/>
      </w:r>
      <w:hyperlink r:id="rId245">
        <w:r>
          <w:rPr>
            <w:rFonts w:ascii="Times New Roman" w:cs="Times New Roman" w:eastAsia="Times New Roman" w:hAnsi="Times New Roman"/>
            <w:sz w:val="16"/>
            <w:szCs w:val="16"/>
            <w:u w:val="single" w:color="auto"/>
            <w:color w:val="0000FF"/>
          </w:rPr>
          <w:t>Fourth Supplemental Indenture, dated December 7, 2017, among NRG Energy,</w:t>
        </w:r>
      </w:hyperlink>
      <w:r>
        <w:rPr>
          <w:rFonts w:ascii="Times New Roman" w:cs="Times New Roman" w:eastAsia="Times New Roman" w:hAnsi="Times New Roman"/>
          <w:sz w:val="16"/>
          <w:szCs w:val="16"/>
          <w:u w:val="single" w:color="auto"/>
          <w:color w:val="0000FF"/>
        </w:rPr>
        <w:t xml:space="preserve"> </w:t>
      </w:r>
      <w:hyperlink r:id="rId245">
        <w:r>
          <w:rPr>
            <w:rFonts w:ascii="Times New Roman" w:cs="Times New Roman" w:eastAsia="Times New Roman" w:hAnsi="Times New Roman"/>
            <w:sz w:val="16"/>
            <w:szCs w:val="16"/>
            <w:u w:val="single" w:color="auto"/>
            <w:color w:val="0000FF"/>
          </w:rPr>
          <w:t>Inc., the guarantors named therein and Delaware Trust Company, as trustee,</w:t>
        </w:r>
      </w:hyperlink>
      <w:r>
        <w:rPr>
          <w:rFonts w:ascii="Times New Roman" w:cs="Times New Roman" w:eastAsia="Times New Roman" w:hAnsi="Times New Roman"/>
          <w:sz w:val="16"/>
          <w:szCs w:val="16"/>
          <w:u w:val="single" w:color="auto"/>
          <w:color w:val="0000FF"/>
        </w:rPr>
        <w:t xml:space="preserve"> </w:t>
      </w:r>
      <w:hyperlink r:id="rId245">
        <w:r>
          <w:rPr>
            <w:rFonts w:ascii="Times New Roman" w:cs="Times New Roman" w:eastAsia="Times New Roman" w:hAnsi="Times New Roman"/>
            <w:sz w:val="16"/>
            <w:szCs w:val="16"/>
            <w:u w:val="single" w:color="auto"/>
            <w:color w:val="0000FF"/>
          </w:rPr>
          <w:t>containing Form of 5.750% Senior Notes due 2028.</w:t>
        </w:r>
      </w:hyperlink>
    </w:p>
    <w:p>
      <w:pPr>
        <w:spacing w:after="0" w:line="4" w:lineRule="exact"/>
        <w:rPr>
          <w:rFonts w:ascii="Times New Roman" w:cs="Times New Roman" w:eastAsia="Times New Roman" w:hAnsi="Times New Roman"/>
          <w:sz w:val="16"/>
          <w:szCs w:val="16"/>
          <w:u w:val="single" w:color="auto"/>
          <w:color w:val="0000FF"/>
        </w:rPr>
      </w:pPr>
    </w:p>
    <w:p>
      <w:pPr>
        <w:ind w:left="780" w:right="80" w:hanging="451"/>
        <w:spacing w:after="0" w:line="238" w:lineRule="auto"/>
        <w:tabs>
          <w:tab w:leader="none" w:pos="7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4.4</w:t>
      </w:r>
      <w:r>
        <w:rPr>
          <w:sz w:val="20"/>
          <w:szCs w:val="20"/>
          <w:color w:val="auto"/>
        </w:rPr>
        <w:tab/>
      </w:r>
      <w:hyperlink r:id="rId246">
        <w:r>
          <w:rPr>
            <w:rFonts w:ascii="Times New Roman" w:cs="Times New Roman" w:eastAsia="Times New Roman" w:hAnsi="Times New Roman"/>
            <w:sz w:val="16"/>
            <w:szCs w:val="16"/>
            <w:u w:val="single" w:color="auto"/>
            <w:color w:val="0000FF"/>
          </w:rPr>
          <w:t>Fifth Supplemental Indenture, dated May 14, 2019, among NRG Energy, Inc., the</w:t>
        </w:r>
      </w:hyperlink>
      <w:r>
        <w:rPr>
          <w:rFonts w:ascii="Times New Roman" w:cs="Times New Roman" w:eastAsia="Times New Roman" w:hAnsi="Times New Roman"/>
          <w:sz w:val="16"/>
          <w:szCs w:val="16"/>
          <w:u w:val="single" w:color="auto"/>
          <w:color w:val="0000FF"/>
        </w:rPr>
        <w:t xml:space="preserve"> </w:t>
      </w:r>
      <w:hyperlink r:id="rId246">
        <w:r>
          <w:rPr>
            <w:rFonts w:ascii="Times New Roman" w:cs="Times New Roman" w:eastAsia="Times New Roman" w:hAnsi="Times New Roman"/>
            <w:sz w:val="16"/>
            <w:szCs w:val="16"/>
            <w:u w:val="single" w:color="auto"/>
            <w:color w:val="0000FF"/>
          </w:rPr>
          <w:t>guarantors named therein and Delaware Trust Company, as trustee, containing</w:t>
        </w:r>
      </w:hyperlink>
      <w:r>
        <w:rPr>
          <w:rFonts w:ascii="Times New Roman" w:cs="Times New Roman" w:eastAsia="Times New Roman" w:hAnsi="Times New Roman"/>
          <w:sz w:val="16"/>
          <w:szCs w:val="16"/>
          <w:u w:val="single" w:color="auto"/>
          <w:color w:val="0000FF"/>
        </w:rPr>
        <w:t xml:space="preserve"> </w:t>
      </w:r>
      <w:hyperlink r:id="rId246">
        <w:r>
          <w:rPr>
            <w:rFonts w:ascii="Times New Roman" w:cs="Times New Roman" w:eastAsia="Times New Roman" w:hAnsi="Times New Roman"/>
            <w:sz w:val="16"/>
            <w:szCs w:val="16"/>
            <w:u w:val="single" w:color="auto"/>
            <w:color w:val="0000FF"/>
          </w:rPr>
          <w:t>Form of 5.250% Senior Notes due 2029.</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br w:type="column"/>
      </w:r>
    </w:p>
    <w:p>
      <w:pPr>
        <w:spacing w:after="0" w:line="234"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b w:val="1"/>
          <w:bCs w:val="1"/>
          <w:color w:val="auto"/>
        </w:rPr>
        <w:t>Method of Filing</w:t>
      </w:r>
    </w:p>
    <w:p>
      <w:pPr>
        <w:spacing w:after="0" w:line="29" w:lineRule="exact"/>
        <w:rPr>
          <w:rFonts w:ascii="Times New Roman" w:cs="Times New Roman" w:eastAsia="Times New Roman" w:hAnsi="Times New Roman"/>
          <w:sz w:val="16"/>
          <w:szCs w:val="16"/>
          <w:u w:val="single" w:color="auto"/>
          <w:color w:val="0000FF"/>
        </w:rPr>
      </w:pPr>
    </w:p>
    <w:p>
      <w:pPr>
        <w:ind w:right="80"/>
        <w:spacing w:after="0" w:line="256" w:lineRule="auto"/>
        <w:rPr>
          <w:sz w:val="20"/>
          <w:szCs w:val="20"/>
          <w:color w:val="auto"/>
        </w:rPr>
      </w:pPr>
      <w:r>
        <w:rPr>
          <w:rFonts w:ascii="Times New Roman" w:cs="Times New Roman" w:eastAsia="Times New Roman" w:hAnsi="Times New Roman"/>
          <w:sz w:val="15"/>
          <w:szCs w:val="15"/>
          <w:color w:val="auto"/>
        </w:rPr>
        <w:t>Incorporated herein by reference to Exhibit 2.1 to the Registrant's current report on Form 8-K filed on December 18, 2017.</w:t>
      </w:r>
    </w:p>
    <w:p>
      <w:pPr>
        <w:ind w:right="80"/>
        <w:spacing w:after="0" w:line="267" w:lineRule="auto"/>
        <w:rPr>
          <w:sz w:val="20"/>
          <w:szCs w:val="20"/>
          <w:color w:val="auto"/>
        </w:rPr>
      </w:pPr>
      <w:r>
        <w:rPr>
          <w:rFonts w:ascii="Times New Roman" w:cs="Times New Roman" w:eastAsia="Times New Roman" w:hAnsi="Times New Roman"/>
          <w:sz w:val="15"/>
          <w:szCs w:val="15"/>
          <w:color w:val="auto"/>
        </w:rPr>
        <w:t>Incorporated herein by reference to Exhibit 2.9 to the Registrant's annual report on Form 10-K filed on March 1, 2018.</w:t>
      </w:r>
    </w:p>
    <w:p>
      <w:pPr>
        <w:spacing w:after="0" w:line="143" w:lineRule="exact"/>
        <w:rPr>
          <w:rFonts w:ascii="Times New Roman" w:cs="Times New Roman" w:eastAsia="Times New Roman" w:hAnsi="Times New Roman"/>
          <w:sz w:val="16"/>
          <w:szCs w:val="16"/>
          <w:u w:val="single" w:color="auto"/>
          <w:color w:val="0000FF"/>
        </w:rPr>
      </w:pPr>
    </w:p>
    <w:p>
      <w:pPr>
        <w:spacing w:after="0" w:line="237" w:lineRule="auto"/>
        <w:rPr>
          <w:sz w:val="20"/>
          <w:szCs w:val="20"/>
          <w:color w:val="auto"/>
        </w:rPr>
      </w:pPr>
      <w:r>
        <w:rPr>
          <w:rFonts w:ascii="Times New Roman" w:cs="Times New Roman" w:eastAsia="Times New Roman" w:hAnsi="Times New Roman"/>
          <w:sz w:val="16"/>
          <w:szCs w:val="16"/>
          <w:color w:val="auto"/>
        </w:rPr>
        <w:t>Incorporated herein by reference to Exhibit 2.10 to the Registrant's annual report on Form 10-K filed on March 1, 2018.</w:t>
      </w:r>
    </w:p>
    <w:p>
      <w:pPr>
        <w:spacing w:after="0" w:line="5" w:lineRule="exact"/>
        <w:rPr>
          <w:rFonts w:ascii="Times New Roman" w:cs="Times New Roman" w:eastAsia="Times New Roman" w:hAnsi="Times New Roman"/>
          <w:sz w:val="16"/>
          <w:szCs w:val="16"/>
          <w:u w:val="single" w:color="auto"/>
          <w:color w:val="0000FF"/>
        </w:rPr>
      </w:pPr>
    </w:p>
    <w:p>
      <w:pPr>
        <w:ind w:right="80"/>
        <w:spacing w:after="0" w:line="267" w:lineRule="auto"/>
        <w:rPr>
          <w:sz w:val="20"/>
          <w:szCs w:val="20"/>
          <w:color w:val="auto"/>
        </w:rPr>
      </w:pPr>
      <w:r>
        <w:rPr>
          <w:rFonts w:ascii="Times New Roman" w:cs="Times New Roman" w:eastAsia="Times New Roman" w:hAnsi="Times New Roman"/>
          <w:sz w:val="15"/>
          <w:szCs w:val="15"/>
          <w:color w:val="auto"/>
        </w:rPr>
        <w:t>Incorporated herein by reference to Exhibit 2.1 to the Registrant's quarterly report on Form 10-Q filed on May 6, 2021.</w:t>
      </w:r>
    </w:p>
    <w:p>
      <w:pPr>
        <w:spacing w:after="0" w:line="37" w:lineRule="exact"/>
        <w:rPr>
          <w:rFonts w:ascii="Times New Roman" w:cs="Times New Roman" w:eastAsia="Times New Roman" w:hAnsi="Times New Roman"/>
          <w:sz w:val="16"/>
          <w:szCs w:val="16"/>
          <w:u w:val="single" w:color="auto"/>
          <w:color w:val="0000FF"/>
        </w:rPr>
      </w:pPr>
    </w:p>
    <w:p>
      <w:pPr>
        <w:ind w:right="80"/>
        <w:spacing w:after="0" w:line="267" w:lineRule="auto"/>
        <w:rPr>
          <w:sz w:val="20"/>
          <w:szCs w:val="20"/>
          <w:color w:val="auto"/>
        </w:rPr>
      </w:pPr>
      <w:r>
        <w:rPr>
          <w:rFonts w:ascii="Times New Roman" w:cs="Times New Roman" w:eastAsia="Times New Roman" w:hAnsi="Times New Roman"/>
          <w:sz w:val="15"/>
          <w:szCs w:val="15"/>
          <w:color w:val="auto"/>
        </w:rPr>
        <w:t>Incorporated herein by reference to Exhibit 2.1 to the Registrant's Current Report on Form 8-K, filed on December 6, 2022.</w:t>
      </w:r>
    </w:p>
    <w:p>
      <w:pPr>
        <w:spacing w:after="0" w:line="195" w:lineRule="exact"/>
        <w:rPr>
          <w:rFonts w:ascii="Times New Roman" w:cs="Times New Roman" w:eastAsia="Times New Roman" w:hAnsi="Times New Roman"/>
          <w:sz w:val="16"/>
          <w:szCs w:val="16"/>
          <w:u w:val="single" w:color="auto"/>
          <w:color w:val="0000FF"/>
        </w:rPr>
      </w:pPr>
    </w:p>
    <w:p>
      <w:pPr>
        <w:ind w:right="80"/>
        <w:spacing w:after="0" w:line="237" w:lineRule="auto"/>
        <w:rPr>
          <w:sz w:val="20"/>
          <w:szCs w:val="20"/>
          <w:color w:val="auto"/>
        </w:rPr>
      </w:pPr>
      <w:r>
        <w:rPr>
          <w:rFonts w:ascii="Times New Roman" w:cs="Times New Roman" w:eastAsia="Times New Roman" w:hAnsi="Times New Roman"/>
          <w:sz w:val="16"/>
          <w:szCs w:val="16"/>
          <w:color w:val="auto"/>
        </w:rPr>
        <w:t>Incorporated herein by reference to Exhibit 2.1 to the Registrant's current report on Form 8-K filed on June 1, 2023.</w:t>
      </w:r>
    </w:p>
    <w:p>
      <w:pPr>
        <w:spacing w:after="0" w:line="5" w:lineRule="exact"/>
        <w:rPr>
          <w:rFonts w:ascii="Times New Roman" w:cs="Times New Roman" w:eastAsia="Times New Roman" w:hAnsi="Times New Roman"/>
          <w:sz w:val="16"/>
          <w:szCs w:val="16"/>
          <w:u w:val="single" w:color="auto"/>
          <w:color w:val="0000FF"/>
        </w:rPr>
      </w:pPr>
    </w:p>
    <w:p>
      <w:pPr>
        <w:ind w:right="80"/>
        <w:spacing w:after="0" w:line="267" w:lineRule="auto"/>
        <w:rPr>
          <w:sz w:val="20"/>
          <w:szCs w:val="20"/>
          <w:color w:val="auto"/>
        </w:rPr>
      </w:pPr>
      <w:r>
        <w:rPr>
          <w:rFonts w:ascii="Times New Roman" w:cs="Times New Roman" w:eastAsia="Times New Roman" w:hAnsi="Times New Roman"/>
          <w:sz w:val="15"/>
          <w:szCs w:val="15"/>
          <w:color w:val="auto"/>
        </w:rPr>
        <w:t>Incorporated herein by reference to Exhibit 2.7 to the Registrant's annual report on Form 10-K filed on February 28, 2024.</w:t>
      </w:r>
    </w:p>
    <w:p>
      <w:pPr>
        <w:spacing w:after="0" w:line="143" w:lineRule="exact"/>
        <w:rPr>
          <w:rFonts w:ascii="Times New Roman" w:cs="Times New Roman" w:eastAsia="Times New Roman" w:hAnsi="Times New Roman"/>
          <w:sz w:val="16"/>
          <w:szCs w:val="16"/>
          <w:u w:val="single" w:color="auto"/>
          <w:color w:val="0000FF"/>
        </w:rPr>
      </w:pPr>
    </w:p>
    <w:p>
      <w:pPr>
        <w:ind w:right="80"/>
        <w:spacing w:after="0" w:line="267" w:lineRule="auto"/>
        <w:rPr>
          <w:sz w:val="20"/>
          <w:szCs w:val="20"/>
          <w:color w:val="auto"/>
        </w:rPr>
      </w:pPr>
      <w:r>
        <w:rPr>
          <w:rFonts w:ascii="Times New Roman" w:cs="Times New Roman" w:eastAsia="Times New Roman" w:hAnsi="Times New Roman"/>
          <w:sz w:val="15"/>
          <w:szCs w:val="15"/>
          <w:color w:val="auto"/>
        </w:rPr>
        <w:t>Incorporated herein by reference to Exhibit 2.8 to the Registrant's annual report on Form 10-K filed on February 28, 2024.</w:t>
      </w:r>
    </w:p>
    <w:p>
      <w:pPr>
        <w:spacing w:after="0" w:line="143" w:lineRule="exact"/>
        <w:rPr>
          <w:rFonts w:ascii="Times New Roman" w:cs="Times New Roman" w:eastAsia="Times New Roman" w:hAnsi="Times New Roman"/>
          <w:sz w:val="16"/>
          <w:szCs w:val="16"/>
          <w:u w:val="single" w:color="auto"/>
          <w:color w:val="0000FF"/>
        </w:rPr>
      </w:pPr>
    </w:p>
    <w:p>
      <w:pPr>
        <w:ind w:right="80"/>
        <w:spacing w:after="0" w:line="267" w:lineRule="auto"/>
        <w:rPr>
          <w:sz w:val="20"/>
          <w:szCs w:val="20"/>
          <w:color w:val="auto"/>
        </w:rPr>
      </w:pPr>
      <w:r>
        <w:rPr>
          <w:rFonts w:ascii="Times New Roman" w:cs="Times New Roman" w:eastAsia="Times New Roman" w:hAnsi="Times New Roman"/>
          <w:sz w:val="15"/>
          <w:szCs w:val="15"/>
          <w:color w:val="auto"/>
        </w:rPr>
        <w:t>Incorporated herein by reference to Exhibit 2.9 to the Registrant's annual report on Form 10-K filed on February 28, 2024.</w:t>
      </w:r>
    </w:p>
    <w:p>
      <w:pPr>
        <w:spacing w:after="0" w:line="143" w:lineRule="exact"/>
        <w:rPr>
          <w:rFonts w:ascii="Times New Roman" w:cs="Times New Roman" w:eastAsia="Times New Roman" w:hAnsi="Times New Roman"/>
          <w:sz w:val="16"/>
          <w:szCs w:val="16"/>
          <w:u w:val="single" w:color="auto"/>
          <w:color w:val="0000FF"/>
        </w:rPr>
      </w:pPr>
    </w:p>
    <w:p>
      <w:pPr>
        <w:ind w:right="80"/>
        <w:spacing w:after="0" w:line="237" w:lineRule="auto"/>
        <w:rPr>
          <w:sz w:val="20"/>
          <w:szCs w:val="20"/>
          <w:color w:val="auto"/>
        </w:rPr>
      </w:pPr>
      <w:r>
        <w:rPr>
          <w:rFonts w:ascii="Times New Roman" w:cs="Times New Roman" w:eastAsia="Times New Roman" w:hAnsi="Times New Roman"/>
          <w:sz w:val="16"/>
          <w:szCs w:val="16"/>
          <w:color w:val="auto"/>
        </w:rPr>
        <w:t>Incorporated herein by reference to Exhibit 2.1 to the Registrant's current report on Form 8-K filed on May 16, 2025.</w:t>
      </w:r>
    </w:p>
    <w:p>
      <w:pPr>
        <w:spacing w:after="0" w:line="321" w:lineRule="exact"/>
        <w:rPr>
          <w:rFonts w:ascii="Times New Roman" w:cs="Times New Roman" w:eastAsia="Times New Roman" w:hAnsi="Times New Roman"/>
          <w:sz w:val="16"/>
          <w:szCs w:val="16"/>
          <w:u w:val="single" w:color="auto"/>
          <w:color w:val="0000FF"/>
        </w:rPr>
      </w:pPr>
    </w:p>
    <w:p>
      <w:pPr>
        <w:ind w:right="80"/>
        <w:spacing w:after="0" w:line="237" w:lineRule="auto"/>
        <w:rPr>
          <w:sz w:val="20"/>
          <w:szCs w:val="20"/>
          <w:color w:val="auto"/>
        </w:rPr>
      </w:pPr>
      <w:r>
        <w:rPr>
          <w:rFonts w:ascii="Times New Roman" w:cs="Times New Roman" w:eastAsia="Times New Roman" w:hAnsi="Times New Roman"/>
          <w:sz w:val="16"/>
          <w:szCs w:val="16"/>
          <w:color w:val="auto"/>
        </w:rPr>
        <w:t>Incorporated herein by reference to Exhibit 3.1 to the Registrant's current report on Form 8-K filed on May 12, 2025.</w:t>
      </w:r>
    </w:p>
    <w:p>
      <w:pPr>
        <w:spacing w:after="0" w:line="5" w:lineRule="exact"/>
        <w:rPr>
          <w:rFonts w:ascii="Times New Roman" w:cs="Times New Roman" w:eastAsia="Times New Roman" w:hAnsi="Times New Roman"/>
          <w:sz w:val="16"/>
          <w:szCs w:val="16"/>
          <w:u w:val="single" w:color="auto"/>
          <w:color w:val="0000FF"/>
        </w:rPr>
      </w:pPr>
    </w:p>
    <w:p>
      <w:pPr>
        <w:ind w:right="80"/>
        <w:spacing w:after="0" w:line="256" w:lineRule="auto"/>
        <w:rPr>
          <w:sz w:val="20"/>
          <w:szCs w:val="20"/>
          <w:color w:val="auto"/>
        </w:rPr>
      </w:pPr>
      <w:r>
        <w:rPr>
          <w:rFonts w:ascii="Times New Roman" w:cs="Times New Roman" w:eastAsia="Times New Roman" w:hAnsi="Times New Roman"/>
          <w:sz w:val="15"/>
          <w:szCs w:val="15"/>
          <w:color w:val="auto"/>
        </w:rPr>
        <w:t>Incorporated herein by reference to Exhibit 3.2 to the Registrant's current report on Form 8-K filed on December 2, 2022.</w:t>
      </w:r>
    </w:p>
    <w:p>
      <w:pPr>
        <w:ind w:right="80"/>
        <w:spacing w:after="0" w:line="256" w:lineRule="auto"/>
        <w:rPr>
          <w:sz w:val="20"/>
          <w:szCs w:val="20"/>
          <w:color w:val="auto"/>
        </w:rPr>
      </w:pPr>
      <w:r>
        <w:rPr>
          <w:rFonts w:ascii="Times New Roman" w:cs="Times New Roman" w:eastAsia="Times New Roman" w:hAnsi="Times New Roman"/>
          <w:sz w:val="15"/>
          <w:szCs w:val="15"/>
          <w:color w:val="auto"/>
        </w:rPr>
        <w:t>Incorporated herein by reference to Exhibit 3.1 to the Registrant's current report on Form 8-K filed on March 10, 2023.</w:t>
      </w:r>
    </w:p>
    <w:p>
      <w:pPr>
        <w:ind w:right="80"/>
        <w:spacing w:after="0" w:line="256" w:lineRule="auto"/>
        <w:rPr>
          <w:sz w:val="20"/>
          <w:szCs w:val="20"/>
          <w:color w:val="auto"/>
        </w:rPr>
      </w:pPr>
      <w:r>
        <w:rPr>
          <w:rFonts w:ascii="Times New Roman" w:cs="Times New Roman" w:eastAsia="Times New Roman" w:hAnsi="Times New Roman"/>
          <w:sz w:val="15"/>
          <w:szCs w:val="15"/>
          <w:color w:val="auto"/>
        </w:rPr>
        <w:t>Incorporated herein by reference to Exhibit 4.3 to the Registrant's quarterly report on Form 10-Q filed on August 4, 2006.</w:t>
      </w:r>
    </w:p>
    <w:p>
      <w:pPr>
        <w:ind w:right="80"/>
        <w:spacing w:after="0" w:line="237" w:lineRule="auto"/>
        <w:rPr>
          <w:sz w:val="20"/>
          <w:szCs w:val="20"/>
          <w:color w:val="auto"/>
        </w:rPr>
      </w:pPr>
      <w:r>
        <w:rPr>
          <w:rFonts w:ascii="Times New Roman" w:cs="Times New Roman" w:eastAsia="Times New Roman" w:hAnsi="Times New Roman"/>
          <w:sz w:val="16"/>
          <w:szCs w:val="16"/>
          <w:color w:val="auto"/>
        </w:rPr>
        <w:t>Incorporated herein by reference to Exhibit 4.1 to the Registrant's Current Report on Form 8-K filed on May 23, 2016.</w:t>
      </w:r>
    </w:p>
    <w:p>
      <w:pPr>
        <w:spacing w:after="0" w:line="189" w:lineRule="exact"/>
        <w:rPr>
          <w:rFonts w:ascii="Times New Roman" w:cs="Times New Roman" w:eastAsia="Times New Roman" w:hAnsi="Times New Roman"/>
          <w:sz w:val="16"/>
          <w:szCs w:val="16"/>
          <w:u w:val="single" w:color="auto"/>
          <w:color w:val="0000FF"/>
        </w:rPr>
      </w:pPr>
    </w:p>
    <w:p>
      <w:pPr>
        <w:ind w:right="80"/>
        <w:spacing w:after="0" w:line="267" w:lineRule="auto"/>
        <w:rPr>
          <w:sz w:val="20"/>
          <w:szCs w:val="20"/>
          <w:color w:val="auto"/>
        </w:rPr>
      </w:pPr>
      <w:r>
        <w:rPr>
          <w:rFonts w:ascii="Times New Roman" w:cs="Times New Roman" w:eastAsia="Times New Roman" w:hAnsi="Times New Roman"/>
          <w:sz w:val="15"/>
          <w:szCs w:val="15"/>
          <w:color w:val="auto"/>
        </w:rPr>
        <w:t>Incorporated herein by reference to Exhibit 4.2 to the Registrant's Current Report on Form 8-K, filed on December 8, 2017.</w:t>
      </w:r>
    </w:p>
    <w:p>
      <w:pPr>
        <w:spacing w:after="0" w:line="143" w:lineRule="exact"/>
        <w:rPr>
          <w:rFonts w:ascii="Times New Roman" w:cs="Times New Roman" w:eastAsia="Times New Roman" w:hAnsi="Times New Roman"/>
          <w:sz w:val="16"/>
          <w:szCs w:val="16"/>
          <w:u w:val="single" w:color="auto"/>
          <w:color w:val="0000FF"/>
        </w:rPr>
      </w:pPr>
    </w:p>
    <w:p>
      <w:pPr>
        <w:ind w:right="80"/>
        <w:spacing w:after="0" w:line="237" w:lineRule="auto"/>
        <w:rPr>
          <w:sz w:val="20"/>
          <w:szCs w:val="20"/>
          <w:color w:val="auto"/>
        </w:rPr>
      </w:pPr>
      <w:r>
        <w:rPr>
          <w:rFonts w:ascii="Times New Roman" w:cs="Times New Roman" w:eastAsia="Times New Roman" w:hAnsi="Times New Roman"/>
          <w:sz w:val="16"/>
          <w:szCs w:val="16"/>
          <w:color w:val="auto"/>
        </w:rPr>
        <w:t>Incorporated herein by reference to Exhibit 4.2 to the Registrant's Current Report on Form 8-K filed on May 16, 2019.</w:t>
      </w:r>
    </w:p>
    <w:p>
      <w:pPr>
        <w:spacing w:after="0" w:line="383" w:lineRule="exact"/>
        <w:rPr>
          <w:rFonts w:ascii="Times New Roman" w:cs="Times New Roman" w:eastAsia="Times New Roman" w:hAnsi="Times New Roman"/>
          <w:sz w:val="16"/>
          <w:szCs w:val="16"/>
          <w:u w:val="single" w:color="auto"/>
          <w:color w:val="0000FF"/>
        </w:rPr>
      </w:pPr>
    </w:p>
    <w:p>
      <w:pPr>
        <w:sectPr>
          <w:pgSz w:w="11900" w:h="16838" w:orient="portrait"/>
          <w:cols w:equalWidth="0" w:num="2">
            <w:col w:w="6020" w:space="260"/>
            <w:col w:w="4220"/>
          </w:cols>
          <w:pgMar w:left="620" w:top="869" w:right="779" w:bottom="1440" w:gutter="0" w:footer="0" w:header="0"/>
        </w:sectPr>
      </w:pPr>
    </w:p>
    <w:p>
      <w:pPr>
        <w:spacing w:after="0" w:line="200" w:lineRule="exact"/>
        <w:rPr>
          <w:rFonts w:ascii="Times New Roman" w:cs="Times New Roman" w:eastAsia="Times New Roman" w:hAnsi="Times New Roman"/>
          <w:sz w:val="16"/>
          <w:szCs w:val="16"/>
          <w:u w:val="single" w:color="auto"/>
          <w:color w:val="0000FF"/>
        </w:rPr>
      </w:pPr>
    </w:p>
    <w:p>
      <w:pPr>
        <w:spacing w:after="0" w:line="219" w:lineRule="exact"/>
        <w:rPr>
          <w:rFonts w:ascii="Times New Roman" w:cs="Times New Roman" w:eastAsia="Times New Roman" w:hAnsi="Times New Roman"/>
          <w:sz w:val="16"/>
          <w:szCs w:val="16"/>
          <w:u w:val="single" w:color="auto"/>
          <w:color w:val="0000FF"/>
        </w:rPr>
      </w:pPr>
    </w:p>
    <w:p>
      <w:pPr>
        <w:jc w:val="center"/>
        <w:ind w:right="-159"/>
        <w:spacing w:after="0"/>
        <w:rPr>
          <w:sz w:val="20"/>
          <w:szCs w:val="20"/>
          <w:color w:val="auto"/>
        </w:rPr>
      </w:pPr>
      <w:r>
        <w:rPr>
          <w:rFonts w:ascii="Times New Roman" w:cs="Times New Roman" w:eastAsia="Times New Roman" w:hAnsi="Times New Roman"/>
          <w:sz w:val="16"/>
          <w:szCs w:val="16"/>
          <w:color w:val="auto"/>
        </w:rPr>
        <w:t>162</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-199390</wp:posOffset>
            </wp:positionH>
            <wp:positionV relativeFrom="paragraph">
              <wp:posOffset>82550</wp:posOffset>
            </wp:positionV>
            <wp:extent cx="7160895" cy="41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500"/>
          </w:cols>
          <w:pgMar w:left="620" w:top="869" w:right="779" w:bottom="1440" w:gutter="0" w:footer="0" w:header="0"/>
          <w:type w:val="continuous"/>
        </w:sectPr>
      </w:pPr>
    </w:p>
    <w:bookmarkStart w:id="162" w:name="page163"/>
    <w:bookmarkEnd w:id="162"/>
    <w:p>
      <w:pPr>
        <w:ind w:hanging="451"/>
        <w:spacing w:after="0" w:line="237"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4.5</w:t>
      </w:r>
      <w:r>
        <w:rPr>
          <w:sz w:val="20"/>
          <w:szCs w:val="20"/>
          <w:color w:val="auto"/>
        </w:rPr>
        <w:t xml:space="preserve"> </w:t>
      </w:r>
      <w:hyperlink r:id="rId248">
        <w:r>
          <w:rPr>
            <w:rFonts w:ascii="Times New Roman" w:cs="Times New Roman" w:eastAsia="Times New Roman" w:hAnsi="Times New Roman"/>
            <w:sz w:val="16"/>
            <w:szCs w:val="16"/>
            <w:u w:val="single" w:color="auto"/>
            <w:color w:val="0000FF"/>
          </w:rPr>
          <w:t>Base Indenture, dated December 2, 2020, between NRG Energy, Inc. and Deutsche</w:t>
        </w:r>
      </w:hyperlink>
      <w:r>
        <w:rPr>
          <w:rFonts w:ascii="Times New Roman" w:cs="Times New Roman" w:eastAsia="Times New Roman" w:hAnsi="Times New Roman"/>
          <w:sz w:val="16"/>
          <w:szCs w:val="16"/>
          <w:u w:val="single" w:color="auto"/>
          <w:color w:val="0000FF"/>
        </w:rPr>
        <w:t xml:space="preserve"> </w:t>
      </w:r>
      <w:hyperlink r:id="rId248">
        <w:r>
          <w:rPr>
            <w:rFonts w:ascii="Times New Roman" w:cs="Times New Roman" w:eastAsia="Times New Roman" w:hAnsi="Times New Roman"/>
            <w:sz w:val="16"/>
            <w:szCs w:val="16"/>
            <w:u w:val="single" w:color="auto"/>
            <w:color w:val="0000FF"/>
          </w:rPr>
          <w:t>Bank Trust Company Americas, as trustee.</w:t>
        </w:r>
      </w:hyperlink>
    </w:p>
    <w:p>
      <w:pPr>
        <w:spacing w:after="0" w:line="5" w:lineRule="exact"/>
        <w:rPr>
          <w:sz w:val="20"/>
          <w:szCs w:val="20"/>
          <w:color w:val="auto"/>
        </w:rPr>
      </w:pPr>
    </w:p>
    <w:p>
      <w:pPr>
        <w:ind w:hanging="451"/>
        <w:spacing w:after="0" w:line="221"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4.6</w:t>
      </w:r>
      <w:r>
        <w:rPr>
          <w:sz w:val="20"/>
          <w:szCs w:val="20"/>
          <w:color w:val="auto"/>
        </w:rPr>
        <w:t xml:space="preserve"> </w:t>
      </w:r>
      <w:hyperlink r:id="rId249">
        <w:r>
          <w:rPr>
            <w:rFonts w:ascii="Times New Roman" w:cs="Times New Roman" w:eastAsia="Times New Roman" w:hAnsi="Times New Roman"/>
            <w:sz w:val="16"/>
            <w:szCs w:val="16"/>
            <w:u w:val="single" w:color="auto"/>
            <w:color w:val="0000FF"/>
          </w:rPr>
          <w:t>Supplemental Indenture, dated December 2, 2020, among NRG Energy, Inc., the</w:t>
        </w:r>
      </w:hyperlink>
      <w:r>
        <w:rPr>
          <w:rFonts w:ascii="Times New Roman" w:cs="Times New Roman" w:eastAsia="Times New Roman" w:hAnsi="Times New Roman"/>
          <w:sz w:val="16"/>
          <w:szCs w:val="16"/>
          <w:u w:val="single" w:color="auto"/>
          <w:color w:val="0000FF"/>
        </w:rPr>
        <w:t xml:space="preserve"> </w:t>
      </w:r>
      <w:hyperlink r:id="rId249">
        <w:r>
          <w:rPr>
            <w:rFonts w:ascii="Times New Roman" w:cs="Times New Roman" w:eastAsia="Times New Roman" w:hAnsi="Times New Roman"/>
            <w:sz w:val="16"/>
            <w:szCs w:val="16"/>
            <w:u w:val="single" w:color="auto"/>
            <w:color w:val="0000FF"/>
          </w:rPr>
          <w:t>guarantors named therein and Deutsche Bank Trust Company Americas, as trustee,</w:t>
        </w:r>
      </w:hyperlink>
      <w:r>
        <w:rPr>
          <w:rFonts w:ascii="Times New Roman" w:cs="Times New Roman" w:eastAsia="Times New Roman" w:hAnsi="Times New Roman"/>
          <w:sz w:val="16"/>
          <w:szCs w:val="16"/>
          <w:u w:val="single" w:color="auto"/>
          <w:color w:val="0000FF"/>
        </w:rPr>
        <w:t xml:space="preserve"> </w:t>
      </w:r>
      <w:hyperlink r:id="rId249">
        <w:r>
          <w:rPr>
            <w:rFonts w:ascii="Times New Roman" w:cs="Times New Roman" w:eastAsia="Times New Roman" w:hAnsi="Times New Roman"/>
            <w:sz w:val="16"/>
            <w:szCs w:val="16"/>
            <w:u w:val="single" w:color="auto"/>
            <w:color w:val="0000FF"/>
          </w:rPr>
          <w:t>containing Form of 3.375% Senior Notes due 2029 and Form of 3.625% Senior</w:t>
        </w:r>
      </w:hyperlink>
      <w:r>
        <w:rPr>
          <w:rFonts w:ascii="Times New Roman" w:cs="Times New Roman" w:eastAsia="Times New Roman" w:hAnsi="Times New Roman"/>
          <w:sz w:val="16"/>
          <w:szCs w:val="16"/>
          <w:u w:val="single" w:color="auto"/>
          <w:color w:val="0000FF"/>
        </w:rPr>
        <w:t xml:space="preserve"> </w:t>
      </w:r>
      <w:hyperlink r:id="rId249">
        <w:r>
          <w:rPr>
            <w:rFonts w:ascii="Times New Roman" w:cs="Times New Roman" w:eastAsia="Times New Roman" w:hAnsi="Times New Roman"/>
            <w:sz w:val="16"/>
            <w:szCs w:val="16"/>
            <w:u w:val="single" w:color="auto"/>
            <w:color w:val="0000FF"/>
          </w:rPr>
          <w:t>Notes due 2031.</w:t>
        </w:r>
      </w:hyperlink>
    </w:p>
    <w:p>
      <w:pPr>
        <w:spacing w:after="0" w:line="7" w:lineRule="exact"/>
        <w:rPr>
          <w:rFonts w:ascii="Times New Roman" w:cs="Times New Roman" w:eastAsia="Times New Roman" w:hAnsi="Times New Roman"/>
          <w:sz w:val="16"/>
          <w:szCs w:val="16"/>
          <w:u w:val="single" w:color="auto"/>
          <w:color w:val="0000FF"/>
        </w:rPr>
      </w:pPr>
    </w:p>
    <w:p>
      <w:pPr>
        <w:ind w:hanging="451"/>
        <w:spacing w:after="0" w:line="227"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4.7</w:t>
      </w:r>
      <w:r>
        <w:rPr>
          <w:sz w:val="20"/>
          <w:szCs w:val="20"/>
          <w:color w:val="auto"/>
        </w:rPr>
        <w:t xml:space="preserve"> </w:t>
      </w:r>
      <w:hyperlink r:id="rId250">
        <w:r>
          <w:rPr>
            <w:rFonts w:ascii="Times New Roman" w:cs="Times New Roman" w:eastAsia="Times New Roman" w:hAnsi="Times New Roman"/>
            <w:sz w:val="16"/>
            <w:szCs w:val="16"/>
            <w:u w:val="single" w:color="auto"/>
            <w:color w:val="0000FF"/>
          </w:rPr>
          <w:t>Second Supplemental Indenture, dated August 23, 2021, among NRG Energy, Inc.,</w:t>
        </w:r>
      </w:hyperlink>
      <w:r>
        <w:rPr>
          <w:rFonts w:ascii="Times New Roman" w:cs="Times New Roman" w:eastAsia="Times New Roman" w:hAnsi="Times New Roman"/>
          <w:sz w:val="16"/>
          <w:szCs w:val="16"/>
          <w:u w:val="single" w:color="auto"/>
          <w:color w:val="0000FF"/>
        </w:rPr>
        <w:t xml:space="preserve"> </w:t>
      </w:r>
      <w:hyperlink r:id="rId250">
        <w:r>
          <w:rPr>
            <w:rFonts w:ascii="Times New Roman" w:cs="Times New Roman" w:eastAsia="Times New Roman" w:hAnsi="Times New Roman"/>
            <w:sz w:val="16"/>
            <w:szCs w:val="16"/>
            <w:u w:val="single" w:color="auto"/>
            <w:color w:val="0000FF"/>
          </w:rPr>
          <w:t>the guarantors named therein and Deutsche Bank Trust Company Americas, as</w:t>
        </w:r>
      </w:hyperlink>
      <w:r>
        <w:rPr>
          <w:rFonts w:ascii="Times New Roman" w:cs="Times New Roman" w:eastAsia="Times New Roman" w:hAnsi="Times New Roman"/>
          <w:sz w:val="16"/>
          <w:szCs w:val="16"/>
          <w:u w:val="single" w:color="auto"/>
          <w:color w:val="0000FF"/>
        </w:rPr>
        <w:t xml:space="preserve"> </w:t>
      </w:r>
      <w:hyperlink r:id="rId250">
        <w:r>
          <w:rPr>
            <w:rFonts w:ascii="Times New Roman" w:cs="Times New Roman" w:eastAsia="Times New Roman" w:hAnsi="Times New Roman"/>
            <w:sz w:val="16"/>
            <w:szCs w:val="16"/>
            <w:u w:val="single" w:color="auto"/>
            <w:color w:val="0000FF"/>
          </w:rPr>
          <w:t>trustee, containing Form of 3.875% Senior Notes due 2032.</w:t>
        </w:r>
      </w:hyperlink>
    </w:p>
    <w:p>
      <w:pPr>
        <w:spacing w:after="0" w:line="4" w:lineRule="exact"/>
        <w:rPr>
          <w:rFonts w:ascii="Times New Roman" w:cs="Times New Roman" w:eastAsia="Times New Roman" w:hAnsi="Times New Roman"/>
          <w:sz w:val="16"/>
          <w:szCs w:val="16"/>
          <w:u w:val="single" w:color="auto"/>
          <w:color w:val="0000FF"/>
        </w:rPr>
      </w:pPr>
    </w:p>
    <w:p>
      <w:pPr>
        <w:ind w:right="60" w:hanging="402"/>
        <w:spacing w:after="0" w:line="237"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4.8</w:t>
      </w:r>
      <w:r>
        <w:rPr>
          <w:sz w:val="20"/>
          <w:szCs w:val="20"/>
          <w:color w:val="auto"/>
        </w:rPr>
        <w:t xml:space="preserve"> </w:t>
      </w:r>
      <w:hyperlink r:id="rId251">
        <w:r>
          <w:rPr>
            <w:rFonts w:ascii="Times New Roman" w:cs="Times New Roman" w:eastAsia="Times New Roman" w:hAnsi="Times New Roman"/>
            <w:sz w:val="16"/>
            <w:szCs w:val="16"/>
            <w:u w:val="single" w:color="auto"/>
            <w:color w:val="0000FF"/>
          </w:rPr>
          <w:t>Base Indenture, dated October 30, 2024, between NRG Energy, Inc. and Deutsche</w:t>
        </w:r>
      </w:hyperlink>
      <w:r>
        <w:rPr>
          <w:rFonts w:ascii="Times New Roman" w:cs="Times New Roman" w:eastAsia="Times New Roman" w:hAnsi="Times New Roman"/>
          <w:sz w:val="16"/>
          <w:szCs w:val="16"/>
          <w:u w:val="single" w:color="auto"/>
          <w:color w:val="0000FF"/>
        </w:rPr>
        <w:t xml:space="preserve"> </w:t>
      </w:r>
      <w:hyperlink r:id="rId251">
        <w:r>
          <w:rPr>
            <w:rFonts w:ascii="Times New Roman" w:cs="Times New Roman" w:eastAsia="Times New Roman" w:hAnsi="Times New Roman"/>
            <w:sz w:val="16"/>
            <w:szCs w:val="16"/>
            <w:u w:val="single" w:color="auto"/>
            <w:color w:val="0000FF"/>
          </w:rPr>
          <w:t>Bank Trust Company Americas, as trustee.</w:t>
        </w:r>
      </w:hyperlink>
    </w:p>
    <w:p>
      <w:pPr>
        <w:spacing w:after="0" w:line="5" w:lineRule="exact"/>
        <w:rPr>
          <w:sz w:val="20"/>
          <w:szCs w:val="20"/>
          <w:color w:val="auto"/>
        </w:rPr>
      </w:pPr>
    </w:p>
    <w:p>
      <w:pPr>
        <w:ind w:hanging="402"/>
        <w:spacing w:after="0" w:line="221"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4.9</w:t>
      </w:r>
      <w:r>
        <w:rPr>
          <w:sz w:val="20"/>
          <w:szCs w:val="20"/>
          <w:color w:val="auto"/>
        </w:rPr>
        <w:t xml:space="preserve"> </w:t>
      </w:r>
      <w:hyperlink r:id="rId252">
        <w:r>
          <w:rPr>
            <w:rFonts w:ascii="Times New Roman" w:cs="Times New Roman" w:eastAsia="Times New Roman" w:hAnsi="Times New Roman"/>
            <w:sz w:val="16"/>
            <w:szCs w:val="16"/>
            <w:u w:val="single" w:color="auto"/>
            <w:color w:val="0000FF"/>
          </w:rPr>
          <w:t>Supplemental Indenture, dated October 30, 2024, among NRG Energy, Inc., the</w:t>
        </w:r>
      </w:hyperlink>
      <w:r>
        <w:rPr>
          <w:rFonts w:ascii="Times New Roman" w:cs="Times New Roman" w:eastAsia="Times New Roman" w:hAnsi="Times New Roman"/>
          <w:sz w:val="16"/>
          <w:szCs w:val="16"/>
          <w:u w:val="single" w:color="auto"/>
          <w:color w:val="0000FF"/>
        </w:rPr>
        <w:t xml:space="preserve"> </w:t>
      </w:r>
      <w:hyperlink r:id="rId252">
        <w:r>
          <w:rPr>
            <w:rFonts w:ascii="Times New Roman" w:cs="Times New Roman" w:eastAsia="Times New Roman" w:hAnsi="Times New Roman"/>
            <w:sz w:val="16"/>
            <w:szCs w:val="16"/>
            <w:u w:val="single" w:color="auto"/>
            <w:color w:val="0000FF"/>
          </w:rPr>
          <w:t>guarantors named therein and Deutsche Bank Trust Company Americas, as trustee,</w:t>
        </w:r>
      </w:hyperlink>
      <w:r>
        <w:rPr>
          <w:rFonts w:ascii="Times New Roman" w:cs="Times New Roman" w:eastAsia="Times New Roman" w:hAnsi="Times New Roman"/>
          <w:sz w:val="16"/>
          <w:szCs w:val="16"/>
          <w:u w:val="single" w:color="auto"/>
          <w:color w:val="0000FF"/>
        </w:rPr>
        <w:t xml:space="preserve"> </w:t>
      </w:r>
      <w:hyperlink r:id="rId252">
        <w:r>
          <w:rPr>
            <w:rFonts w:ascii="Times New Roman" w:cs="Times New Roman" w:eastAsia="Times New Roman" w:hAnsi="Times New Roman"/>
            <w:sz w:val="16"/>
            <w:szCs w:val="16"/>
            <w:u w:val="single" w:color="auto"/>
            <w:color w:val="0000FF"/>
          </w:rPr>
          <w:t>containing Form 5.75% Senior Notes due 2029, Form of 6.00% Senior Notes due</w:t>
        </w:r>
      </w:hyperlink>
      <w:r>
        <w:rPr>
          <w:rFonts w:ascii="Times New Roman" w:cs="Times New Roman" w:eastAsia="Times New Roman" w:hAnsi="Times New Roman"/>
          <w:sz w:val="16"/>
          <w:szCs w:val="16"/>
          <w:u w:val="single" w:color="auto"/>
          <w:color w:val="0000FF"/>
        </w:rPr>
        <w:t xml:space="preserve"> </w:t>
      </w:r>
      <w:hyperlink r:id="rId252">
        <w:r>
          <w:rPr>
            <w:rFonts w:ascii="Times New Roman" w:cs="Times New Roman" w:eastAsia="Times New Roman" w:hAnsi="Times New Roman"/>
            <w:sz w:val="16"/>
            <w:szCs w:val="16"/>
            <w:u w:val="single" w:color="auto"/>
            <w:color w:val="0000FF"/>
          </w:rPr>
          <w:t>2033 and Form of 6.25% Senior Notes due 2034.</w:t>
        </w:r>
      </w:hyperlink>
    </w:p>
    <w:p>
      <w:pPr>
        <w:spacing w:after="0" w:line="7" w:lineRule="exact"/>
        <w:rPr>
          <w:rFonts w:ascii="Times New Roman" w:cs="Times New Roman" w:eastAsia="Times New Roman" w:hAnsi="Times New Roman"/>
          <w:sz w:val="16"/>
          <w:szCs w:val="16"/>
          <w:u w:val="single" w:color="auto"/>
          <w:color w:val="0000FF"/>
        </w:rPr>
      </w:pPr>
    </w:p>
    <w:p>
      <w:pPr>
        <w:ind w:right="140" w:hanging="481"/>
        <w:spacing w:after="0" w:line="237"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4.10</w:t>
      </w:r>
      <w:r>
        <w:rPr>
          <w:sz w:val="20"/>
          <w:szCs w:val="20"/>
          <w:color w:val="auto"/>
        </w:rPr>
        <w:t xml:space="preserve"> </w:t>
      </w:r>
      <w:hyperlink r:id="rId253">
        <w:r>
          <w:rPr>
            <w:rFonts w:ascii="Times New Roman" w:cs="Times New Roman" w:eastAsia="Times New Roman" w:hAnsi="Times New Roman"/>
            <w:sz w:val="16"/>
            <w:szCs w:val="16"/>
            <w:u w:val="single" w:color="auto"/>
            <w:color w:val="0000FF"/>
          </w:rPr>
          <w:t>Base Indenture, dated October 8, 2025, between NRG Energy, Inc. and Deutsche</w:t>
        </w:r>
      </w:hyperlink>
      <w:r>
        <w:rPr>
          <w:rFonts w:ascii="Times New Roman" w:cs="Times New Roman" w:eastAsia="Times New Roman" w:hAnsi="Times New Roman"/>
          <w:sz w:val="16"/>
          <w:szCs w:val="16"/>
          <w:u w:val="single" w:color="auto"/>
          <w:color w:val="0000FF"/>
        </w:rPr>
        <w:t xml:space="preserve"> </w:t>
      </w:r>
      <w:hyperlink r:id="rId253">
        <w:r>
          <w:rPr>
            <w:rFonts w:ascii="Times New Roman" w:cs="Times New Roman" w:eastAsia="Times New Roman" w:hAnsi="Times New Roman"/>
            <w:sz w:val="16"/>
            <w:szCs w:val="16"/>
            <w:u w:val="single" w:color="auto"/>
            <w:color w:val="0000FF"/>
          </w:rPr>
          <w:t>Bank Trust Company Americas, as trustee.</w:t>
        </w:r>
      </w:hyperlink>
    </w:p>
    <w:p>
      <w:pPr>
        <w:spacing w:after="0" w:line="5" w:lineRule="exact"/>
        <w:rPr>
          <w:sz w:val="20"/>
          <w:szCs w:val="20"/>
          <w:color w:val="auto"/>
        </w:rPr>
      </w:pPr>
    </w:p>
    <w:p>
      <w:pPr>
        <w:ind w:hanging="475"/>
        <w:spacing w:after="0" w:line="221"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4.11</w:t>
      </w:r>
      <w:r>
        <w:rPr>
          <w:sz w:val="20"/>
          <w:szCs w:val="20"/>
          <w:color w:val="auto"/>
        </w:rPr>
        <w:t xml:space="preserve"> </w:t>
      </w:r>
      <w:hyperlink r:id="rId254">
        <w:r>
          <w:rPr>
            <w:rFonts w:ascii="Times New Roman" w:cs="Times New Roman" w:eastAsia="Times New Roman" w:hAnsi="Times New Roman"/>
            <w:sz w:val="16"/>
            <w:szCs w:val="16"/>
            <w:u w:val="single" w:color="auto"/>
            <w:color w:val="0000FF"/>
          </w:rPr>
          <w:t>Supplemental Indenture, dated October 8, 2025, among NRG Energy, Inc., the</w:t>
        </w:r>
      </w:hyperlink>
      <w:r>
        <w:rPr>
          <w:rFonts w:ascii="Times New Roman" w:cs="Times New Roman" w:eastAsia="Times New Roman" w:hAnsi="Times New Roman"/>
          <w:sz w:val="16"/>
          <w:szCs w:val="16"/>
          <w:u w:val="single" w:color="auto"/>
          <w:color w:val="0000FF"/>
        </w:rPr>
        <w:t xml:space="preserve"> </w:t>
      </w:r>
      <w:hyperlink r:id="rId254">
        <w:r>
          <w:rPr>
            <w:rFonts w:ascii="Times New Roman" w:cs="Times New Roman" w:eastAsia="Times New Roman" w:hAnsi="Times New Roman"/>
            <w:sz w:val="16"/>
            <w:szCs w:val="16"/>
            <w:u w:val="single" w:color="auto"/>
            <w:color w:val="0000FF"/>
          </w:rPr>
          <w:t>guarantors named therein and Deutsche Bank Trust Company Americas, as trustee,</w:t>
        </w:r>
      </w:hyperlink>
      <w:r>
        <w:rPr>
          <w:rFonts w:ascii="Times New Roman" w:cs="Times New Roman" w:eastAsia="Times New Roman" w:hAnsi="Times New Roman"/>
          <w:sz w:val="16"/>
          <w:szCs w:val="16"/>
          <w:u w:val="single" w:color="auto"/>
          <w:color w:val="0000FF"/>
        </w:rPr>
        <w:t xml:space="preserve"> </w:t>
      </w:r>
      <w:hyperlink r:id="rId254">
        <w:r>
          <w:rPr>
            <w:rFonts w:ascii="Times New Roman" w:cs="Times New Roman" w:eastAsia="Times New Roman" w:hAnsi="Times New Roman"/>
            <w:sz w:val="16"/>
            <w:szCs w:val="16"/>
            <w:u w:val="single" w:color="auto"/>
            <w:color w:val="0000FF"/>
          </w:rPr>
          <w:t>containing Form of 5.750% Senior Notes due 2034 and Form of 6.000% Senior</w:t>
        </w:r>
      </w:hyperlink>
      <w:r>
        <w:rPr>
          <w:rFonts w:ascii="Times New Roman" w:cs="Times New Roman" w:eastAsia="Times New Roman" w:hAnsi="Times New Roman"/>
          <w:sz w:val="16"/>
          <w:szCs w:val="16"/>
          <w:u w:val="single" w:color="auto"/>
          <w:color w:val="0000FF"/>
        </w:rPr>
        <w:t xml:space="preserve"> </w:t>
      </w:r>
      <w:hyperlink r:id="rId254">
        <w:r>
          <w:rPr>
            <w:rFonts w:ascii="Times New Roman" w:cs="Times New Roman" w:eastAsia="Times New Roman" w:hAnsi="Times New Roman"/>
            <w:sz w:val="16"/>
            <w:szCs w:val="16"/>
            <w:u w:val="single" w:color="auto"/>
            <w:color w:val="0000FF"/>
          </w:rPr>
          <w:t>Notes due 2036.</w:t>
        </w:r>
      </w:hyperlink>
    </w:p>
    <w:p>
      <w:pPr>
        <w:spacing w:after="0" w:line="7" w:lineRule="exact"/>
        <w:rPr>
          <w:rFonts w:ascii="Times New Roman" w:cs="Times New Roman" w:eastAsia="Times New Roman" w:hAnsi="Times New Roman"/>
          <w:sz w:val="16"/>
          <w:szCs w:val="16"/>
          <w:u w:val="single" w:color="auto"/>
          <w:color w:val="0000FF"/>
        </w:rPr>
      </w:pPr>
    </w:p>
    <w:p>
      <w:pPr>
        <w:ind w:right="260" w:hanging="530"/>
        <w:spacing w:after="0" w:line="252"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4.12</w:t>
      </w:r>
      <w:r>
        <w:rPr>
          <w:sz w:val="20"/>
          <w:szCs w:val="20"/>
          <w:color w:val="auto"/>
        </w:rPr>
        <w:t xml:space="preserve"> </w:t>
      </w:r>
      <w:hyperlink r:id="rId255">
        <w:r>
          <w:rPr>
            <w:rFonts w:ascii="Times New Roman" w:cs="Times New Roman" w:eastAsia="Times New Roman" w:hAnsi="Times New Roman"/>
            <w:sz w:val="16"/>
            <w:szCs w:val="16"/>
            <w:u w:val="single" w:color="auto"/>
            <w:color w:val="0000FF"/>
          </w:rPr>
          <w:t>Base Indenture, dated May 28, 2019, between NRG Energy, Inc. and Delaware</w:t>
        </w:r>
      </w:hyperlink>
      <w:r>
        <w:rPr>
          <w:rFonts w:ascii="Times New Roman" w:cs="Times New Roman" w:eastAsia="Times New Roman" w:hAnsi="Times New Roman"/>
          <w:sz w:val="16"/>
          <w:szCs w:val="16"/>
          <w:u w:val="single" w:color="auto"/>
          <w:color w:val="0000FF"/>
        </w:rPr>
        <w:t xml:space="preserve"> </w:t>
      </w:r>
      <w:hyperlink r:id="rId255">
        <w:r>
          <w:rPr>
            <w:rFonts w:ascii="Times New Roman" w:cs="Times New Roman" w:eastAsia="Times New Roman" w:hAnsi="Times New Roman"/>
            <w:sz w:val="16"/>
            <w:szCs w:val="16"/>
            <w:u w:val="single" w:color="auto"/>
            <w:color w:val="0000FF"/>
          </w:rPr>
          <w:t>Trust Company, as trustee</w:t>
        </w:r>
      </w:hyperlink>
    </w:p>
    <w:p>
      <w:pPr>
        <w:spacing w:after="0" w:line="8" w:lineRule="exact"/>
        <w:rPr>
          <w:sz w:val="20"/>
          <w:szCs w:val="20"/>
          <w:color w:val="auto"/>
        </w:rPr>
      </w:pPr>
    </w:p>
    <w:p>
      <w:pPr>
        <w:ind w:right="300" w:hanging="530"/>
        <w:spacing w:after="0" w:line="250" w:lineRule="auto"/>
        <w:rPr>
          <w:rFonts w:ascii="Times New Roman" w:cs="Times New Roman" w:eastAsia="Times New Roman" w:hAnsi="Times New Roman"/>
          <w:sz w:val="15"/>
          <w:szCs w:val="15"/>
          <w:u w:val="single" w:color="auto"/>
          <w:color w:val="0000FF"/>
        </w:rPr>
      </w:pPr>
      <w:r>
        <w:rPr>
          <w:rFonts w:ascii="Times New Roman" w:cs="Times New Roman" w:eastAsia="Times New Roman" w:hAnsi="Times New Roman"/>
          <w:sz w:val="16"/>
          <w:szCs w:val="16"/>
          <w:color w:val="auto"/>
        </w:rPr>
        <w:t>4.13</w:t>
      </w:r>
      <w:r>
        <w:rPr>
          <w:sz w:val="20"/>
          <w:szCs w:val="20"/>
          <w:color w:val="auto"/>
        </w:rPr>
        <w:t xml:space="preserve"> </w:t>
      </w:r>
      <w:hyperlink r:id="rId256">
        <w:r>
          <w:rPr>
            <w:rFonts w:ascii="Times New Roman" w:cs="Times New Roman" w:eastAsia="Times New Roman" w:hAnsi="Times New Roman"/>
            <w:sz w:val="15"/>
            <w:szCs w:val="15"/>
            <w:u w:val="single" w:color="auto"/>
            <w:color w:val="0000FF"/>
          </w:rPr>
          <w:t>Supplemental Indenture, dated May 28, 2019, among NRG Energy, Inc., the</w:t>
        </w:r>
      </w:hyperlink>
      <w:r>
        <w:rPr>
          <w:rFonts w:ascii="Times New Roman" w:cs="Times New Roman" w:eastAsia="Times New Roman" w:hAnsi="Times New Roman"/>
          <w:sz w:val="15"/>
          <w:szCs w:val="15"/>
          <w:u w:val="single" w:color="auto"/>
          <w:color w:val="0000FF"/>
        </w:rPr>
        <w:t xml:space="preserve"> </w:t>
      </w:r>
      <w:hyperlink r:id="rId256">
        <w:r>
          <w:rPr>
            <w:rFonts w:ascii="Times New Roman" w:cs="Times New Roman" w:eastAsia="Times New Roman" w:hAnsi="Times New Roman"/>
            <w:sz w:val="15"/>
            <w:szCs w:val="15"/>
            <w:u w:val="single" w:color="auto"/>
            <w:color w:val="0000FF"/>
          </w:rPr>
          <w:t>guarantors named therein and Delaware Trust Company, as trustee, containing</w:t>
        </w:r>
      </w:hyperlink>
    </w:p>
    <w:p>
      <w:pPr>
        <w:spacing w:after="0" w:line="1" w:lineRule="exact"/>
        <w:rPr>
          <w:sz w:val="20"/>
          <w:szCs w:val="20"/>
          <w:color w:val="auto"/>
        </w:rPr>
      </w:pPr>
    </w:p>
    <w:p>
      <w:pPr>
        <w:ind w:right="180"/>
        <w:spacing w:after="0" w:line="226" w:lineRule="auto"/>
        <w:rPr>
          <w:rFonts w:ascii="Times New Roman" w:cs="Times New Roman" w:eastAsia="Times New Roman" w:hAnsi="Times New Roman"/>
          <w:sz w:val="16"/>
          <w:szCs w:val="16"/>
          <w:u w:val="single" w:color="auto"/>
          <w:color w:val="0000FF"/>
        </w:rPr>
      </w:pPr>
      <w:hyperlink r:id="rId256">
        <w:r>
          <w:rPr>
            <w:rFonts w:ascii="Times New Roman" w:cs="Times New Roman" w:eastAsia="Times New Roman" w:hAnsi="Times New Roman"/>
            <w:sz w:val="16"/>
            <w:szCs w:val="16"/>
            <w:u w:val="single" w:color="auto"/>
            <w:color w:val="0000FF"/>
          </w:rPr>
          <w:t>Form of 3.750% Senior Secured First Lien Notes due 2024 and Form of 4.450%</w:t>
        </w:r>
      </w:hyperlink>
      <w:r>
        <w:rPr>
          <w:rFonts w:ascii="Times New Roman" w:cs="Times New Roman" w:eastAsia="Times New Roman" w:hAnsi="Times New Roman"/>
          <w:sz w:val="16"/>
          <w:szCs w:val="16"/>
          <w:u w:val="single" w:color="auto"/>
          <w:color w:val="0000FF"/>
        </w:rPr>
        <w:t xml:space="preserve"> </w:t>
      </w:r>
      <w:hyperlink r:id="rId256">
        <w:r>
          <w:rPr>
            <w:rFonts w:ascii="Times New Roman" w:cs="Times New Roman" w:eastAsia="Times New Roman" w:hAnsi="Times New Roman"/>
            <w:sz w:val="16"/>
            <w:szCs w:val="16"/>
            <w:u w:val="single" w:color="auto"/>
            <w:color w:val="0000FF"/>
          </w:rPr>
          <w:t>Senior Secured First Lien Notes due 2029</w:t>
        </w:r>
      </w:hyperlink>
    </w:p>
    <w:p>
      <w:pPr>
        <w:spacing w:after="0" w:line="17" w:lineRule="exact"/>
        <w:rPr>
          <w:sz w:val="20"/>
          <w:szCs w:val="20"/>
          <w:color w:val="auto"/>
        </w:rPr>
      </w:pPr>
    </w:p>
    <w:p>
      <w:pPr>
        <w:ind w:hanging="530"/>
        <w:spacing w:after="0" w:line="237"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4.14</w:t>
      </w:r>
      <w:r>
        <w:rPr>
          <w:sz w:val="20"/>
          <w:szCs w:val="20"/>
          <w:color w:val="auto"/>
        </w:rPr>
        <w:t xml:space="preserve"> </w:t>
      </w:r>
      <w:hyperlink r:id="rId257">
        <w:r>
          <w:rPr>
            <w:rFonts w:ascii="Times New Roman" w:cs="Times New Roman" w:eastAsia="Times New Roman" w:hAnsi="Times New Roman"/>
            <w:sz w:val="16"/>
            <w:szCs w:val="16"/>
            <w:u w:val="single" w:color="auto"/>
            <w:color w:val="0000FF"/>
          </w:rPr>
          <w:t>Base Indenture, dated December 2, 2020, between NRG Energy, Inc. and Deutsche</w:t>
        </w:r>
      </w:hyperlink>
      <w:r>
        <w:rPr>
          <w:rFonts w:ascii="Times New Roman" w:cs="Times New Roman" w:eastAsia="Times New Roman" w:hAnsi="Times New Roman"/>
          <w:sz w:val="16"/>
          <w:szCs w:val="16"/>
          <w:u w:val="single" w:color="auto"/>
          <w:color w:val="0000FF"/>
        </w:rPr>
        <w:t xml:space="preserve"> </w:t>
      </w:r>
      <w:hyperlink r:id="rId257">
        <w:r>
          <w:rPr>
            <w:rFonts w:ascii="Times New Roman" w:cs="Times New Roman" w:eastAsia="Times New Roman" w:hAnsi="Times New Roman"/>
            <w:sz w:val="16"/>
            <w:szCs w:val="16"/>
            <w:u w:val="single" w:color="auto"/>
            <w:color w:val="0000FF"/>
          </w:rPr>
          <w:t>Bank Trust Company Americas, as trustee.</w:t>
        </w:r>
      </w:hyperlink>
    </w:p>
    <w:p>
      <w:pPr>
        <w:spacing w:after="0" w:line="5" w:lineRule="exact"/>
        <w:rPr>
          <w:sz w:val="20"/>
          <w:szCs w:val="20"/>
          <w:color w:val="auto"/>
        </w:rPr>
      </w:pPr>
    </w:p>
    <w:p>
      <w:pPr>
        <w:ind w:hanging="530"/>
        <w:spacing w:after="0" w:line="221"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4.15</w:t>
      </w:r>
      <w:r>
        <w:rPr>
          <w:sz w:val="20"/>
          <w:szCs w:val="20"/>
          <w:color w:val="auto"/>
        </w:rPr>
        <w:t xml:space="preserve"> </w:t>
      </w:r>
      <w:hyperlink r:id="rId258">
        <w:r>
          <w:rPr>
            <w:rFonts w:ascii="Times New Roman" w:cs="Times New Roman" w:eastAsia="Times New Roman" w:hAnsi="Times New Roman"/>
            <w:sz w:val="16"/>
            <w:szCs w:val="16"/>
            <w:u w:val="single" w:color="auto"/>
            <w:color w:val="0000FF"/>
          </w:rPr>
          <w:t>Supplemental Indenture, dated December 2, 2020, among NRG Energy, Inc., the</w:t>
        </w:r>
      </w:hyperlink>
      <w:r>
        <w:rPr>
          <w:rFonts w:ascii="Times New Roman" w:cs="Times New Roman" w:eastAsia="Times New Roman" w:hAnsi="Times New Roman"/>
          <w:sz w:val="16"/>
          <w:szCs w:val="16"/>
          <w:u w:val="single" w:color="auto"/>
          <w:color w:val="0000FF"/>
        </w:rPr>
        <w:t xml:space="preserve"> </w:t>
      </w:r>
      <w:hyperlink r:id="rId258">
        <w:r>
          <w:rPr>
            <w:rFonts w:ascii="Times New Roman" w:cs="Times New Roman" w:eastAsia="Times New Roman" w:hAnsi="Times New Roman"/>
            <w:sz w:val="16"/>
            <w:szCs w:val="16"/>
            <w:u w:val="single" w:color="auto"/>
            <w:color w:val="0000FF"/>
          </w:rPr>
          <w:t>guarantors named therein and Deutsche Bank Trust Company Americas, as trustee,</w:t>
        </w:r>
      </w:hyperlink>
      <w:r>
        <w:rPr>
          <w:rFonts w:ascii="Times New Roman" w:cs="Times New Roman" w:eastAsia="Times New Roman" w:hAnsi="Times New Roman"/>
          <w:sz w:val="16"/>
          <w:szCs w:val="16"/>
          <w:u w:val="single" w:color="auto"/>
          <w:color w:val="0000FF"/>
        </w:rPr>
        <w:t xml:space="preserve"> </w:t>
      </w:r>
      <w:hyperlink r:id="rId258">
        <w:r>
          <w:rPr>
            <w:rFonts w:ascii="Times New Roman" w:cs="Times New Roman" w:eastAsia="Times New Roman" w:hAnsi="Times New Roman"/>
            <w:sz w:val="16"/>
            <w:szCs w:val="16"/>
            <w:u w:val="single" w:color="auto"/>
            <w:color w:val="0000FF"/>
          </w:rPr>
          <w:t>containing Form of 2.000% Senior Secured First Lien Notes due 2025 and Form of</w:t>
        </w:r>
      </w:hyperlink>
      <w:r>
        <w:rPr>
          <w:rFonts w:ascii="Times New Roman" w:cs="Times New Roman" w:eastAsia="Times New Roman" w:hAnsi="Times New Roman"/>
          <w:sz w:val="16"/>
          <w:szCs w:val="16"/>
          <w:u w:val="single" w:color="auto"/>
          <w:color w:val="0000FF"/>
        </w:rPr>
        <w:t xml:space="preserve"> </w:t>
      </w:r>
      <w:hyperlink r:id="rId258">
        <w:r>
          <w:rPr>
            <w:rFonts w:ascii="Times New Roman" w:cs="Times New Roman" w:eastAsia="Times New Roman" w:hAnsi="Times New Roman"/>
            <w:sz w:val="16"/>
            <w:szCs w:val="16"/>
            <w:u w:val="single" w:color="auto"/>
            <w:color w:val="0000FF"/>
          </w:rPr>
          <w:t>2.450% Senior Secured First Lien Notes due 2027</w:t>
        </w:r>
      </w:hyperlink>
    </w:p>
    <w:p>
      <w:pPr>
        <w:spacing w:after="0" w:line="7" w:lineRule="exact"/>
        <w:rPr>
          <w:rFonts w:ascii="Times New Roman" w:cs="Times New Roman" w:eastAsia="Times New Roman" w:hAnsi="Times New Roman"/>
          <w:sz w:val="16"/>
          <w:szCs w:val="16"/>
          <w:u w:val="single" w:color="auto"/>
          <w:color w:val="0000FF"/>
        </w:rPr>
      </w:pPr>
    </w:p>
    <w:p>
      <w:pPr>
        <w:ind w:hanging="530"/>
        <w:spacing w:after="0" w:line="227"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4.16</w:t>
      </w:r>
      <w:r>
        <w:rPr>
          <w:sz w:val="20"/>
          <w:szCs w:val="20"/>
          <w:color w:val="auto"/>
        </w:rPr>
        <w:t xml:space="preserve"> </w:t>
      </w:r>
      <w:hyperlink r:id="rId259">
        <w:r>
          <w:rPr>
            <w:rFonts w:ascii="Times New Roman" w:cs="Times New Roman" w:eastAsia="Times New Roman" w:hAnsi="Times New Roman"/>
            <w:sz w:val="16"/>
            <w:szCs w:val="16"/>
            <w:u w:val="single" w:color="auto"/>
            <w:color w:val="0000FF"/>
          </w:rPr>
          <w:t>Supplemental Indenture, dated March 9, 2023, among NRG Energy, Inc., the</w:t>
        </w:r>
      </w:hyperlink>
      <w:r>
        <w:rPr>
          <w:rFonts w:ascii="Times New Roman" w:cs="Times New Roman" w:eastAsia="Times New Roman" w:hAnsi="Times New Roman"/>
          <w:sz w:val="16"/>
          <w:szCs w:val="16"/>
          <w:u w:val="single" w:color="auto"/>
          <w:color w:val="0000FF"/>
        </w:rPr>
        <w:t xml:space="preserve"> </w:t>
      </w:r>
      <w:hyperlink r:id="rId259">
        <w:r>
          <w:rPr>
            <w:rFonts w:ascii="Times New Roman" w:cs="Times New Roman" w:eastAsia="Times New Roman" w:hAnsi="Times New Roman"/>
            <w:sz w:val="16"/>
            <w:szCs w:val="16"/>
            <w:u w:val="single" w:color="auto"/>
            <w:color w:val="0000FF"/>
          </w:rPr>
          <w:t>guarantors named therein and Deutsche Bank Trust Company Americas, as trustee,</w:t>
        </w:r>
      </w:hyperlink>
      <w:r>
        <w:rPr>
          <w:rFonts w:ascii="Times New Roman" w:cs="Times New Roman" w:eastAsia="Times New Roman" w:hAnsi="Times New Roman"/>
          <w:sz w:val="16"/>
          <w:szCs w:val="16"/>
          <w:u w:val="single" w:color="auto"/>
          <w:color w:val="0000FF"/>
        </w:rPr>
        <w:t xml:space="preserve"> </w:t>
      </w:r>
      <w:hyperlink r:id="rId259">
        <w:r>
          <w:rPr>
            <w:rFonts w:ascii="Times New Roman" w:cs="Times New Roman" w:eastAsia="Times New Roman" w:hAnsi="Times New Roman"/>
            <w:sz w:val="16"/>
            <w:szCs w:val="16"/>
            <w:u w:val="single" w:color="auto"/>
            <w:color w:val="0000FF"/>
          </w:rPr>
          <w:t>containing Form of 7.000% Senior Secured First Lien Notes due 2033</w:t>
        </w:r>
      </w:hyperlink>
    </w:p>
    <w:p>
      <w:pPr>
        <w:spacing w:after="0" w:line="4" w:lineRule="exact"/>
        <w:rPr>
          <w:rFonts w:ascii="Times New Roman" w:cs="Times New Roman" w:eastAsia="Times New Roman" w:hAnsi="Times New Roman"/>
          <w:sz w:val="16"/>
          <w:szCs w:val="16"/>
          <w:u w:val="single" w:color="auto"/>
          <w:color w:val="0000FF"/>
        </w:rPr>
      </w:pPr>
    </w:p>
    <w:p>
      <w:pPr>
        <w:ind w:right="100" w:hanging="530"/>
        <w:spacing w:after="0" w:line="227"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4.17</w:t>
      </w:r>
      <w:r>
        <w:rPr>
          <w:sz w:val="20"/>
          <w:szCs w:val="20"/>
          <w:color w:val="auto"/>
        </w:rPr>
        <w:t xml:space="preserve"> </w:t>
      </w:r>
      <w:hyperlink r:id="rId260">
        <w:r>
          <w:rPr>
            <w:rFonts w:ascii="Times New Roman" w:cs="Times New Roman" w:eastAsia="Times New Roman" w:hAnsi="Times New Roman"/>
            <w:sz w:val="16"/>
            <w:szCs w:val="16"/>
            <w:u w:val="single" w:color="auto"/>
            <w:color w:val="0000FF"/>
          </w:rPr>
          <w:t>Base Indenture, dated August 29, 2023, between NRG Energy, Inc. and Deutsche</w:t>
        </w:r>
      </w:hyperlink>
      <w:r>
        <w:rPr>
          <w:rFonts w:ascii="Times New Roman" w:cs="Times New Roman" w:eastAsia="Times New Roman" w:hAnsi="Times New Roman"/>
          <w:sz w:val="16"/>
          <w:szCs w:val="16"/>
          <w:u w:val="single" w:color="auto"/>
          <w:color w:val="0000FF"/>
        </w:rPr>
        <w:t xml:space="preserve"> </w:t>
      </w:r>
      <w:hyperlink r:id="rId260">
        <w:r>
          <w:rPr>
            <w:rFonts w:ascii="Times New Roman" w:cs="Times New Roman" w:eastAsia="Times New Roman" w:hAnsi="Times New Roman"/>
            <w:sz w:val="16"/>
            <w:szCs w:val="16"/>
            <w:u w:val="single" w:color="auto"/>
            <w:color w:val="0000FF"/>
          </w:rPr>
          <w:t>Bank Trust Company Americas, as trustee, pertaining to the Alexander Funding</w:t>
        </w:r>
      </w:hyperlink>
      <w:r>
        <w:rPr>
          <w:rFonts w:ascii="Times New Roman" w:cs="Times New Roman" w:eastAsia="Times New Roman" w:hAnsi="Times New Roman"/>
          <w:sz w:val="16"/>
          <w:szCs w:val="16"/>
          <w:u w:val="single" w:color="auto"/>
          <w:color w:val="0000FF"/>
        </w:rPr>
        <w:t xml:space="preserve"> </w:t>
      </w:r>
      <w:hyperlink r:id="rId260">
        <w:r>
          <w:rPr>
            <w:rFonts w:ascii="Times New Roman" w:cs="Times New Roman" w:eastAsia="Times New Roman" w:hAnsi="Times New Roman"/>
            <w:sz w:val="16"/>
            <w:szCs w:val="16"/>
            <w:u w:val="single" w:color="auto"/>
            <w:color w:val="0000FF"/>
          </w:rPr>
          <w:t>Trust II Pre-Capitalized Trust Securities.</w:t>
        </w:r>
      </w:hyperlink>
    </w:p>
    <w:p>
      <w:pPr>
        <w:spacing w:after="0" w:line="4" w:lineRule="exact"/>
        <w:rPr>
          <w:rFonts w:ascii="Times New Roman" w:cs="Times New Roman" w:eastAsia="Times New Roman" w:hAnsi="Times New Roman"/>
          <w:sz w:val="16"/>
          <w:szCs w:val="16"/>
          <w:u w:val="single" w:color="auto"/>
          <w:color w:val="0000FF"/>
        </w:rPr>
      </w:pPr>
    </w:p>
    <w:p>
      <w:pPr>
        <w:ind w:hanging="530"/>
        <w:spacing w:after="0" w:line="227"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4.18</w:t>
      </w:r>
      <w:r>
        <w:rPr>
          <w:sz w:val="20"/>
          <w:szCs w:val="20"/>
          <w:color w:val="auto"/>
        </w:rPr>
        <w:t xml:space="preserve"> </w:t>
      </w:r>
      <w:hyperlink r:id="rId261">
        <w:r>
          <w:rPr>
            <w:rFonts w:ascii="Times New Roman" w:cs="Times New Roman" w:eastAsia="Times New Roman" w:hAnsi="Times New Roman"/>
            <w:sz w:val="16"/>
            <w:szCs w:val="16"/>
            <w:u w:val="single" w:color="auto"/>
            <w:color w:val="0000FF"/>
          </w:rPr>
          <w:t>Supplemental Indenture, dated August 29, 2023, among NRG Energy, Inc., the</w:t>
        </w:r>
      </w:hyperlink>
      <w:r>
        <w:rPr>
          <w:rFonts w:ascii="Times New Roman" w:cs="Times New Roman" w:eastAsia="Times New Roman" w:hAnsi="Times New Roman"/>
          <w:sz w:val="16"/>
          <w:szCs w:val="16"/>
          <w:u w:val="single" w:color="auto"/>
          <w:color w:val="0000FF"/>
        </w:rPr>
        <w:t xml:space="preserve"> </w:t>
      </w:r>
      <w:hyperlink r:id="rId261">
        <w:r>
          <w:rPr>
            <w:rFonts w:ascii="Times New Roman" w:cs="Times New Roman" w:eastAsia="Times New Roman" w:hAnsi="Times New Roman"/>
            <w:sz w:val="16"/>
            <w:szCs w:val="16"/>
            <w:u w:val="single" w:color="auto"/>
            <w:color w:val="0000FF"/>
          </w:rPr>
          <w:t>guarantors named therein and Deutsche Bank Trust Company Americas, as trustee,</w:t>
        </w:r>
      </w:hyperlink>
      <w:r>
        <w:rPr>
          <w:rFonts w:ascii="Times New Roman" w:cs="Times New Roman" w:eastAsia="Times New Roman" w:hAnsi="Times New Roman"/>
          <w:sz w:val="16"/>
          <w:szCs w:val="16"/>
          <w:u w:val="single" w:color="auto"/>
          <w:color w:val="0000FF"/>
        </w:rPr>
        <w:t xml:space="preserve"> </w:t>
      </w:r>
      <w:hyperlink r:id="rId261">
        <w:r>
          <w:rPr>
            <w:rFonts w:ascii="Times New Roman" w:cs="Times New Roman" w:eastAsia="Times New Roman" w:hAnsi="Times New Roman"/>
            <w:sz w:val="16"/>
            <w:szCs w:val="16"/>
            <w:u w:val="single" w:color="auto"/>
            <w:color w:val="0000FF"/>
          </w:rPr>
          <w:t>containing Form of 7.467% Senior Secured First Lien Notes due 2028.</w:t>
        </w:r>
      </w:hyperlink>
    </w:p>
    <w:p>
      <w:pPr>
        <w:spacing w:after="0" w:line="4" w:lineRule="exact"/>
        <w:rPr>
          <w:rFonts w:ascii="Times New Roman" w:cs="Times New Roman" w:eastAsia="Times New Roman" w:hAnsi="Times New Roman"/>
          <w:sz w:val="16"/>
          <w:szCs w:val="16"/>
          <w:u w:val="single" w:color="auto"/>
          <w:color w:val="0000FF"/>
        </w:rPr>
      </w:pPr>
    </w:p>
    <w:p>
      <w:pPr>
        <w:ind w:right="140" w:hanging="530"/>
        <w:spacing w:after="0" w:line="237"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4.19</w:t>
      </w:r>
      <w:r>
        <w:rPr>
          <w:sz w:val="20"/>
          <w:szCs w:val="20"/>
          <w:color w:val="auto"/>
        </w:rPr>
        <w:t xml:space="preserve"> </w:t>
      </w:r>
      <w:hyperlink r:id="rId262">
        <w:r>
          <w:rPr>
            <w:rFonts w:ascii="Times New Roman" w:cs="Times New Roman" w:eastAsia="Times New Roman" w:hAnsi="Times New Roman"/>
            <w:sz w:val="16"/>
            <w:szCs w:val="16"/>
            <w:u w:val="single" w:color="auto"/>
            <w:color w:val="0000FF"/>
          </w:rPr>
          <w:t>Base Indenture, dated October 8, 2025, between NRG Energy, Inc. and Deutsche</w:t>
        </w:r>
      </w:hyperlink>
      <w:r>
        <w:rPr>
          <w:rFonts w:ascii="Times New Roman" w:cs="Times New Roman" w:eastAsia="Times New Roman" w:hAnsi="Times New Roman"/>
          <w:sz w:val="16"/>
          <w:szCs w:val="16"/>
          <w:u w:val="single" w:color="auto"/>
          <w:color w:val="0000FF"/>
        </w:rPr>
        <w:t xml:space="preserve"> </w:t>
      </w:r>
      <w:hyperlink r:id="rId262">
        <w:r>
          <w:rPr>
            <w:rFonts w:ascii="Times New Roman" w:cs="Times New Roman" w:eastAsia="Times New Roman" w:hAnsi="Times New Roman"/>
            <w:sz w:val="16"/>
            <w:szCs w:val="16"/>
            <w:u w:val="single" w:color="auto"/>
            <w:color w:val="0000FF"/>
          </w:rPr>
          <w:t>Bank Trust Company Americas, as trustee.</w:t>
        </w:r>
      </w:hyperlink>
    </w:p>
    <w:p>
      <w:pPr>
        <w:spacing w:after="0" w:line="5" w:lineRule="exact"/>
        <w:rPr>
          <w:sz w:val="20"/>
          <w:szCs w:val="20"/>
          <w:color w:val="auto"/>
        </w:rPr>
      </w:pPr>
    </w:p>
    <w:p>
      <w:pPr>
        <w:ind w:hanging="530"/>
        <w:spacing w:after="0" w:line="221"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4.20</w:t>
      </w:r>
      <w:r>
        <w:rPr>
          <w:sz w:val="20"/>
          <w:szCs w:val="20"/>
          <w:color w:val="auto"/>
        </w:rPr>
        <w:t xml:space="preserve"> </w:t>
      </w:r>
      <w:hyperlink r:id="rId263">
        <w:r>
          <w:rPr>
            <w:rFonts w:ascii="Times New Roman" w:cs="Times New Roman" w:eastAsia="Times New Roman" w:hAnsi="Times New Roman"/>
            <w:sz w:val="16"/>
            <w:szCs w:val="16"/>
            <w:u w:val="single" w:color="auto"/>
            <w:color w:val="0000FF"/>
          </w:rPr>
          <w:t>Supplemental Indenture, dated October 8, 2025, among NRG Energy, Inc., the</w:t>
        </w:r>
      </w:hyperlink>
      <w:r>
        <w:rPr>
          <w:rFonts w:ascii="Times New Roman" w:cs="Times New Roman" w:eastAsia="Times New Roman" w:hAnsi="Times New Roman"/>
          <w:sz w:val="16"/>
          <w:szCs w:val="16"/>
          <w:u w:val="single" w:color="auto"/>
          <w:color w:val="0000FF"/>
        </w:rPr>
        <w:t xml:space="preserve"> </w:t>
      </w:r>
      <w:hyperlink r:id="rId263">
        <w:r>
          <w:rPr>
            <w:rFonts w:ascii="Times New Roman" w:cs="Times New Roman" w:eastAsia="Times New Roman" w:hAnsi="Times New Roman"/>
            <w:sz w:val="16"/>
            <w:szCs w:val="16"/>
            <w:u w:val="single" w:color="auto"/>
            <w:color w:val="0000FF"/>
          </w:rPr>
          <w:t>guarantors named therein and Deutsche Bank Trust Company Americas, as trustee,</w:t>
        </w:r>
      </w:hyperlink>
      <w:r>
        <w:rPr>
          <w:rFonts w:ascii="Times New Roman" w:cs="Times New Roman" w:eastAsia="Times New Roman" w:hAnsi="Times New Roman"/>
          <w:sz w:val="16"/>
          <w:szCs w:val="16"/>
          <w:u w:val="single" w:color="auto"/>
          <w:color w:val="0000FF"/>
        </w:rPr>
        <w:t xml:space="preserve"> </w:t>
      </w:r>
      <w:hyperlink r:id="rId263">
        <w:r>
          <w:rPr>
            <w:rFonts w:ascii="Times New Roman" w:cs="Times New Roman" w:eastAsia="Times New Roman" w:hAnsi="Times New Roman"/>
            <w:sz w:val="16"/>
            <w:szCs w:val="16"/>
            <w:u w:val="single" w:color="auto"/>
            <w:color w:val="0000FF"/>
          </w:rPr>
          <w:t>containing Form of 4.734% Senior Secured First Lien Notes due 2030 and Form</w:t>
        </w:r>
      </w:hyperlink>
      <w:r>
        <w:rPr>
          <w:rFonts w:ascii="Times New Roman" w:cs="Times New Roman" w:eastAsia="Times New Roman" w:hAnsi="Times New Roman"/>
          <w:sz w:val="16"/>
          <w:szCs w:val="16"/>
          <w:u w:val="single" w:color="auto"/>
          <w:color w:val="0000FF"/>
        </w:rPr>
        <w:t xml:space="preserve"> </w:t>
      </w:r>
      <w:hyperlink r:id="rId263">
        <w:r>
          <w:rPr>
            <w:rFonts w:ascii="Times New Roman" w:cs="Times New Roman" w:eastAsia="Times New Roman" w:hAnsi="Times New Roman"/>
            <w:sz w:val="16"/>
            <w:szCs w:val="16"/>
            <w:u w:val="single" w:color="auto"/>
            <w:color w:val="0000FF"/>
          </w:rPr>
          <w:t>5.407% Senior Secured First Lien Notes due 2035.</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br w:type="column"/>
      </w:r>
    </w:p>
    <w:p>
      <w:pPr>
        <w:spacing w:after="0" w:line="256" w:lineRule="auto"/>
        <w:rPr>
          <w:sz w:val="20"/>
          <w:szCs w:val="20"/>
          <w:color w:val="auto"/>
        </w:rPr>
      </w:pPr>
      <w:r>
        <w:rPr>
          <w:rFonts w:ascii="Times New Roman" w:cs="Times New Roman" w:eastAsia="Times New Roman" w:hAnsi="Times New Roman"/>
          <w:sz w:val="15"/>
          <w:szCs w:val="15"/>
          <w:color w:val="auto"/>
        </w:rPr>
        <w:t>Incorporated herein by reference to Exhibit 4.5 to the Registrant's Current Report on Form 8-K, filed on December 4, 2020.</w:t>
      </w:r>
    </w:p>
    <w:p>
      <w:pPr>
        <w:spacing w:after="0" w:line="267" w:lineRule="auto"/>
        <w:rPr>
          <w:sz w:val="20"/>
          <w:szCs w:val="20"/>
          <w:color w:val="auto"/>
        </w:rPr>
      </w:pPr>
      <w:r>
        <w:rPr>
          <w:rFonts w:ascii="Times New Roman" w:cs="Times New Roman" w:eastAsia="Times New Roman" w:hAnsi="Times New Roman"/>
          <w:sz w:val="15"/>
          <w:szCs w:val="15"/>
          <w:color w:val="auto"/>
        </w:rPr>
        <w:t>Incorporated herein by reference to Exhibit 4.6 to the Registrant's Current Report on Form 8-K, filed on December 4, 2020.</w:t>
      </w:r>
    </w:p>
    <w:p>
      <w:pPr>
        <w:spacing w:after="0" w:line="300" w:lineRule="exact"/>
        <w:rPr>
          <w:rFonts w:ascii="Times New Roman" w:cs="Times New Roman" w:eastAsia="Times New Roman" w:hAnsi="Times New Roman"/>
          <w:sz w:val="16"/>
          <w:szCs w:val="16"/>
          <w:u w:val="single" w:color="auto"/>
          <w:color w:val="0000FF"/>
        </w:rPr>
      </w:pPr>
    </w:p>
    <w:p>
      <w:pPr>
        <w:spacing w:after="0" w:line="267" w:lineRule="auto"/>
        <w:rPr>
          <w:sz w:val="20"/>
          <w:szCs w:val="20"/>
          <w:color w:val="auto"/>
        </w:rPr>
      </w:pPr>
      <w:r>
        <w:rPr>
          <w:rFonts w:ascii="Times New Roman" w:cs="Times New Roman" w:eastAsia="Times New Roman" w:hAnsi="Times New Roman"/>
          <w:sz w:val="15"/>
          <w:szCs w:val="15"/>
          <w:color w:val="auto"/>
        </w:rPr>
        <w:t>Incorporated herein by reference to Exhibit 4.2 to the Registrant's Current Report on Form 8-K, filed on August 23, 2021.</w:t>
      </w:r>
    </w:p>
    <w:p>
      <w:pPr>
        <w:spacing w:after="0" w:line="143" w:lineRule="exact"/>
        <w:rPr>
          <w:rFonts w:ascii="Times New Roman" w:cs="Times New Roman" w:eastAsia="Times New Roman" w:hAnsi="Times New Roman"/>
          <w:sz w:val="16"/>
          <w:szCs w:val="16"/>
          <w:u w:val="single" w:color="auto"/>
          <w:color w:val="0000FF"/>
        </w:rPr>
      </w:pPr>
    </w:p>
    <w:p>
      <w:pPr>
        <w:spacing w:after="0" w:line="256" w:lineRule="auto"/>
        <w:rPr>
          <w:sz w:val="20"/>
          <w:szCs w:val="20"/>
          <w:color w:val="auto"/>
        </w:rPr>
      </w:pPr>
      <w:r>
        <w:rPr>
          <w:rFonts w:ascii="Times New Roman" w:cs="Times New Roman" w:eastAsia="Times New Roman" w:hAnsi="Times New Roman"/>
          <w:sz w:val="15"/>
          <w:szCs w:val="15"/>
          <w:color w:val="auto"/>
        </w:rPr>
        <w:t>Incorporated herein by reference to Exhibit 4.1 to the Registrant's current report on Form 8-K filed on November 1, 2024.</w:t>
      </w:r>
    </w:p>
    <w:p>
      <w:pPr>
        <w:spacing w:after="0" w:line="267" w:lineRule="auto"/>
        <w:rPr>
          <w:sz w:val="20"/>
          <w:szCs w:val="20"/>
          <w:color w:val="auto"/>
        </w:rPr>
      </w:pPr>
      <w:r>
        <w:rPr>
          <w:rFonts w:ascii="Times New Roman" w:cs="Times New Roman" w:eastAsia="Times New Roman" w:hAnsi="Times New Roman"/>
          <w:sz w:val="15"/>
          <w:szCs w:val="15"/>
          <w:color w:val="auto"/>
        </w:rPr>
        <w:t>Incorporated herein by reference to Exhibit 4.2 to the Registrant's current report on Form 8-K filed on November 1, 2024.</w:t>
      </w:r>
    </w:p>
    <w:p>
      <w:pPr>
        <w:spacing w:after="0" w:line="300" w:lineRule="exact"/>
        <w:rPr>
          <w:rFonts w:ascii="Times New Roman" w:cs="Times New Roman" w:eastAsia="Times New Roman" w:hAnsi="Times New Roman"/>
          <w:sz w:val="16"/>
          <w:szCs w:val="16"/>
          <w:u w:val="single" w:color="auto"/>
          <w:color w:val="0000FF"/>
        </w:rPr>
      </w:pPr>
    </w:p>
    <w:p>
      <w:pPr>
        <w:spacing w:after="0" w:line="256" w:lineRule="auto"/>
        <w:rPr>
          <w:sz w:val="20"/>
          <w:szCs w:val="20"/>
          <w:color w:val="auto"/>
        </w:rPr>
      </w:pPr>
      <w:r>
        <w:rPr>
          <w:rFonts w:ascii="Times New Roman" w:cs="Times New Roman" w:eastAsia="Times New Roman" w:hAnsi="Times New Roman"/>
          <w:sz w:val="15"/>
          <w:szCs w:val="15"/>
          <w:color w:val="auto"/>
        </w:rPr>
        <w:t>Incorporated herein by reference to Exhibit 4.5 to the Registrant's current report on Form 8-K filed on October 8, 2025.</w:t>
      </w:r>
    </w:p>
    <w:p>
      <w:pPr>
        <w:spacing w:after="0" w:line="267" w:lineRule="auto"/>
        <w:rPr>
          <w:sz w:val="20"/>
          <w:szCs w:val="20"/>
          <w:color w:val="auto"/>
        </w:rPr>
      </w:pPr>
      <w:r>
        <w:rPr>
          <w:rFonts w:ascii="Times New Roman" w:cs="Times New Roman" w:eastAsia="Times New Roman" w:hAnsi="Times New Roman"/>
          <w:sz w:val="15"/>
          <w:szCs w:val="15"/>
          <w:color w:val="auto"/>
        </w:rPr>
        <w:t>Incorporated herein by reference to Exhibit 4.6 to the Registrant's current report on Form 8-K filed on October 8, 2025.</w:t>
      </w:r>
    </w:p>
    <w:p>
      <w:pPr>
        <w:spacing w:after="0" w:line="300" w:lineRule="exact"/>
        <w:rPr>
          <w:rFonts w:ascii="Times New Roman" w:cs="Times New Roman" w:eastAsia="Times New Roman" w:hAnsi="Times New Roman"/>
          <w:sz w:val="16"/>
          <w:szCs w:val="16"/>
          <w:u w:val="single" w:color="auto"/>
          <w:color w:val="0000FF"/>
        </w:rPr>
      </w:pPr>
    </w:p>
    <w:p>
      <w:pPr>
        <w:spacing w:after="0" w:line="237" w:lineRule="auto"/>
        <w:rPr>
          <w:sz w:val="20"/>
          <w:szCs w:val="20"/>
          <w:color w:val="auto"/>
        </w:rPr>
      </w:pPr>
      <w:r>
        <w:rPr>
          <w:rFonts w:ascii="Times New Roman" w:cs="Times New Roman" w:eastAsia="Times New Roman" w:hAnsi="Times New Roman"/>
          <w:sz w:val="16"/>
          <w:szCs w:val="16"/>
          <w:color w:val="auto"/>
        </w:rPr>
        <w:t>Incorporated herein by reference to Exhibit 4.1 to the Registrant's Current Report on Form 8-K filed on May 30, 2019.</w:t>
      </w:r>
    </w:p>
    <w:p>
      <w:pPr>
        <w:spacing w:after="0" w:line="31" w:lineRule="exact"/>
        <w:rPr>
          <w:rFonts w:ascii="Times New Roman" w:cs="Times New Roman" w:eastAsia="Times New Roman" w:hAnsi="Times New Roman"/>
          <w:sz w:val="16"/>
          <w:szCs w:val="16"/>
          <w:u w:val="single" w:color="auto"/>
          <w:color w:val="0000FF"/>
        </w:rPr>
      </w:pPr>
    </w:p>
    <w:p>
      <w:pPr>
        <w:spacing w:after="0" w:line="237" w:lineRule="auto"/>
        <w:rPr>
          <w:sz w:val="20"/>
          <w:szCs w:val="20"/>
          <w:color w:val="auto"/>
        </w:rPr>
      </w:pPr>
      <w:r>
        <w:rPr>
          <w:rFonts w:ascii="Times New Roman" w:cs="Times New Roman" w:eastAsia="Times New Roman" w:hAnsi="Times New Roman"/>
          <w:sz w:val="16"/>
          <w:szCs w:val="16"/>
          <w:color w:val="auto"/>
        </w:rPr>
        <w:t>Incorporated herein by reference to Exhibit 4.2 to the Registrant's Current Report on Form 8-K filed on May 30, 2019.</w:t>
      </w:r>
    </w:p>
    <w:p>
      <w:pPr>
        <w:spacing w:after="0" w:line="360" w:lineRule="exact"/>
        <w:rPr>
          <w:rFonts w:ascii="Times New Roman" w:cs="Times New Roman" w:eastAsia="Times New Roman" w:hAnsi="Times New Roman"/>
          <w:sz w:val="16"/>
          <w:szCs w:val="16"/>
          <w:u w:val="single" w:color="auto"/>
          <w:color w:val="0000FF"/>
        </w:rPr>
      </w:pPr>
    </w:p>
    <w:p>
      <w:pPr>
        <w:spacing w:after="0" w:line="256" w:lineRule="auto"/>
        <w:rPr>
          <w:sz w:val="20"/>
          <w:szCs w:val="20"/>
          <w:color w:val="auto"/>
        </w:rPr>
      </w:pPr>
      <w:r>
        <w:rPr>
          <w:rFonts w:ascii="Times New Roman" w:cs="Times New Roman" w:eastAsia="Times New Roman" w:hAnsi="Times New Roman"/>
          <w:sz w:val="15"/>
          <w:szCs w:val="15"/>
          <w:color w:val="auto"/>
        </w:rPr>
        <w:t>Incorporated herein by reference to Exhibit 4.1 to the Registrant's Current Report on Form 8-K, filed on December 4, 2020.</w:t>
      </w:r>
    </w:p>
    <w:p>
      <w:pPr>
        <w:spacing w:after="0" w:line="267" w:lineRule="auto"/>
        <w:rPr>
          <w:sz w:val="20"/>
          <w:szCs w:val="20"/>
          <w:color w:val="auto"/>
        </w:rPr>
      </w:pPr>
      <w:r>
        <w:rPr>
          <w:rFonts w:ascii="Times New Roman" w:cs="Times New Roman" w:eastAsia="Times New Roman" w:hAnsi="Times New Roman"/>
          <w:sz w:val="15"/>
          <w:szCs w:val="15"/>
          <w:color w:val="auto"/>
        </w:rPr>
        <w:t>Incorporated herein by reference to Exhibit 4.2 to the Registrant's Current Report on Form 8-K, filed on December 4, 2020.</w:t>
      </w:r>
    </w:p>
    <w:p>
      <w:pPr>
        <w:spacing w:after="0" w:line="300" w:lineRule="exact"/>
        <w:rPr>
          <w:rFonts w:ascii="Times New Roman" w:cs="Times New Roman" w:eastAsia="Times New Roman" w:hAnsi="Times New Roman"/>
          <w:sz w:val="16"/>
          <w:szCs w:val="16"/>
          <w:u w:val="single" w:color="auto"/>
          <w:color w:val="0000FF"/>
        </w:rPr>
      </w:pPr>
    </w:p>
    <w:p>
      <w:pPr>
        <w:spacing w:after="0" w:line="267" w:lineRule="auto"/>
        <w:rPr>
          <w:sz w:val="20"/>
          <w:szCs w:val="20"/>
          <w:color w:val="auto"/>
        </w:rPr>
      </w:pPr>
      <w:r>
        <w:rPr>
          <w:rFonts w:ascii="Times New Roman" w:cs="Times New Roman" w:eastAsia="Times New Roman" w:hAnsi="Times New Roman"/>
          <w:sz w:val="15"/>
          <w:szCs w:val="15"/>
          <w:color w:val="auto"/>
        </w:rPr>
        <w:t>Incorporated herein by reference to Exhibit 4.2 to the Registrant's current report on Form 8-K filed on March 10, 2023.</w:t>
      </w:r>
    </w:p>
    <w:p>
      <w:pPr>
        <w:spacing w:after="0" w:line="143" w:lineRule="exact"/>
        <w:rPr>
          <w:rFonts w:ascii="Times New Roman" w:cs="Times New Roman" w:eastAsia="Times New Roman" w:hAnsi="Times New Roman"/>
          <w:sz w:val="16"/>
          <w:szCs w:val="16"/>
          <w:u w:val="single" w:color="auto"/>
          <w:color w:val="0000FF"/>
        </w:rPr>
      </w:pPr>
    </w:p>
    <w:p>
      <w:pPr>
        <w:spacing w:after="0" w:line="267" w:lineRule="auto"/>
        <w:rPr>
          <w:sz w:val="20"/>
          <w:szCs w:val="20"/>
          <w:color w:val="auto"/>
        </w:rPr>
      </w:pPr>
      <w:r>
        <w:rPr>
          <w:rFonts w:ascii="Times New Roman" w:cs="Times New Roman" w:eastAsia="Times New Roman" w:hAnsi="Times New Roman"/>
          <w:sz w:val="15"/>
          <w:szCs w:val="15"/>
          <w:color w:val="auto"/>
        </w:rPr>
        <w:t>Incorporated herein by reference to Exhibit 4.4 to the Registrant's current report on Form 8-K filed on August 29, 2023.</w:t>
      </w:r>
    </w:p>
    <w:p>
      <w:pPr>
        <w:spacing w:after="0" w:line="143" w:lineRule="exact"/>
        <w:rPr>
          <w:rFonts w:ascii="Times New Roman" w:cs="Times New Roman" w:eastAsia="Times New Roman" w:hAnsi="Times New Roman"/>
          <w:sz w:val="16"/>
          <w:szCs w:val="16"/>
          <w:u w:val="single" w:color="auto"/>
          <w:color w:val="0000FF"/>
        </w:rPr>
      </w:pPr>
    </w:p>
    <w:p>
      <w:pPr>
        <w:spacing w:after="0" w:line="267" w:lineRule="auto"/>
        <w:rPr>
          <w:sz w:val="20"/>
          <w:szCs w:val="20"/>
          <w:color w:val="auto"/>
        </w:rPr>
      </w:pPr>
      <w:r>
        <w:rPr>
          <w:rFonts w:ascii="Times New Roman" w:cs="Times New Roman" w:eastAsia="Times New Roman" w:hAnsi="Times New Roman"/>
          <w:sz w:val="15"/>
          <w:szCs w:val="15"/>
          <w:color w:val="auto"/>
        </w:rPr>
        <w:t>Incorporated herein by reference to Exhibit 4.5 to the Registrant's current report on Form 8-K filed on August 29, 2023.</w:t>
      </w:r>
    </w:p>
    <w:p>
      <w:pPr>
        <w:spacing w:after="0" w:line="143" w:lineRule="exact"/>
        <w:rPr>
          <w:rFonts w:ascii="Times New Roman" w:cs="Times New Roman" w:eastAsia="Times New Roman" w:hAnsi="Times New Roman"/>
          <w:sz w:val="16"/>
          <w:szCs w:val="16"/>
          <w:u w:val="single" w:color="auto"/>
          <w:color w:val="0000FF"/>
        </w:rPr>
      </w:pPr>
    </w:p>
    <w:p>
      <w:pPr>
        <w:spacing w:after="0" w:line="256" w:lineRule="auto"/>
        <w:rPr>
          <w:sz w:val="20"/>
          <w:szCs w:val="20"/>
          <w:color w:val="auto"/>
        </w:rPr>
      </w:pPr>
      <w:r>
        <w:rPr>
          <w:rFonts w:ascii="Times New Roman" w:cs="Times New Roman" w:eastAsia="Times New Roman" w:hAnsi="Times New Roman"/>
          <w:sz w:val="15"/>
          <w:szCs w:val="15"/>
          <w:color w:val="auto"/>
        </w:rPr>
        <w:t>Incorporated herein by reference to Exhibit 4.1 to the Registrant's current report on Form 8-K filed on October 8, 2025.</w:t>
      </w:r>
    </w:p>
    <w:p>
      <w:pPr>
        <w:spacing w:after="0" w:line="267" w:lineRule="auto"/>
        <w:rPr>
          <w:sz w:val="20"/>
          <w:szCs w:val="20"/>
          <w:color w:val="auto"/>
        </w:rPr>
      </w:pPr>
      <w:r>
        <w:rPr>
          <w:rFonts w:ascii="Times New Roman" w:cs="Times New Roman" w:eastAsia="Times New Roman" w:hAnsi="Times New Roman"/>
          <w:sz w:val="15"/>
          <w:szCs w:val="15"/>
          <w:color w:val="auto"/>
        </w:rPr>
        <w:t>Incorporated herein by reference to Exhibit 4.2 to the Registrant's current report on Form 8-K filed on October 8, 2025.</w:t>
      </w:r>
    </w:p>
    <w:p>
      <w:pPr>
        <w:spacing w:after="0" w:line="493" w:lineRule="exact"/>
        <w:rPr>
          <w:rFonts w:ascii="Times New Roman" w:cs="Times New Roman" w:eastAsia="Times New Roman" w:hAnsi="Times New Roman"/>
          <w:sz w:val="16"/>
          <w:szCs w:val="16"/>
          <w:u w:val="single" w:color="auto"/>
          <w:color w:val="0000FF"/>
        </w:rPr>
      </w:pPr>
    </w:p>
    <w:p>
      <w:pPr>
        <w:sectPr>
          <w:pgSz w:w="11900" w:h="16838" w:orient="portrait"/>
          <w:cols w:equalWidth="0" w:num="2">
            <w:col w:w="5240" w:space="240"/>
            <w:col w:w="4140"/>
          </w:cols>
          <w:pgMar w:left="1400" w:top="915" w:right="879" w:bottom="1440" w:gutter="0" w:footer="0" w:header="0"/>
        </w:sectPr>
      </w:pPr>
    </w:p>
    <w:p>
      <w:pPr>
        <w:spacing w:after="0" w:line="200" w:lineRule="exact"/>
        <w:rPr>
          <w:rFonts w:ascii="Times New Roman" w:cs="Times New Roman" w:eastAsia="Times New Roman" w:hAnsi="Times New Roman"/>
          <w:sz w:val="16"/>
          <w:szCs w:val="16"/>
          <w:u w:val="single" w:color="auto"/>
          <w:color w:val="0000FF"/>
        </w:rPr>
      </w:pPr>
    </w:p>
    <w:p>
      <w:pPr>
        <w:spacing w:after="0" w:line="221" w:lineRule="exact"/>
        <w:rPr>
          <w:rFonts w:ascii="Times New Roman" w:cs="Times New Roman" w:eastAsia="Times New Roman" w:hAnsi="Times New Roman"/>
          <w:sz w:val="16"/>
          <w:szCs w:val="16"/>
          <w:u w:val="single" w:color="auto"/>
          <w:color w:val="0000FF"/>
        </w:rPr>
      </w:pPr>
    </w:p>
    <w:p>
      <w:pPr>
        <w:jc w:val="center"/>
        <w:ind w:right="520"/>
        <w:spacing w:after="0"/>
        <w:rPr>
          <w:sz w:val="20"/>
          <w:szCs w:val="20"/>
          <w:color w:val="auto"/>
        </w:rPr>
      </w:pPr>
      <w:r>
        <w:rPr>
          <w:rFonts w:ascii="Times New Roman" w:cs="Times New Roman" w:eastAsia="Times New Roman" w:hAnsi="Times New Roman"/>
          <w:sz w:val="16"/>
          <w:szCs w:val="16"/>
          <w:color w:val="auto"/>
        </w:rPr>
        <w:t>163</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-694690</wp:posOffset>
            </wp:positionH>
            <wp:positionV relativeFrom="paragraph">
              <wp:posOffset>82550</wp:posOffset>
            </wp:positionV>
            <wp:extent cx="7160895" cy="419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9620"/>
          </w:cols>
          <w:pgMar w:left="1400" w:top="915" w:right="879" w:bottom="1440" w:gutter="0" w:footer="0" w:header="0"/>
          <w:type w:val="continuous"/>
        </w:sectPr>
      </w:pPr>
    </w:p>
    <w:bookmarkStart w:id="163" w:name="page164"/>
    <w:bookmarkEnd w:id="163"/>
    <w:p>
      <w:pPr>
        <w:ind w:left="640" w:hanging="530"/>
        <w:spacing w:after="0" w:line="221" w:lineRule="auto"/>
        <w:tabs>
          <w:tab w:leader="none" w:pos="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4.21</w:t>
      </w:r>
      <w:r>
        <w:rPr>
          <w:sz w:val="20"/>
          <w:szCs w:val="20"/>
          <w:color w:val="auto"/>
        </w:rPr>
        <w:tab/>
      </w:r>
      <w:hyperlink r:id="rId265">
        <w:r>
          <w:rPr>
            <w:rFonts w:ascii="Times New Roman" w:cs="Times New Roman" w:eastAsia="Times New Roman" w:hAnsi="Times New Roman"/>
            <w:sz w:val="16"/>
            <w:szCs w:val="16"/>
            <w:u w:val="single" w:color="auto"/>
            <w:color w:val="0000FF"/>
          </w:rPr>
          <w:t>Indenture, dated August 16, 2024, by and among Lighting Power, LLC, each of the</w:t>
        </w:r>
      </w:hyperlink>
      <w:r>
        <w:rPr>
          <w:rFonts w:ascii="Times New Roman" w:cs="Times New Roman" w:eastAsia="Times New Roman" w:hAnsi="Times New Roman"/>
          <w:sz w:val="16"/>
          <w:szCs w:val="16"/>
          <w:u w:val="single" w:color="auto"/>
          <w:color w:val="0000FF"/>
        </w:rPr>
        <w:t xml:space="preserve"> </w:t>
      </w:r>
      <w:hyperlink r:id="rId265">
        <w:r>
          <w:rPr>
            <w:rFonts w:ascii="Times New Roman" w:cs="Times New Roman" w:eastAsia="Times New Roman" w:hAnsi="Times New Roman"/>
            <w:sz w:val="16"/>
            <w:szCs w:val="16"/>
            <w:u w:val="single" w:color="auto"/>
            <w:color w:val="0000FF"/>
          </w:rPr>
          <w:t>subsidiary guarantors from time to time party thereto and U.S. Bank Trust</w:t>
        </w:r>
      </w:hyperlink>
      <w:r>
        <w:rPr>
          <w:rFonts w:ascii="Times New Roman" w:cs="Times New Roman" w:eastAsia="Times New Roman" w:hAnsi="Times New Roman"/>
          <w:sz w:val="16"/>
          <w:szCs w:val="16"/>
          <w:u w:val="single" w:color="auto"/>
          <w:color w:val="0000FF"/>
        </w:rPr>
        <w:t xml:space="preserve"> </w:t>
      </w:r>
      <w:hyperlink r:id="rId265">
        <w:r>
          <w:rPr>
            <w:rFonts w:ascii="Times New Roman" w:cs="Times New Roman" w:eastAsia="Times New Roman" w:hAnsi="Times New Roman"/>
            <w:sz w:val="16"/>
            <w:szCs w:val="16"/>
            <w:u w:val="single" w:color="auto"/>
            <w:color w:val="0000FF"/>
          </w:rPr>
          <w:t>Company, National Association, in its capacities as trustee and collateral trustee,</w:t>
        </w:r>
      </w:hyperlink>
      <w:r>
        <w:rPr>
          <w:rFonts w:ascii="Times New Roman" w:cs="Times New Roman" w:eastAsia="Times New Roman" w:hAnsi="Times New Roman"/>
          <w:sz w:val="16"/>
          <w:szCs w:val="16"/>
          <w:u w:val="single" w:color="auto"/>
          <w:color w:val="0000FF"/>
        </w:rPr>
        <w:t xml:space="preserve"> </w:t>
      </w:r>
      <w:hyperlink r:id="rId265">
        <w:r>
          <w:rPr>
            <w:rFonts w:ascii="Times New Roman" w:cs="Times New Roman" w:eastAsia="Times New Roman" w:hAnsi="Times New Roman"/>
            <w:sz w:val="16"/>
            <w:szCs w:val="16"/>
            <w:u w:val="single" w:color="auto"/>
            <w:color w:val="0000FF"/>
          </w:rPr>
          <w:t>containing Form of 7.250% Senior Secured Notes due 2032.</w:t>
        </w:r>
      </w:hyperlink>
    </w:p>
    <w:p>
      <w:pPr>
        <w:spacing w:after="0" w:line="7" w:lineRule="exact"/>
        <w:rPr>
          <w:rFonts w:ascii="Times New Roman" w:cs="Times New Roman" w:eastAsia="Times New Roman" w:hAnsi="Times New Roman"/>
          <w:sz w:val="16"/>
          <w:szCs w:val="16"/>
          <w:u w:val="single" w:color="auto"/>
          <w:color w:val="0000FF"/>
        </w:rPr>
      </w:pPr>
    </w:p>
    <w:p>
      <w:pPr>
        <w:ind w:left="640" w:right="100" w:hanging="530"/>
        <w:spacing w:after="0" w:line="227" w:lineRule="auto"/>
        <w:tabs>
          <w:tab w:leader="none" w:pos="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4.22</w:t>
      </w:r>
      <w:r>
        <w:rPr>
          <w:sz w:val="20"/>
          <w:szCs w:val="20"/>
          <w:color w:val="auto"/>
        </w:rPr>
        <w:tab/>
      </w:r>
      <w:hyperlink r:id="rId266">
        <w:r>
          <w:rPr>
            <w:rFonts w:ascii="Times New Roman" w:cs="Times New Roman" w:eastAsia="Times New Roman" w:hAnsi="Times New Roman"/>
            <w:sz w:val="16"/>
            <w:szCs w:val="16"/>
            <w:u w:val="single" w:color="auto"/>
            <w:color w:val="0000FF"/>
          </w:rPr>
          <w:t>Registration Rights Agreement, dated January 30, 2026, by and among NRG</w:t>
        </w:r>
      </w:hyperlink>
      <w:r>
        <w:rPr>
          <w:rFonts w:ascii="Times New Roman" w:cs="Times New Roman" w:eastAsia="Times New Roman" w:hAnsi="Times New Roman"/>
          <w:sz w:val="16"/>
          <w:szCs w:val="16"/>
          <w:u w:val="single" w:color="auto"/>
          <w:color w:val="0000FF"/>
        </w:rPr>
        <w:t xml:space="preserve"> </w:t>
      </w:r>
      <w:hyperlink r:id="rId266">
        <w:r>
          <w:rPr>
            <w:rFonts w:ascii="Times New Roman" w:cs="Times New Roman" w:eastAsia="Times New Roman" w:hAnsi="Times New Roman"/>
            <w:sz w:val="16"/>
            <w:szCs w:val="16"/>
            <w:u w:val="single" w:color="auto"/>
            <w:color w:val="0000FF"/>
          </w:rPr>
          <w:t>Energy, Inc., Lighting Power Holdings, LLC, Thunder Generation, LLC and CCS</w:t>
        </w:r>
      </w:hyperlink>
      <w:r>
        <w:rPr>
          <w:rFonts w:ascii="Times New Roman" w:cs="Times New Roman" w:eastAsia="Times New Roman" w:hAnsi="Times New Roman"/>
          <w:sz w:val="16"/>
          <w:szCs w:val="16"/>
          <w:u w:val="single" w:color="auto"/>
          <w:color w:val="0000FF"/>
        </w:rPr>
        <w:t xml:space="preserve"> </w:t>
      </w:r>
      <w:hyperlink r:id="rId266">
        <w:r>
          <w:rPr>
            <w:rFonts w:ascii="Times New Roman" w:cs="Times New Roman" w:eastAsia="Times New Roman" w:hAnsi="Times New Roman"/>
            <w:sz w:val="16"/>
            <w:szCs w:val="16"/>
            <w:u w:val="single" w:color="auto"/>
            <w:color w:val="0000FF"/>
          </w:rPr>
          <w:t>Power Holdings, LLC.</w:t>
        </w:r>
      </w:hyperlink>
    </w:p>
    <w:p>
      <w:pPr>
        <w:spacing w:after="0" w:line="4" w:lineRule="exact"/>
        <w:rPr>
          <w:rFonts w:ascii="Times New Roman" w:cs="Times New Roman" w:eastAsia="Times New Roman" w:hAnsi="Times New Roman"/>
          <w:sz w:val="16"/>
          <w:szCs w:val="16"/>
          <w:u w:val="single" w:color="auto"/>
          <w:color w:val="0000FF"/>
        </w:rPr>
      </w:pPr>
    </w:p>
    <w:p>
      <w:pPr>
        <w:ind w:left="640" w:right="60" w:hanging="530"/>
        <w:spacing w:after="0" w:line="237" w:lineRule="auto"/>
        <w:tabs>
          <w:tab w:leader="none" w:pos="620" w:val="left"/>
        </w:tabs>
        <w:rPr>
          <w:sz w:val="20"/>
          <w:szCs w:val="20"/>
          <w:color w:val="auto"/>
        </w:rPr>
      </w:pPr>
      <w:r>
        <w:rPr>
          <w:rFonts w:ascii="Times New Roman" w:cs="Times New Roman" w:eastAsia="Times New Roman" w:hAnsi="Times New Roman"/>
          <w:sz w:val="16"/>
          <w:szCs w:val="16"/>
          <w:color w:val="auto"/>
        </w:rPr>
        <w:t>4.23</w:t>
      </w:r>
      <w:r>
        <w:rPr>
          <w:sz w:val="20"/>
          <w:szCs w:val="20"/>
          <w:color w:val="auto"/>
        </w:rPr>
        <w:tab/>
      </w:r>
      <w:r>
        <w:rPr>
          <w:rFonts w:ascii="Times New Roman" w:cs="Times New Roman" w:eastAsia="Times New Roman" w:hAnsi="Times New Roman"/>
          <w:sz w:val="16"/>
          <w:szCs w:val="16"/>
          <w:u w:val="single" w:color="auto"/>
          <w:color w:val="0000FF"/>
        </w:rPr>
        <w:t>Description of NRG Energy, Inc. securities registered pursuant to section 12 of the Securities Exchange Act of 1934</w:t>
      </w:r>
    </w:p>
    <w:p>
      <w:pPr>
        <w:spacing w:after="0" w:line="5" w:lineRule="exact"/>
        <w:rPr>
          <w:rFonts w:ascii="Times New Roman" w:cs="Times New Roman" w:eastAsia="Times New Roman" w:hAnsi="Times New Roman"/>
          <w:sz w:val="16"/>
          <w:szCs w:val="16"/>
          <w:u w:val="single" w:color="auto"/>
          <w:color w:val="0000FF"/>
        </w:rPr>
      </w:pPr>
    </w:p>
    <w:p>
      <w:pPr>
        <w:jc w:val="both"/>
        <w:ind w:left="640" w:right="180" w:hanging="451"/>
        <w:spacing w:after="0" w:line="227" w:lineRule="auto"/>
        <w:tabs>
          <w:tab w:leader="none" w:pos="620" w:val="left"/>
        </w:tabs>
        <w:rPr>
          <w:sz w:val="20"/>
          <w:szCs w:val="20"/>
          <w:color w:val="auto"/>
        </w:rPr>
      </w:pPr>
      <w:r>
        <w:rPr>
          <w:rFonts w:ascii="Times New Roman" w:cs="Times New Roman" w:eastAsia="Times New Roman" w:hAnsi="Times New Roman"/>
          <w:sz w:val="16"/>
          <w:szCs w:val="16"/>
          <w:color w:val="auto"/>
        </w:rPr>
        <w:t>9.1</w:t>
      </w:r>
      <w:r>
        <w:rPr>
          <w:sz w:val="20"/>
          <w:szCs w:val="20"/>
          <w:color w:val="auto"/>
        </w:rPr>
        <w:tab/>
      </w:r>
      <w:r>
        <w:rPr>
          <w:rFonts w:ascii="Times New Roman" w:cs="Times New Roman" w:eastAsia="Times New Roman" w:hAnsi="Times New Roman"/>
          <w:sz w:val="16"/>
          <w:szCs w:val="16"/>
          <w:u w:val="single" w:color="auto"/>
          <w:color w:val="0000FF"/>
        </w:rPr>
        <w:t>Amended and Restated Voting Trust Agreement, dated January 30, 2026, by and among Lightning Power Holdings, LLC, Thunder Generation, LLC, CCS Power Holdings, LLC, and Wilmington Savings Fund Society, FSB</w:t>
      </w:r>
    </w:p>
    <w:p>
      <w:pPr>
        <w:spacing w:after="0" w:line="4" w:lineRule="exact"/>
        <w:rPr>
          <w:rFonts w:ascii="Times New Roman" w:cs="Times New Roman" w:eastAsia="Times New Roman" w:hAnsi="Times New Roman"/>
          <w:sz w:val="16"/>
          <w:szCs w:val="16"/>
          <w:u w:val="single" w:color="auto"/>
          <w:color w:val="0000FF"/>
        </w:rPr>
      </w:pPr>
    </w:p>
    <w:p>
      <w:pPr>
        <w:ind w:left="80"/>
        <w:spacing w:after="0"/>
        <w:tabs>
          <w:tab w:leader="none" w:pos="620" w:val="left"/>
        </w:tabs>
        <w:rPr>
          <w:rFonts w:ascii="Times New Roman" w:cs="Times New Roman" w:eastAsia="Times New Roman" w:hAnsi="Times New Roman"/>
          <w:sz w:val="15"/>
          <w:szCs w:val="15"/>
          <w:u w:val="single" w:color="auto"/>
          <w:color w:val="0000FF"/>
        </w:rPr>
      </w:pPr>
      <w:r>
        <w:rPr>
          <w:rFonts w:ascii="Times New Roman" w:cs="Times New Roman" w:eastAsia="Times New Roman" w:hAnsi="Times New Roman"/>
          <w:sz w:val="16"/>
          <w:szCs w:val="16"/>
          <w:color w:val="auto"/>
        </w:rPr>
        <w:t>10.1*</w:t>
      </w:r>
      <w:r>
        <w:rPr>
          <w:sz w:val="20"/>
          <w:szCs w:val="20"/>
          <w:color w:val="auto"/>
        </w:rPr>
        <w:tab/>
      </w:r>
      <w:hyperlink r:id="rId267">
        <w:r>
          <w:rPr>
            <w:rFonts w:ascii="Times New Roman" w:cs="Times New Roman" w:eastAsia="Times New Roman" w:hAnsi="Times New Roman"/>
            <w:sz w:val="15"/>
            <w:szCs w:val="15"/>
            <w:u w:val="single" w:color="auto"/>
            <w:color w:val="0000FF"/>
          </w:rPr>
          <w:t>The NRG Energy, Inc. Amended and Restated Long-Term Incentive Plan</w:t>
        </w:r>
      </w:hyperlink>
    </w:p>
    <w:p>
      <w:pPr>
        <w:spacing w:after="0" w:line="184" w:lineRule="exact"/>
        <w:rPr>
          <w:rFonts w:ascii="Times New Roman" w:cs="Times New Roman" w:eastAsia="Times New Roman" w:hAnsi="Times New Roman"/>
          <w:sz w:val="16"/>
          <w:szCs w:val="16"/>
          <w:u w:val="single" w:color="auto"/>
          <w:color w:val="0000FF"/>
        </w:rPr>
      </w:pPr>
    </w:p>
    <w:p>
      <w:pPr>
        <w:ind w:left="640" w:right="480" w:hanging="560"/>
        <w:spacing w:after="0" w:line="237" w:lineRule="auto"/>
        <w:tabs>
          <w:tab w:leader="none" w:pos="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w:t>
      </w:r>
      <w:r>
        <w:rPr>
          <w:sz w:val="20"/>
          <w:szCs w:val="20"/>
          <w:color w:val="auto"/>
        </w:rPr>
        <w:tab/>
      </w:r>
      <w:hyperlink r:id="rId268">
        <w:r>
          <w:rPr>
            <w:rFonts w:ascii="Times New Roman" w:cs="Times New Roman" w:eastAsia="Times New Roman" w:hAnsi="Times New Roman"/>
            <w:sz w:val="16"/>
            <w:szCs w:val="16"/>
            <w:u w:val="single" w:color="auto"/>
            <w:color w:val="0000FF"/>
          </w:rPr>
          <w:t>Form of NRG Energy, Inc. Long-Term Incentive Plan Restricted Stock Unit</w:t>
        </w:r>
      </w:hyperlink>
      <w:r>
        <w:rPr>
          <w:rFonts w:ascii="Times New Roman" w:cs="Times New Roman" w:eastAsia="Times New Roman" w:hAnsi="Times New Roman"/>
          <w:sz w:val="16"/>
          <w:szCs w:val="16"/>
          <w:u w:val="single" w:color="auto"/>
          <w:color w:val="0000FF"/>
        </w:rPr>
        <w:t xml:space="preserve"> </w:t>
      </w:r>
      <w:hyperlink r:id="rId268">
        <w:r>
          <w:rPr>
            <w:rFonts w:ascii="Times New Roman" w:cs="Times New Roman" w:eastAsia="Times New Roman" w:hAnsi="Times New Roman"/>
            <w:sz w:val="16"/>
            <w:szCs w:val="16"/>
            <w:u w:val="single" w:color="auto"/>
            <w:color w:val="0000FF"/>
          </w:rPr>
          <w:t>Agreement.</w:t>
        </w:r>
      </w:hyperlink>
    </w:p>
    <w:p>
      <w:pPr>
        <w:spacing w:after="0" w:line="163" w:lineRule="exact"/>
        <w:rPr>
          <w:sz w:val="20"/>
          <w:szCs w:val="20"/>
          <w:color w:val="auto"/>
        </w:rPr>
      </w:pPr>
    </w:p>
    <w:p>
      <w:pPr>
        <w:ind w:left="640" w:right="480" w:hanging="560"/>
        <w:spacing w:after="0" w:line="237" w:lineRule="auto"/>
        <w:tabs>
          <w:tab w:leader="none" w:pos="620" w:val="left"/>
        </w:tabs>
        <w:rPr>
          <w:sz w:val="20"/>
          <w:szCs w:val="20"/>
          <w:color w:val="auto"/>
        </w:rPr>
      </w:pPr>
      <w:r>
        <w:rPr>
          <w:rFonts w:ascii="Times New Roman" w:cs="Times New Roman" w:eastAsia="Times New Roman" w:hAnsi="Times New Roman"/>
          <w:sz w:val="16"/>
          <w:szCs w:val="16"/>
          <w:color w:val="auto"/>
        </w:rPr>
        <w:t>10.3*</w:t>
      </w:r>
      <w:r>
        <w:rPr>
          <w:sz w:val="20"/>
          <w:szCs w:val="20"/>
          <w:color w:val="auto"/>
        </w:rPr>
        <w:tab/>
      </w:r>
      <w:r>
        <w:rPr>
          <w:rFonts w:ascii="Times New Roman" w:cs="Times New Roman" w:eastAsia="Times New Roman" w:hAnsi="Times New Roman"/>
          <w:sz w:val="16"/>
          <w:szCs w:val="16"/>
          <w:u w:val="single" w:color="auto"/>
          <w:color w:val="0000FF"/>
        </w:rPr>
        <w:t>Form of NRG Energy, Inc. Long-Term Incentive Plan Restricted Stock Unit Agreement.</w:t>
      </w:r>
    </w:p>
    <w:p>
      <w:pPr>
        <w:spacing w:after="0" w:line="5" w:lineRule="exact"/>
        <w:rPr>
          <w:sz w:val="20"/>
          <w:szCs w:val="20"/>
          <w:color w:val="auto"/>
        </w:rPr>
      </w:pPr>
    </w:p>
    <w:p>
      <w:pPr>
        <w:ind w:left="640" w:right="560" w:hanging="560"/>
        <w:spacing w:after="0" w:line="237" w:lineRule="auto"/>
        <w:tabs>
          <w:tab w:leader="none" w:pos="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10.4*</w:t>
      </w:r>
      <w:r>
        <w:rPr>
          <w:sz w:val="20"/>
          <w:szCs w:val="20"/>
          <w:color w:val="auto"/>
        </w:rPr>
        <w:tab/>
      </w:r>
      <w:hyperlink r:id="rId269">
        <w:r>
          <w:rPr>
            <w:rFonts w:ascii="Times New Roman" w:cs="Times New Roman" w:eastAsia="Times New Roman" w:hAnsi="Times New Roman"/>
            <w:sz w:val="16"/>
            <w:szCs w:val="16"/>
            <w:u w:val="single" w:color="auto"/>
            <w:color w:val="0000FF"/>
          </w:rPr>
          <w:t>Form of NRG Energy, Inc. Long-Term Incentive Plan Deferred Stock Unit</w:t>
        </w:r>
      </w:hyperlink>
      <w:r>
        <w:rPr>
          <w:rFonts w:ascii="Times New Roman" w:cs="Times New Roman" w:eastAsia="Times New Roman" w:hAnsi="Times New Roman"/>
          <w:sz w:val="16"/>
          <w:szCs w:val="16"/>
          <w:u w:val="single" w:color="auto"/>
          <w:color w:val="0000FF"/>
        </w:rPr>
        <w:t xml:space="preserve"> </w:t>
      </w:r>
      <w:hyperlink r:id="rId269">
        <w:r>
          <w:rPr>
            <w:rFonts w:ascii="Times New Roman" w:cs="Times New Roman" w:eastAsia="Times New Roman" w:hAnsi="Times New Roman"/>
            <w:sz w:val="16"/>
            <w:szCs w:val="16"/>
            <w:u w:val="single" w:color="auto"/>
            <w:color w:val="0000FF"/>
          </w:rPr>
          <w:t>Agreement for Directors.</w:t>
        </w:r>
      </w:hyperlink>
    </w:p>
    <w:p>
      <w:pPr>
        <w:spacing w:after="0" w:line="5" w:lineRule="exact"/>
        <w:rPr>
          <w:sz w:val="20"/>
          <w:szCs w:val="20"/>
          <w:color w:val="auto"/>
        </w:rPr>
      </w:pPr>
    </w:p>
    <w:p>
      <w:pPr>
        <w:ind w:left="640" w:right="60" w:hanging="560"/>
        <w:spacing w:after="0" w:line="237" w:lineRule="auto"/>
        <w:tabs>
          <w:tab w:leader="none" w:pos="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10.5*</w:t>
      </w:r>
      <w:r>
        <w:rPr>
          <w:sz w:val="20"/>
          <w:szCs w:val="20"/>
          <w:color w:val="auto"/>
        </w:rPr>
        <w:tab/>
      </w:r>
      <w:hyperlink r:id="rId270">
        <w:r>
          <w:rPr>
            <w:rFonts w:ascii="Times New Roman" w:cs="Times New Roman" w:eastAsia="Times New Roman" w:hAnsi="Times New Roman"/>
            <w:sz w:val="16"/>
            <w:szCs w:val="16"/>
            <w:u w:val="single" w:color="auto"/>
            <w:color w:val="0000FF"/>
          </w:rPr>
          <w:t>Form of NRG Energy, Inc. Long-Term Incentive Plan Relative Performance Stock</w:t>
        </w:r>
      </w:hyperlink>
      <w:r>
        <w:rPr>
          <w:rFonts w:ascii="Times New Roman" w:cs="Times New Roman" w:eastAsia="Times New Roman" w:hAnsi="Times New Roman"/>
          <w:sz w:val="16"/>
          <w:szCs w:val="16"/>
          <w:u w:val="single" w:color="auto"/>
          <w:color w:val="0000FF"/>
        </w:rPr>
        <w:t xml:space="preserve"> </w:t>
      </w:r>
      <w:hyperlink r:id="rId270">
        <w:r>
          <w:rPr>
            <w:rFonts w:ascii="Times New Roman" w:cs="Times New Roman" w:eastAsia="Times New Roman" w:hAnsi="Times New Roman"/>
            <w:sz w:val="16"/>
            <w:szCs w:val="16"/>
            <w:u w:val="single" w:color="auto"/>
            <w:color w:val="0000FF"/>
          </w:rPr>
          <w:t>Unit Agreement for Senior Vice Presidents.</w:t>
        </w:r>
      </w:hyperlink>
    </w:p>
    <w:p>
      <w:pPr>
        <w:spacing w:after="0" w:line="163" w:lineRule="exact"/>
        <w:rPr>
          <w:sz w:val="20"/>
          <w:szCs w:val="20"/>
          <w:color w:val="auto"/>
        </w:rPr>
      </w:pPr>
    </w:p>
    <w:p>
      <w:pPr>
        <w:ind w:left="640" w:right="60" w:hanging="560"/>
        <w:spacing w:after="0" w:line="237" w:lineRule="auto"/>
        <w:tabs>
          <w:tab w:leader="none" w:pos="620" w:val="left"/>
        </w:tabs>
        <w:rPr>
          <w:sz w:val="20"/>
          <w:szCs w:val="20"/>
          <w:color w:val="auto"/>
        </w:rPr>
      </w:pPr>
      <w:r>
        <w:rPr>
          <w:rFonts w:ascii="Times New Roman" w:cs="Times New Roman" w:eastAsia="Times New Roman" w:hAnsi="Times New Roman"/>
          <w:sz w:val="16"/>
          <w:szCs w:val="16"/>
          <w:color w:val="auto"/>
        </w:rPr>
        <w:t>10.6*</w:t>
      </w:r>
      <w:r>
        <w:rPr>
          <w:sz w:val="20"/>
          <w:szCs w:val="20"/>
          <w:color w:val="auto"/>
        </w:rPr>
        <w:tab/>
      </w:r>
      <w:r>
        <w:rPr>
          <w:rFonts w:ascii="Times New Roman" w:cs="Times New Roman" w:eastAsia="Times New Roman" w:hAnsi="Times New Roman"/>
          <w:sz w:val="16"/>
          <w:szCs w:val="16"/>
          <w:u w:val="single" w:color="auto"/>
          <w:color w:val="0000FF"/>
        </w:rPr>
        <w:t>Form of NRG Energy, Inc. Long-Term Incentive Plan Relative Performance Stock Unit Agreement for Senior and Executive Vice Presidents.</w:t>
      </w:r>
    </w:p>
    <w:p>
      <w:pPr>
        <w:spacing w:after="0" w:line="5" w:lineRule="exact"/>
        <w:rPr>
          <w:sz w:val="20"/>
          <w:szCs w:val="20"/>
          <w:color w:val="auto"/>
        </w:rPr>
      </w:pPr>
    </w:p>
    <w:p>
      <w:pPr>
        <w:ind w:left="640" w:right="480" w:hanging="560"/>
        <w:spacing w:after="0" w:line="237" w:lineRule="auto"/>
        <w:tabs>
          <w:tab w:leader="none" w:pos="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10.7*</w:t>
      </w:r>
      <w:r>
        <w:rPr>
          <w:sz w:val="20"/>
          <w:szCs w:val="20"/>
          <w:color w:val="auto"/>
        </w:rPr>
        <w:tab/>
      </w:r>
      <w:hyperlink r:id="rId271">
        <w:r>
          <w:rPr>
            <w:rFonts w:ascii="Times New Roman" w:cs="Times New Roman" w:eastAsia="Times New Roman" w:hAnsi="Times New Roman"/>
            <w:sz w:val="16"/>
            <w:szCs w:val="16"/>
            <w:u w:val="single" w:color="auto"/>
            <w:color w:val="0000FF"/>
          </w:rPr>
          <w:t>Restricted Stock Unit Agreement, dated December 15, 2023, between NRG</w:t>
        </w:r>
      </w:hyperlink>
      <w:r>
        <w:rPr>
          <w:rFonts w:ascii="Times New Roman" w:cs="Times New Roman" w:eastAsia="Times New Roman" w:hAnsi="Times New Roman"/>
          <w:sz w:val="16"/>
          <w:szCs w:val="16"/>
          <w:u w:val="single" w:color="auto"/>
          <w:color w:val="0000FF"/>
        </w:rPr>
        <w:t xml:space="preserve"> </w:t>
      </w:r>
      <w:hyperlink r:id="rId271">
        <w:r>
          <w:rPr>
            <w:rFonts w:ascii="Times New Roman" w:cs="Times New Roman" w:eastAsia="Times New Roman" w:hAnsi="Times New Roman"/>
            <w:sz w:val="16"/>
            <w:szCs w:val="16"/>
            <w:u w:val="single" w:color="auto"/>
            <w:color w:val="0000FF"/>
          </w:rPr>
          <w:t>Energy, Inc. and Lawrence S. Coben</w:t>
        </w:r>
      </w:hyperlink>
    </w:p>
    <w:p>
      <w:pPr>
        <w:spacing w:after="0" w:line="163" w:lineRule="exact"/>
        <w:rPr>
          <w:sz w:val="20"/>
          <w:szCs w:val="20"/>
          <w:color w:val="auto"/>
        </w:rPr>
      </w:pPr>
    </w:p>
    <w:p>
      <w:pPr>
        <w:ind w:left="640" w:right="20" w:hanging="560"/>
        <w:spacing w:after="0" w:line="237" w:lineRule="auto"/>
        <w:tabs>
          <w:tab w:leader="none" w:pos="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10.8*</w:t>
      </w:r>
      <w:r>
        <w:rPr>
          <w:sz w:val="20"/>
          <w:szCs w:val="20"/>
          <w:color w:val="auto"/>
        </w:rPr>
        <w:tab/>
      </w:r>
      <w:hyperlink r:id="rId272">
        <w:r>
          <w:rPr>
            <w:rFonts w:ascii="Times New Roman" w:cs="Times New Roman" w:eastAsia="Times New Roman" w:hAnsi="Times New Roman"/>
            <w:sz w:val="16"/>
            <w:szCs w:val="16"/>
            <w:u w:val="single" w:color="auto"/>
            <w:color w:val="0000FF"/>
          </w:rPr>
          <w:t>Relative Performance Stock Unit Agreement, dated August 1, 2024, between NRG</w:t>
        </w:r>
      </w:hyperlink>
      <w:r>
        <w:rPr>
          <w:rFonts w:ascii="Times New Roman" w:cs="Times New Roman" w:eastAsia="Times New Roman" w:hAnsi="Times New Roman"/>
          <w:sz w:val="16"/>
          <w:szCs w:val="16"/>
          <w:u w:val="single" w:color="auto"/>
          <w:color w:val="0000FF"/>
        </w:rPr>
        <w:t xml:space="preserve"> </w:t>
      </w:r>
      <w:hyperlink r:id="rId272">
        <w:r>
          <w:rPr>
            <w:rFonts w:ascii="Times New Roman" w:cs="Times New Roman" w:eastAsia="Times New Roman" w:hAnsi="Times New Roman"/>
            <w:sz w:val="16"/>
            <w:szCs w:val="16"/>
            <w:u w:val="single" w:color="auto"/>
            <w:color w:val="0000FF"/>
          </w:rPr>
          <w:t>Energy, Inc. and Lawrence S. Coben</w:t>
        </w:r>
      </w:hyperlink>
    </w:p>
    <w:p>
      <w:pPr>
        <w:spacing w:after="0" w:line="163" w:lineRule="exact"/>
        <w:rPr>
          <w:sz w:val="20"/>
          <w:szCs w:val="20"/>
          <w:color w:val="auto"/>
        </w:rPr>
      </w:pPr>
    </w:p>
    <w:p>
      <w:pPr>
        <w:ind w:left="640" w:right="480" w:hanging="560"/>
        <w:spacing w:after="0" w:line="237" w:lineRule="auto"/>
        <w:tabs>
          <w:tab w:leader="none" w:pos="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10.9*</w:t>
      </w:r>
      <w:r>
        <w:rPr>
          <w:sz w:val="20"/>
          <w:szCs w:val="20"/>
          <w:color w:val="auto"/>
        </w:rPr>
        <w:tab/>
      </w:r>
      <w:hyperlink r:id="rId273">
        <w:r>
          <w:rPr>
            <w:rFonts w:ascii="Times New Roman" w:cs="Times New Roman" w:eastAsia="Times New Roman" w:hAnsi="Times New Roman"/>
            <w:sz w:val="16"/>
            <w:szCs w:val="16"/>
            <w:u w:val="single" w:color="auto"/>
            <w:color w:val="0000FF"/>
          </w:rPr>
          <w:t>Form of NRG Energy, Inc. Long-Term Incentive Plan Restricted Stock Unit</w:t>
        </w:r>
      </w:hyperlink>
      <w:r>
        <w:rPr>
          <w:rFonts w:ascii="Times New Roman" w:cs="Times New Roman" w:eastAsia="Times New Roman" w:hAnsi="Times New Roman"/>
          <w:sz w:val="16"/>
          <w:szCs w:val="16"/>
          <w:u w:val="single" w:color="auto"/>
          <w:color w:val="0000FF"/>
        </w:rPr>
        <w:t xml:space="preserve"> </w:t>
      </w:r>
      <w:hyperlink r:id="rId273">
        <w:r>
          <w:rPr>
            <w:rFonts w:ascii="Times New Roman" w:cs="Times New Roman" w:eastAsia="Times New Roman" w:hAnsi="Times New Roman"/>
            <w:sz w:val="16"/>
            <w:szCs w:val="16"/>
            <w:u w:val="single" w:color="auto"/>
            <w:color w:val="0000FF"/>
          </w:rPr>
          <w:t>Agreement for Chief Executive Officer</w:t>
        </w:r>
      </w:hyperlink>
    </w:p>
    <w:p>
      <w:pPr>
        <w:spacing w:after="0" w:line="163" w:lineRule="exact"/>
        <w:rPr>
          <w:sz w:val="20"/>
          <w:szCs w:val="20"/>
          <w:color w:val="auto"/>
        </w:rPr>
      </w:pPr>
    </w:p>
    <w:p>
      <w:pPr>
        <w:ind w:left="640" w:right="480" w:hanging="639"/>
        <w:spacing w:after="0" w:line="237" w:lineRule="auto"/>
        <w:tabs>
          <w:tab w:leader="none" w:pos="620" w:val="left"/>
        </w:tabs>
        <w:rPr>
          <w:sz w:val="20"/>
          <w:szCs w:val="20"/>
          <w:color w:val="auto"/>
        </w:rPr>
      </w:pPr>
      <w:r>
        <w:rPr>
          <w:rFonts w:ascii="Times New Roman" w:cs="Times New Roman" w:eastAsia="Times New Roman" w:hAnsi="Times New Roman"/>
          <w:sz w:val="16"/>
          <w:szCs w:val="16"/>
          <w:color w:val="auto"/>
        </w:rPr>
        <w:t>10.10*</w:t>
      </w:r>
      <w:r>
        <w:rPr>
          <w:sz w:val="20"/>
          <w:szCs w:val="20"/>
          <w:color w:val="auto"/>
        </w:rPr>
        <w:tab/>
      </w:r>
      <w:r>
        <w:rPr>
          <w:rFonts w:ascii="Times New Roman" w:cs="Times New Roman" w:eastAsia="Times New Roman" w:hAnsi="Times New Roman"/>
          <w:sz w:val="16"/>
          <w:szCs w:val="16"/>
          <w:u w:val="single" w:color="auto"/>
          <w:color w:val="0000FF"/>
        </w:rPr>
        <w:t>Form of NRG Energy, Inc. Long-Term Incentive Plan Restricted Stock Unit Agreement for Chief Executive Officer</w:t>
      </w:r>
    </w:p>
    <w:p>
      <w:pPr>
        <w:spacing w:after="0" w:line="5" w:lineRule="exact"/>
        <w:rPr>
          <w:sz w:val="20"/>
          <w:szCs w:val="20"/>
          <w:color w:val="auto"/>
        </w:rPr>
      </w:pPr>
    </w:p>
    <w:p>
      <w:pPr>
        <w:ind w:left="640" w:right="60" w:hanging="633"/>
        <w:spacing w:after="0" w:line="237" w:lineRule="auto"/>
        <w:tabs>
          <w:tab w:leader="none" w:pos="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10.11*</w:t>
      </w:r>
      <w:r>
        <w:rPr>
          <w:sz w:val="20"/>
          <w:szCs w:val="20"/>
          <w:color w:val="auto"/>
        </w:rPr>
        <w:tab/>
      </w:r>
      <w:hyperlink r:id="rId274">
        <w:r>
          <w:rPr>
            <w:rFonts w:ascii="Times New Roman" w:cs="Times New Roman" w:eastAsia="Times New Roman" w:hAnsi="Times New Roman"/>
            <w:sz w:val="16"/>
            <w:szCs w:val="16"/>
            <w:u w:val="single" w:color="auto"/>
            <w:color w:val="0000FF"/>
          </w:rPr>
          <w:t>Form of NRG Energy, Inc. Long-Term Incentive Plan Relative Performance Stock</w:t>
        </w:r>
      </w:hyperlink>
      <w:r>
        <w:rPr>
          <w:rFonts w:ascii="Times New Roman" w:cs="Times New Roman" w:eastAsia="Times New Roman" w:hAnsi="Times New Roman"/>
          <w:sz w:val="16"/>
          <w:szCs w:val="16"/>
          <w:u w:val="single" w:color="auto"/>
          <w:color w:val="0000FF"/>
        </w:rPr>
        <w:t xml:space="preserve"> </w:t>
      </w:r>
      <w:hyperlink r:id="rId274">
        <w:r>
          <w:rPr>
            <w:rFonts w:ascii="Times New Roman" w:cs="Times New Roman" w:eastAsia="Times New Roman" w:hAnsi="Times New Roman"/>
            <w:sz w:val="16"/>
            <w:szCs w:val="16"/>
            <w:u w:val="single" w:color="auto"/>
            <w:color w:val="0000FF"/>
          </w:rPr>
          <w:t>Unit Agreement for Chief Executive Officer</w:t>
        </w:r>
      </w:hyperlink>
    </w:p>
    <w:p>
      <w:pPr>
        <w:spacing w:after="0" w:line="163" w:lineRule="exact"/>
        <w:rPr>
          <w:sz w:val="20"/>
          <w:szCs w:val="20"/>
          <w:color w:val="auto"/>
        </w:rPr>
      </w:pPr>
    </w:p>
    <w:p>
      <w:pPr>
        <w:ind w:left="640" w:right="60" w:hanging="639"/>
        <w:spacing w:after="0" w:line="237" w:lineRule="auto"/>
        <w:tabs>
          <w:tab w:leader="none" w:pos="620" w:val="left"/>
        </w:tabs>
        <w:rPr>
          <w:sz w:val="20"/>
          <w:szCs w:val="20"/>
          <w:color w:val="auto"/>
        </w:rPr>
      </w:pPr>
      <w:r>
        <w:rPr>
          <w:rFonts w:ascii="Times New Roman" w:cs="Times New Roman" w:eastAsia="Times New Roman" w:hAnsi="Times New Roman"/>
          <w:sz w:val="16"/>
          <w:szCs w:val="16"/>
          <w:color w:val="auto"/>
        </w:rPr>
        <w:t>10.12*</w:t>
      </w:r>
      <w:r>
        <w:rPr>
          <w:sz w:val="20"/>
          <w:szCs w:val="20"/>
          <w:color w:val="auto"/>
        </w:rPr>
        <w:tab/>
      </w:r>
      <w:r>
        <w:rPr>
          <w:rFonts w:ascii="Times New Roman" w:cs="Times New Roman" w:eastAsia="Times New Roman" w:hAnsi="Times New Roman"/>
          <w:sz w:val="16"/>
          <w:szCs w:val="16"/>
          <w:u w:val="single" w:color="auto"/>
          <w:color w:val="0000FF"/>
        </w:rPr>
        <w:t>Form of NRG Energy, Inc. Long-Term Incentive Plan Relative Performance Stock Unit Agreement for Chief Executive Officer</w:t>
      </w:r>
    </w:p>
    <w:p>
      <w:pPr>
        <w:spacing w:after="0" w:line="5" w:lineRule="exact"/>
        <w:rPr>
          <w:sz w:val="20"/>
          <w:szCs w:val="20"/>
          <w:color w:val="auto"/>
        </w:rPr>
      </w:pPr>
    </w:p>
    <w:p>
      <w:pPr>
        <w:ind w:left="640" w:right="20" w:hanging="639"/>
        <w:spacing w:after="0" w:line="237" w:lineRule="auto"/>
        <w:tabs>
          <w:tab w:leader="none" w:pos="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10.13*</w:t>
      </w:r>
      <w:r>
        <w:rPr>
          <w:sz w:val="20"/>
          <w:szCs w:val="20"/>
          <w:color w:val="auto"/>
        </w:rPr>
        <w:tab/>
      </w:r>
      <w:hyperlink r:id="rId275">
        <w:r>
          <w:rPr>
            <w:rFonts w:ascii="Times New Roman" w:cs="Times New Roman" w:eastAsia="Times New Roman" w:hAnsi="Times New Roman"/>
            <w:sz w:val="16"/>
            <w:szCs w:val="16"/>
            <w:u w:val="single" w:color="auto"/>
            <w:color w:val="0000FF"/>
          </w:rPr>
          <w:t>NRG Energy, Inc., 2020 Omnibus Incentive Plan (Legacy Vivint) (formerly known</w:t>
        </w:r>
      </w:hyperlink>
      <w:r>
        <w:rPr>
          <w:rFonts w:ascii="Times New Roman" w:cs="Times New Roman" w:eastAsia="Times New Roman" w:hAnsi="Times New Roman"/>
          <w:sz w:val="16"/>
          <w:szCs w:val="16"/>
          <w:u w:val="single" w:color="auto"/>
          <w:color w:val="0000FF"/>
        </w:rPr>
        <w:t xml:space="preserve"> </w:t>
      </w:r>
      <w:hyperlink r:id="rId275">
        <w:r>
          <w:rPr>
            <w:rFonts w:ascii="Times New Roman" w:cs="Times New Roman" w:eastAsia="Times New Roman" w:hAnsi="Times New Roman"/>
            <w:sz w:val="16"/>
            <w:szCs w:val="16"/>
            <w:u w:val="single" w:color="auto"/>
            <w:color w:val="0000FF"/>
          </w:rPr>
          <w:t>as the Vivint Smart Home, Inc. Long-Term Incentive Plan)</w:t>
        </w:r>
      </w:hyperlink>
    </w:p>
    <w:p>
      <w:pPr>
        <w:spacing w:after="0" w:line="321" w:lineRule="exact"/>
        <w:rPr>
          <w:sz w:val="20"/>
          <w:szCs w:val="20"/>
          <w:color w:val="auto"/>
        </w:rPr>
      </w:pPr>
    </w:p>
    <w:p>
      <w:pPr>
        <w:spacing w:after="0"/>
        <w:tabs>
          <w:tab w:leader="none" w:pos="620" w:val="left"/>
        </w:tabs>
        <w:rPr>
          <w:rFonts w:ascii="Times New Roman" w:cs="Times New Roman" w:eastAsia="Times New Roman" w:hAnsi="Times New Roman"/>
          <w:sz w:val="15"/>
          <w:szCs w:val="15"/>
          <w:u w:val="single" w:color="auto"/>
          <w:color w:val="0000FF"/>
        </w:rPr>
      </w:pPr>
      <w:r>
        <w:rPr>
          <w:rFonts w:ascii="Times New Roman" w:cs="Times New Roman" w:eastAsia="Times New Roman" w:hAnsi="Times New Roman"/>
          <w:sz w:val="16"/>
          <w:szCs w:val="16"/>
          <w:color w:val="auto"/>
        </w:rPr>
        <w:t>10.14*</w:t>
      </w:r>
      <w:r>
        <w:rPr>
          <w:sz w:val="20"/>
          <w:szCs w:val="20"/>
          <w:color w:val="auto"/>
        </w:rPr>
        <w:tab/>
      </w:r>
      <w:hyperlink r:id="rId276">
        <w:r>
          <w:rPr>
            <w:rFonts w:ascii="Times New Roman" w:cs="Times New Roman" w:eastAsia="Times New Roman" w:hAnsi="Times New Roman"/>
            <w:sz w:val="15"/>
            <w:szCs w:val="15"/>
            <w:u w:val="single" w:color="auto"/>
            <w:color w:val="0000FF"/>
          </w:rPr>
          <w:t>Amendment to NRG Energy, Inc. 2020 Omnibus Incentive Plan (Legacy Vivint)</w:t>
        </w:r>
      </w:hyperlink>
    </w:p>
    <w:p>
      <w:pPr>
        <w:spacing w:after="0" w:line="184" w:lineRule="exact"/>
        <w:rPr>
          <w:sz w:val="20"/>
          <w:szCs w:val="20"/>
          <w:color w:val="auto"/>
        </w:rPr>
      </w:pPr>
    </w:p>
    <w:p>
      <w:pPr>
        <w:ind w:left="640" w:right="160" w:hanging="639"/>
        <w:spacing w:after="0" w:line="237" w:lineRule="auto"/>
        <w:tabs>
          <w:tab w:leader="none" w:pos="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10.15*</w:t>
      </w:r>
      <w:r>
        <w:rPr>
          <w:sz w:val="20"/>
          <w:szCs w:val="20"/>
          <w:color w:val="auto"/>
        </w:rPr>
        <w:tab/>
      </w:r>
      <w:hyperlink r:id="rId277">
        <w:r>
          <w:rPr>
            <w:rFonts w:ascii="Times New Roman" w:cs="Times New Roman" w:eastAsia="Times New Roman" w:hAnsi="Times New Roman"/>
            <w:sz w:val="16"/>
            <w:szCs w:val="16"/>
            <w:u w:val="single" w:color="auto"/>
            <w:color w:val="0000FF"/>
          </w:rPr>
          <w:t>Second Amendment to NRG Energy, Inc. 2020 Omnibus Incentive Plan (Legacy</w:t>
        </w:r>
      </w:hyperlink>
      <w:r>
        <w:rPr>
          <w:rFonts w:ascii="Times New Roman" w:cs="Times New Roman" w:eastAsia="Times New Roman" w:hAnsi="Times New Roman"/>
          <w:sz w:val="16"/>
          <w:szCs w:val="16"/>
          <w:u w:val="single" w:color="auto"/>
          <w:color w:val="0000FF"/>
        </w:rPr>
        <w:t xml:space="preserve"> </w:t>
      </w:r>
      <w:hyperlink r:id="rId277">
        <w:r>
          <w:rPr>
            <w:rFonts w:ascii="Times New Roman" w:cs="Times New Roman" w:eastAsia="Times New Roman" w:hAnsi="Times New Roman"/>
            <w:sz w:val="16"/>
            <w:szCs w:val="16"/>
            <w:u w:val="single" w:color="auto"/>
            <w:color w:val="0000FF"/>
          </w:rPr>
          <w:t>Vivint)</w:t>
        </w:r>
      </w:hyperlink>
    </w:p>
    <w:p>
      <w:pPr>
        <w:spacing w:after="0" w:line="20" w:lineRule="exact"/>
        <w:rPr>
          <w:sz w:val="20"/>
          <w:szCs w:val="20"/>
          <w:color w:val="auto"/>
        </w:rPr>
      </w:pPr>
      <w:r>
        <w:rPr>
          <w:sz w:val="20"/>
          <w:szCs w:val="20"/>
          <w:color w:val="auto"/>
        </w:rPr>
        <w:br w:type="column"/>
      </w:r>
    </w:p>
    <w:p>
      <w:pPr>
        <w:ind w:right="80"/>
        <w:spacing w:after="0" w:line="227" w:lineRule="auto"/>
        <w:rPr>
          <w:sz w:val="20"/>
          <w:szCs w:val="20"/>
          <w:color w:val="auto"/>
        </w:rPr>
      </w:pPr>
      <w:r>
        <w:rPr>
          <w:rFonts w:ascii="Times New Roman" w:cs="Times New Roman" w:eastAsia="Times New Roman" w:hAnsi="Times New Roman"/>
          <w:sz w:val="16"/>
          <w:szCs w:val="16"/>
          <w:color w:val="auto"/>
        </w:rPr>
        <w:t>Incorporated herein by reference to Exhibit 4.2 to the Registrant's current report on Form 8-K filed on January 30, 2026.</w:t>
      </w:r>
    </w:p>
    <w:p>
      <w:pPr>
        <w:spacing w:after="0" w:line="162"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5"/>
          <w:szCs w:val="15"/>
          <w:color w:val="auto"/>
        </w:rPr>
        <w:t>Incorporated herein by reference to Exhibit 4.1 to the Registrant's current report on Form 8-K filed on January 30, 2026.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4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5"/>
          <w:szCs w:val="15"/>
          <w:color w:val="auto"/>
        </w:rPr>
        <w:t>Incorporated herein by reference to Exhibit 10.3 to the Registrant's quarterly report on Form 10-Q filed on August 8, 2024.</w:t>
      </w:r>
    </w:p>
    <w:p>
      <w:pPr>
        <w:ind w:right="280"/>
        <w:spacing w:after="0" w:line="227" w:lineRule="auto"/>
        <w:rPr>
          <w:sz w:val="20"/>
          <w:szCs w:val="20"/>
          <w:color w:val="auto"/>
        </w:rPr>
      </w:pPr>
      <w:r>
        <w:rPr>
          <w:rFonts w:ascii="Times New Roman" w:cs="Times New Roman" w:eastAsia="Times New Roman" w:hAnsi="Times New Roman"/>
          <w:sz w:val="16"/>
          <w:szCs w:val="16"/>
          <w:color w:val="auto"/>
        </w:rPr>
        <w:t>Incorporated herein by reference to Exhibit 10.24 to the Registrant's annual report on Form 10-K filed on February 28, 2024.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8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5"/>
          <w:szCs w:val="15"/>
          <w:color w:val="auto"/>
        </w:rPr>
        <w:t>Incorporated herein by reference to Exhibit 10.15 to the Registrant's annual report on Form 10-K filed on March 30, 2005.</w:t>
      </w:r>
    </w:p>
    <w:p>
      <w:pPr>
        <w:ind w:right="280"/>
        <w:spacing w:after="0" w:line="227" w:lineRule="auto"/>
        <w:rPr>
          <w:sz w:val="20"/>
          <w:szCs w:val="20"/>
          <w:color w:val="auto"/>
        </w:rPr>
      </w:pPr>
      <w:r>
        <w:rPr>
          <w:rFonts w:ascii="Times New Roman" w:cs="Times New Roman" w:eastAsia="Times New Roman" w:hAnsi="Times New Roman"/>
          <w:sz w:val="16"/>
          <w:szCs w:val="16"/>
          <w:color w:val="auto"/>
        </w:rPr>
        <w:t>Incorporated herein by reference to Exhibit 10.23 to the Registrant's annual report on Form 10-K filed on February 28, 2024.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84" w:lineRule="exact"/>
        <w:rPr>
          <w:sz w:val="20"/>
          <w:szCs w:val="20"/>
          <w:color w:val="auto"/>
        </w:rPr>
      </w:pPr>
    </w:p>
    <w:p>
      <w:pPr>
        <w:ind w:right="280"/>
        <w:spacing w:after="0" w:line="227" w:lineRule="auto"/>
        <w:rPr>
          <w:sz w:val="20"/>
          <w:szCs w:val="20"/>
          <w:color w:val="auto"/>
        </w:rPr>
      </w:pPr>
      <w:r>
        <w:rPr>
          <w:rFonts w:ascii="Times New Roman" w:cs="Times New Roman" w:eastAsia="Times New Roman" w:hAnsi="Times New Roman"/>
          <w:sz w:val="16"/>
          <w:szCs w:val="16"/>
          <w:color w:val="auto"/>
        </w:rPr>
        <w:t>Incorporated herein by reference to Exhibit 10.25 to the Registrant's annual report on Form 10-K filed on February 28, 2024.</w:t>
      </w:r>
    </w:p>
    <w:p>
      <w:pPr>
        <w:spacing w:after="0" w:line="4" w:lineRule="exact"/>
        <w:rPr>
          <w:sz w:val="20"/>
          <w:szCs w:val="20"/>
          <w:color w:val="auto"/>
        </w:rPr>
      </w:pPr>
    </w:p>
    <w:p>
      <w:pPr>
        <w:ind w:right="280"/>
        <w:spacing w:after="0" w:line="227" w:lineRule="auto"/>
        <w:rPr>
          <w:sz w:val="20"/>
          <w:szCs w:val="20"/>
          <w:color w:val="auto"/>
        </w:rPr>
      </w:pPr>
      <w:r>
        <w:rPr>
          <w:rFonts w:ascii="Times New Roman" w:cs="Times New Roman" w:eastAsia="Times New Roman" w:hAnsi="Times New Roman"/>
          <w:sz w:val="16"/>
          <w:szCs w:val="16"/>
          <w:color w:val="auto"/>
        </w:rPr>
        <w:t>Incorporated herein by reference to Exhibit 10.10 to the Registrant's annual report on Form 10-K filed on February 26, 2025.</w:t>
      </w:r>
    </w:p>
    <w:p>
      <w:pPr>
        <w:spacing w:after="0" w:line="4" w:lineRule="exact"/>
        <w:rPr>
          <w:sz w:val="20"/>
          <w:szCs w:val="20"/>
          <w:color w:val="auto"/>
        </w:rPr>
      </w:pPr>
    </w:p>
    <w:p>
      <w:pPr>
        <w:ind w:right="280"/>
        <w:spacing w:after="0" w:line="227" w:lineRule="auto"/>
        <w:rPr>
          <w:sz w:val="20"/>
          <w:szCs w:val="20"/>
          <w:color w:val="auto"/>
        </w:rPr>
      </w:pPr>
      <w:r>
        <w:rPr>
          <w:rFonts w:ascii="Times New Roman" w:cs="Times New Roman" w:eastAsia="Times New Roman" w:hAnsi="Times New Roman"/>
          <w:sz w:val="16"/>
          <w:szCs w:val="16"/>
          <w:color w:val="auto"/>
        </w:rPr>
        <w:t>Incorporated herein by reference to Exhibit 10.11 to the Registrant's annual report on Form 10-K filed on February 26,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84" w:lineRule="exact"/>
        <w:rPr>
          <w:sz w:val="20"/>
          <w:szCs w:val="20"/>
          <w:color w:val="auto"/>
        </w:rPr>
      </w:pPr>
    </w:p>
    <w:p>
      <w:pPr>
        <w:ind w:right="280"/>
        <w:spacing w:after="0" w:line="227" w:lineRule="auto"/>
        <w:rPr>
          <w:sz w:val="20"/>
          <w:szCs w:val="20"/>
          <w:color w:val="auto"/>
        </w:rPr>
      </w:pPr>
      <w:r>
        <w:rPr>
          <w:rFonts w:ascii="Times New Roman" w:cs="Times New Roman" w:eastAsia="Times New Roman" w:hAnsi="Times New Roman"/>
          <w:sz w:val="16"/>
          <w:szCs w:val="16"/>
          <w:color w:val="auto"/>
        </w:rPr>
        <w:t>Incorporated herein by reference to Exhibit 10.12 to the Registrant's annual report on Form 10-K filed on February 26,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84" w:lineRule="exact"/>
        <w:rPr>
          <w:sz w:val="20"/>
          <w:szCs w:val="20"/>
          <w:color w:val="auto"/>
        </w:rPr>
      </w:pPr>
    </w:p>
    <w:p>
      <w:pPr>
        <w:ind w:right="160"/>
        <w:spacing w:after="0" w:line="221" w:lineRule="auto"/>
        <w:rPr>
          <w:sz w:val="20"/>
          <w:szCs w:val="20"/>
          <w:color w:val="auto"/>
        </w:rPr>
      </w:pPr>
      <w:r>
        <w:rPr>
          <w:rFonts w:ascii="Times New Roman" w:cs="Times New Roman" w:eastAsia="Times New Roman" w:hAnsi="Times New Roman"/>
          <w:sz w:val="16"/>
          <w:szCs w:val="16"/>
          <w:color w:val="auto"/>
        </w:rPr>
        <w:t>Incorporated herein by reference to Exhibit 4.4 to Vivint Smart Home's Post-Effective Amendment on Form S-8 to Registration Statement on Form S-4 filed with the Securities and Exchange Commission on March 24, 2020</w:t>
      </w:r>
    </w:p>
    <w:p>
      <w:pPr>
        <w:spacing w:after="0" w:line="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5"/>
          <w:szCs w:val="15"/>
          <w:color w:val="auto"/>
        </w:rPr>
        <w:t>Incorporated herein by reference to Exhibit 10.1 to the Registrant's quarterly report on Form 10-Q filed on August 8, 2023.</w:t>
      </w:r>
    </w:p>
    <w:p>
      <w:pPr>
        <w:ind w:right="280"/>
        <w:spacing w:after="0" w:line="227" w:lineRule="auto"/>
        <w:rPr>
          <w:sz w:val="20"/>
          <w:szCs w:val="20"/>
          <w:color w:val="auto"/>
        </w:rPr>
      </w:pPr>
      <w:r>
        <w:rPr>
          <w:rFonts w:ascii="Times New Roman" w:cs="Times New Roman" w:eastAsia="Times New Roman" w:hAnsi="Times New Roman"/>
          <w:sz w:val="16"/>
          <w:szCs w:val="16"/>
          <w:color w:val="auto"/>
        </w:rPr>
        <w:t>Incorporated herein by reference to Exhibit 10.15 to the Registrant's annual report on Form 10-K filed on February 26, 2025.</w:t>
      </w:r>
    </w:p>
    <w:p>
      <w:pPr>
        <w:spacing w:after="0" w:line="200" w:lineRule="exact"/>
        <w:rPr>
          <w:sz w:val="20"/>
          <w:szCs w:val="20"/>
          <w:color w:val="auto"/>
        </w:rPr>
      </w:pPr>
    </w:p>
    <w:p>
      <w:pPr>
        <w:sectPr>
          <w:pgSz w:w="11900" w:h="16838" w:orient="portrait"/>
          <w:cols w:equalWidth="0" w:num="2">
            <w:col w:w="5900" w:space="220"/>
            <w:col w:w="4220"/>
          </w:cols>
          <w:pgMar w:left="760" w:top="915" w:right="79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82550</wp:posOffset>
            </wp:positionV>
            <wp:extent cx="7160895" cy="419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340"/>
          </w:cols>
          <w:pgMar w:left="760" w:top="915" w:right="799" w:bottom="1440" w:gutter="0" w:footer="0" w:header="0"/>
          <w:type w:val="continuous"/>
        </w:sectPr>
      </w:pPr>
    </w:p>
    <w:bookmarkStart w:id="164" w:name="page165"/>
    <w:bookmarkEnd w:id="164"/>
    <w:p>
      <w:pPr>
        <w:ind w:left="640" w:right="560" w:hanging="639"/>
        <w:spacing w:after="0" w:line="237" w:lineRule="auto"/>
        <w:tabs>
          <w:tab w:leader="none" w:pos="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10.16*</w:t>
      </w:r>
      <w:r>
        <w:rPr>
          <w:sz w:val="20"/>
          <w:szCs w:val="20"/>
          <w:color w:val="auto"/>
        </w:rPr>
        <w:tab/>
      </w:r>
      <w:hyperlink r:id="rId279">
        <w:r>
          <w:rPr>
            <w:rFonts w:ascii="Times New Roman" w:cs="Times New Roman" w:eastAsia="Times New Roman" w:hAnsi="Times New Roman"/>
            <w:sz w:val="16"/>
            <w:szCs w:val="16"/>
            <w:u w:val="single" w:color="auto"/>
            <w:color w:val="0000FF"/>
          </w:rPr>
          <w:t>Form of NRG Energy Inc., 2020 Omnibus Incentive Plan (Legacy Vivint)</w:t>
        </w:r>
      </w:hyperlink>
      <w:r>
        <w:rPr>
          <w:rFonts w:ascii="Times New Roman" w:cs="Times New Roman" w:eastAsia="Times New Roman" w:hAnsi="Times New Roman"/>
          <w:sz w:val="16"/>
          <w:szCs w:val="16"/>
          <w:u w:val="single" w:color="auto"/>
          <w:color w:val="0000FF"/>
        </w:rPr>
        <w:t xml:space="preserve"> </w:t>
      </w:r>
      <w:hyperlink r:id="rId279">
        <w:r>
          <w:rPr>
            <w:rFonts w:ascii="Times New Roman" w:cs="Times New Roman" w:eastAsia="Times New Roman" w:hAnsi="Times New Roman"/>
            <w:sz w:val="16"/>
            <w:szCs w:val="16"/>
            <w:u w:val="single" w:color="auto"/>
            <w:color w:val="0000FF"/>
          </w:rPr>
          <w:t>Restricted Stock Unit Agreement and Notice of Grant</w:t>
        </w:r>
      </w:hyperlink>
    </w:p>
    <w:p>
      <w:pPr>
        <w:spacing w:after="0" w:line="5" w:lineRule="exact"/>
        <w:rPr>
          <w:sz w:val="20"/>
          <w:szCs w:val="20"/>
          <w:color w:val="auto"/>
        </w:rPr>
      </w:pPr>
    </w:p>
    <w:p>
      <w:pPr>
        <w:ind w:left="640" w:right="600" w:hanging="639"/>
        <w:spacing w:after="0" w:line="237" w:lineRule="auto"/>
        <w:tabs>
          <w:tab w:leader="none" w:pos="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10.17*</w:t>
      </w:r>
      <w:r>
        <w:rPr>
          <w:sz w:val="20"/>
          <w:szCs w:val="20"/>
          <w:color w:val="auto"/>
        </w:rPr>
        <w:tab/>
      </w:r>
      <w:hyperlink r:id="rId280">
        <w:r>
          <w:rPr>
            <w:rFonts w:ascii="Times New Roman" w:cs="Times New Roman" w:eastAsia="Times New Roman" w:hAnsi="Times New Roman"/>
            <w:sz w:val="16"/>
            <w:szCs w:val="16"/>
            <w:u w:val="single" w:color="auto"/>
            <w:color w:val="0000FF"/>
          </w:rPr>
          <w:t>Form of NRG Energy Inc., 2020 Omnibus Incentive Plan (Legacy Vivint)</w:t>
        </w:r>
      </w:hyperlink>
      <w:r>
        <w:rPr>
          <w:rFonts w:ascii="Times New Roman" w:cs="Times New Roman" w:eastAsia="Times New Roman" w:hAnsi="Times New Roman"/>
          <w:sz w:val="16"/>
          <w:szCs w:val="16"/>
          <w:u w:val="single" w:color="auto"/>
          <w:color w:val="0000FF"/>
        </w:rPr>
        <w:t xml:space="preserve"> </w:t>
      </w:r>
      <w:hyperlink r:id="rId280">
        <w:r>
          <w:rPr>
            <w:rFonts w:ascii="Times New Roman" w:cs="Times New Roman" w:eastAsia="Times New Roman" w:hAnsi="Times New Roman"/>
            <w:sz w:val="16"/>
            <w:szCs w:val="16"/>
            <w:u w:val="single" w:color="auto"/>
            <w:color w:val="0000FF"/>
          </w:rPr>
          <w:t>Restricted Stock Unit Agreement and Notice of Grant</w:t>
        </w:r>
      </w:hyperlink>
    </w:p>
    <w:p>
      <w:pPr>
        <w:spacing w:after="0" w:line="163" w:lineRule="exact"/>
        <w:rPr>
          <w:sz w:val="20"/>
          <w:szCs w:val="20"/>
          <w:color w:val="auto"/>
        </w:rPr>
      </w:pPr>
    </w:p>
    <w:p>
      <w:pPr>
        <w:ind w:left="640" w:right="600" w:hanging="639"/>
        <w:spacing w:after="0" w:line="237" w:lineRule="auto"/>
        <w:tabs>
          <w:tab w:leader="none" w:pos="620" w:val="left"/>
        </w:tabs>
        <w:rPr>
          <w:sz w:val="20"/>
          <w:szCs w:val="20"/>
          <w:color w:val="auto"/>
        </w:rPr>
      </w:pPr>
      <w:r>
        <w:rPr>
          <w:rFonts w:ascii="Times New Roman" w:cs="Times New Roman" w:eastAsia="Times New Roman" w:hAnsi="Times New Roman"/>
          <w:sz w:val="16"/>
          <w:szCs w:val="16"/>
          <w:color w:val="auto"/>
        </w:rPr>
        <w:t>10.18*</w:t>
      </w:r>
      <w:r>
        <w:rPr>
          <w:sz w:val="20"/>
          <w:szCs w:val="20"/>
          <w:color w:val="auto"/>
        </w:rPr>
        <w:tab/>
      </w:r>
      <w:r>
        <w:rPr>
          <w:rFonts w:ascii="Times New Roman" w:cs="Times New Roman" w:eastAsia="Times New Roman" w:hAnsi="Times New Roman"/>
          <w:sz w:val="16"/>
          <w:szCs w:val="16"/>
          <w:u w:val="single" w:color="auto"/>
          <w:color w:val="0000FF"/>
        </w:rPr>
        <w:t>Form of NRG Energy Inc., 2020 Omnibus Incentive Plan (Legacy Vivint) Restricted Stock Unit Agreement and Notice of Grant</w:t>
      </w:r>
    </w:p>
    <w:p>
      <w:pPr>
        <w:spacing w:after="0" w:line="5" w:lineRule="exact"/>
        <w:rPr>
          <w:sz w:val="20"/>
          <w:szCs w:val="20"/>
          <w:color w:val="auto"/>
        </w:rPr>
      </w:pPr>
    </w:p>
    <w:p>
      <w:pPr>
        <w:ind w:left="640" w:right="560" w:hanging="639"/>
        <w:spacing w:after="0" w:line="237" w:lineRule="auto"/>
        <w:tabs>
          <w:tab w:leader="none" w:pos="620" w:val="left"/>
        </w:tabs>
        <w:rPr>
          <w:sz w:val="20"/>
          <w:szCs w:val="20"/>
          <w:color w:val="auto"/>
        </w:rPr>
      </w:pPr>
      <w:r>
        <w:rPr>
          <w:rFonts w:ascii="Times New Roman" w:cs="Times New Roman" w:eastAsia="Times New Roman" w:hAnsi="Times New Roman"/>
          <w:sz w:val="16"/>
          <w:szCs w:val="16"/>
          <w:color w:val="auto"/>
        </w:rPr>
        <w:t>10.19*</w:t>
      </w:r>
      <w:r>
        <w:rPr>
          <w:sz w:val="20"/>
          <w:szCs w:val="20"/>
          <w:color w:val="auto"/>
        </w:rPr>
        <w:tab/>
      </w:r>
      <w:r>
        <w:rPr>
          <w:rFonts w:ascii="Times New Roman" w:cs="Times New Roman" w:eastAsia="Times New Roman" w:hAnsi="Times New Roman"/>
          <w:sz w:val="16"/>
          <w:szCs w:val="16"/>
          <w:u w:val="single" w:color="auto"/>
          <w:color w:val="0000FF"/>
        </w:rPr>
        <w:t>Form of NRG Energy Inc., 2020 Omnibus Incentive Plan (Legacy Vivint) Restricted Stock Unit Agreement and Notice of Grant</w:t>
      </w:r>
    </w:p>
    <w:p>
      <w:pPr>
        <w:spacing w:after="0" w:line="5" w:lineRule="exact"/>
        <w:rPr>
          <w:sz w:val="20"/>
          <w:szCs w:val="20"/>
          <w:color w:val="auto"/>
        </w:rPr>
      </w:pPr>
    </w:p>
    <w:p>
      <w:pPr>
        <w:ind w:left="640" w:right="40" w:hanging="639"/>
        <w:spacing w:after="0" w:line="237" w:lineRule="auto"/>
        <w:tabs>
          <w:tab w:leader="none" w:pos="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10.20*</w:t>
      </w:r>
      <w:r>
        <w:rPr>
          <w:sz w:val="20"/>
          <w:szCs w:val="20"/>
          <w:color w:val="auto"/>
        </w:rPr>
        <w:tab/>
      </w:r>
      <w:hyperlink r:id="rId281">
        <w:r>
          <w:rPr>
            <w:rFonts w:ascii="Times New Roman" w:cs="Times New Roman" w:eastAsia="Times New Roman" w:hAnsi="Times New Roman"/>
            <w:sz w:val="16"/>
            <w:szCs w:val="16"/>
            <w:u w:val="single" w:color="auto"/>
            <w:color w:val="0000FF"/>
          </w:rPr>
          <w:t>Form of NRG Energy Inc., 2020 Omnibus Incentive Plan (Legacy Vivint) Relative</w:t>
        </w:r>
      </w:hyperlink>
      <w:r>
        <w:rPr>
          <w:rFonts w:ascii="Times New Roman" w:cs="Times New Roman" w:eastAsia="Times New Roman" w:hAnsi="Times New Roman"/>
          <w:sz w:val="16"/>
          <w:szCs w:val="16"/>
          <w:u w:val="single" w:color="auto"/>
          <w:color w:val="0000FF"/>
        </w:rPr>
        <w:t xml:space="preserve"> </w:t>
      </w:r>
      <w:hyperlink r:id="rId281">
        <w:r>
          <w:rPr>
            <w:rFonts w:ascii="Times New Roman" w:cs="Times New Roman" w:eastAsia="Times New Roman" w:hAnsi="Times New Roman"/>
            <w:sz w:val="16"/>
            <w:szCs w:val="16"/>
            <w:u w:val="single" w:color="auto"/>
            <w:color w:val="0000FF"/>
          </w:rPr>
          <w:t>Performance Stock Unit Agreement and Notice of Grant</w:t>
        </w:r>
      </w:hyperlink>
    </w:p>
    <w:p>
      <w:pPr>
        <w:spacing w:after="0" w:line="5" w:lineRule="exact"/>
        <w:rPr>
          <w:sz w:val="20"/>
          <w:szCs w:val="20"/>
          <w:color w:val="auto"/>
        </w:rPr>
      </w:pPr>
    </w:p>
    <w:p>
      <w:pPr>
        <w:ind w:left="640" w:hanging="639"/>
        <w:spacing w:after="0" w:line="237" w:lineRule="auto"/>
        <w:tabs>
          <w:tab w:leader="none" w:pos="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10.21*</w:t>
      </w:r>
      <w:r>
        <w:rPr>
          <w:sz w:val="20"/>
          <w:szCs w:val="20"/>
          <w:color w:val="auto"/>
        </w:rPr>
        <w:tab/>
      </w:r>
      <w:hyperlink r:id="rId282">
        <w:r>
          <w:rPr>
            <w:rFonts w:ascii="Times New Roman" w:cs="Times New Roman" w:eastAsia="Times New Roman" w:hAnsi="Times New Roman"/>
            <w:sz w:val="16"/>
            <w:szCs w:val="16"/>
            <w:u w:val="single" w:color="auto"/>
            <w:color w:val="0000FF"/>
          </w:rPr>
          <w:t>Form of NRG Energy Inc., 2020 Omnibus Incentive Plan (Legacy Vivint) Relative</w:t>
        </w:r>
      </w:hyperlink>
      <w:r>
        <w:rPr>
          <w:rFonts w:ascii="Times New Roman" w:cs="Times New Roman" w:eastAsia="Times New Roman" w:hAnsi="Times New Roman"/>
          <w:sz w:val="16"/>
          <w:szCs w:val="16"/>
          <w:u w:val="single" w:color="auto"/>
          <w:color w:val="0000FF"/>
        </w:rPr>
        <w:t xml:space="preserve"> </w:t>
      </w:r>
      <w:hyperlink r:id="rId282">
        <w:r>
          <w:rPr>
            <w:rFonts w:ascii="Times New Roman" w:cs="Times New Roman" w:eastAsia="Times New Roman" w:hAnsi="Times New Roman"/>
            <w:sz w:val="16"/>
            <w:szCs w:val="16"/>
            <w:u w:val="single" w:color="auto"/>
            <w:color w:val="0000FF"/>
          </w:rPr>
          <w:t>Performance Stock Unit Agreement and Notice of Grant</w:t>
        </w:r>
      </w:hyperlink>
    </w:p>
    <w:p>
      <w:pPr>
        <w:spacing w:after="0" w:line="163" w:lineRule="exact"/>
        <w:rPr>
          <w:sz w:val="20"/>
          <w:szCs w:val="20"/>
          <w:color w:val="auto"/>
        </w:rPr>
      </w:pPr>
    </w:p>
    <w:p>
      <w:pPr>
        <w:ind w:left="640" w:right="40" w:hanging="639"/>
        <w:spacing w:after="0" w:line="237" w:lineRule="auto"/>
        <w:tabs>
          <w:tab w:leader="none" w:pos="620" w:val="left"/>
        </w:tabs>
        <w:rPr>
          <w:sz w:val="20"/>
          <w:szCs w:val="20"/>
          <w:color w:val="auto"/>
        </w:rPr>
      </w:pPr>
      <w:r>
        <w:rPr>
          <w:rFonts w:ascii="Times New Roman" w:cs="Times New Roman" w:eastAsia="Times New Roman" w:hAnsi="Times New Roman"/>
          <w:sz w:val="16"/>
          <w:szCs w:val="16"/>
          <w:color w:val="auto"/>
        </w:rPr>
        <w:t>10.22*</w:t>
      </w:r>
      <w:r>
        <w:rPr>
          <w:sz w:val="20"/>
          <w:szCs w:val="20"/>
          <w:color w:val="auto"/>
        </w:rPr>
        <w:tab/>
      </w:r>
      <w:r>
        <w:rPr>
          <w:rFonts w:ascii="Times New Roman" w:cs="Times New Roman" w:eastAsia="Times New Roman" w:hAnsi="Times New Roman"/>
          <w:sz w:val="16"/>
          <w:szCs w:val="16"/>
          <w:u w:val="single" w:color="auto"/>
          <w:color w:val="0000FF"/>
        </w:rPr>
        <w:t>Form of NRG Energy Inc., 2020 Omnibus Incentive Plan (Legacy Vivint) Relative Performance Stock Unit Agreement and Notice of Grant</w:t>
      </w:r>
    </w:p>
    <w:p>
      <w:pPr>
        <w:spacing w:after="0" w:line="5" w:lineRule="exact"/>
        <w:rPr>
          <w:sz w:val="20"/>
          <w:szCs w:val="20"/>
          <w:color w:val="auto"/>
        </w:rPr>
      </w:pPr>
    </w:p>
    <w:p>
      <w:pPr>
        <w:ind w:left="640" w:right="40" w:hanging="639"/>
        <w:spacing w:after="0" w:line="237" w:lineRule="auto"/>
        <w:tabs>
          <w:tab w:leader="none" w:pos="620" w:val="left"/>
        </w:tabs>
        <w:rPr>
          <w:sz w:val="20"/>
          <w:szCs w:val="20"/>
          <w:color w:val="auto"/>
        </w:rPr>
      </w:pPr>
      <w:r>
        <w:rPr>
          <w:rFonts w:ascii="Times New Roman" w:cs="Times New Roman" w:eastAsia="Times New Roman" w:hAnsi="Times New Roman"/>
          <w:sz w:val="16"/>
          <w:szCs w:val="16"/>
          <w:color w:val="auto"/>
        </w:rPr>
        <w:t>10.23*</w:t>
      </w:r>
      <w:r>
        <w:rPr>
          <w:sz w:val="20"/>
          <w:szCs w:val="20"/>
          <w:color w:val="auto"/>
        </w:rPr>
        <w:tab/>
      </w:r>
      <w:r>
        <w:rPr>
          <w:rFonts w:ascii="Times New Roman" w:cs="Times New Roman" w:eastAsia="Times New Roman" w:hAnsi="Times New Roman"/>
          <w:sz w:val="16"/>
          <w:szCs w:val="16"/>
          <w:u w:val="single" w:color="auto"/>
          <w:color w:val="0000FF"/>
        </w:rPr>
        <w:t>Form of NRG Energy Inc., 2020 Omnibus Incentive Plan (Legacy Vivint) Relative Performance Stock Unit Agreement and Notice of Grant</w:t>
      </w:r>
    </w:p>
    <w:p>
      <w:pPr>
        <w:spacing w:after="0"/>
        <w:tabs>
          <w:tab w:leader="none" w:pos="620" w:val="left"/>
        </w:tabs>
        <w:rPr>
          <w:sz w:val="20"/>
          <w:szCs w:val="20"/>
          <w:color w:val="auto"/>
        </w:rPr>
      </w:pPr>
      <w:r>
        <w:rPr>
          <w:rFonts w:ascii="Times New Roman" w:cs="Times New Roman" w:eastAsia="Times New Roman" w:hAnsi="Times New Roman"/>
          <w:sz w:val="16"/>
          <w:szCs w:val="16"/>
          <w:color w:val="auto"/>
        </w:rPr>
        <w:t>10.24*</w:t>
      </w:r>
      <w:r>
        <w:rPr>
          <w:sz w:val="20"/>
          <w:szCs w:val="20"/>
          <w:color w:val="auto"/>
        </w:rPr>
        <w:tab/>
      </w:r>
      <w:r>
        <w:rPr>
          <w:rFonts w:ascii="Times New Roman" w:cs="Times New Roman" w:eastAsia="Times New Roman" w:hAnsi="Times New Roman"/>
          <w:sz w:val="15"/>
          <w:szCs w:val="15"/>
          <w:u w:val="single" w:color="auto"/>
          <w:color w:val="0000FF"/>
        </w:rPr>
        <w:t>Amendment to Relative Performance Stock Unit Agreements, dated October 16,</w:t>
      </w:r>
    </w:p>
    <w:p>
      <w:pPr>
        <w:ind w:left="640"/>
        <w:spacing w:after="0"/>
        <w:rPr>
          <w:sz w:val="20"/>
          <w:szCs w:val="20"/>
          <w:color w:val="auto"/>
        </w:rPr>
      </w:pPr>
      <w:r>
        <w:rPr>
          <w:rFonts w:ascii="Times New Roman" w:cs="Times New Roman" w:eastAsia="Times New Roman" w:hAnsi="Times New Roman"/>
          <w:sz w:val="16"/>
          <w:szCs w:val="16"/>
          <w:u w:val="single" w:color="auto"/>
          <w:color w:val="0000FF"/>
        </w:rPr>
        <w:t>2025</w:t>
      </w:r>
    </w:p>
    <w:p>
      <w:pPr>
        <w:spacing w:after="0" w:line="9" w:lineRule="exact"/>
        <w:rPr>
          <w:sz w:val="20"/>
          <w:szCs w:val="20"/>
          <w:color w:val="auto"/>
        </w:rPr>
      </w:pPr>
    </w:p>
    <w:p>
      <w:pPr>
        <w:ind w:left="640" w:right="200" w:hanging="639"/>
        <w:spacing w:after="0" w:line="237" w:lineRule="auto"/>
        <w:tabs>
          <w:tab w:leader="none" w:pos="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10.25*</w:t>
      </w:r>
      <w:r>
        <w:rPr>
          <w:sz w:val="20"/>
          <w:szCs w:val="20"/>
          <w:color w:val="auto"/>
        </w:rPr>
        <w:tab/>
      </w:r>
      <w:hyperlink r:id="rId283">
        <w:r>
          <w:rPr>
            <w:rFonts w:ascii="Times New Roman" w:cs="Times New Roman" w:eastAsia="Times New Roman" w:hAnsi="Times New Roman"/>
            <w:sz w:val="16"/>
            <w:szCs w:val="16"/>
            <w:u w:val="single" w:color="auto"/>
            <w:color w:val="0000FF"/>
          </w:rPr>
          <w:t>Second Amended and Restated Annual Incentive Plan for Designated Corporate</w:t>
        </w:r>
      </w:hyperlink>
      <w:r>
        <w:rPr>
          <w:rFonts w:ascii="Times New Roman" w:cs="Times New Roman" w:eastAsia="Times New Roman" w:hAnsi="Times New Roman"/>
          <w:sz w:val="16"/>
          <w:szCs w:val="16"/>
          <w:u w:val="single" w:color="auto"/>
          <w:color w:val="0000FF"/>
        </w:rPr>
        <w:t xml:space="preserve"> </w:t>
      </w:r>
      <w:hyperlink r:id="rId283">
        <w:r>
          <w:rPr>
            <w:rFonts w:ascii="Times New Roman" w:cs="Times New Roman" w:eastAsia="Times New Roman" w:hAnsi="Times New Roman"/>
            <w:sz w:val="16"/>
            <w:szCs w:val="16"/>
            <w:u w:val="single" w:color="auto"/>
            <w:color w:val="0000FF"/>
          </w:rPr>
          <w:t>Officers.</w:t>
        </w:r>
      </w:hyperlink>
    </w:p>
    <w:p>
      <w:pPr>
        <w:spacing w:after="0" w:line="5" w:lineRule="exact"/>
        <w:rPr>
          <w:sz w:val="20"/>
          <w:szCs w:val="20"/>
          <w:color w:val="auto"/>
        </w:rPr>
      </w:pPr>
    </w:p>
    <w:p>
      <w:pPr>
        <w:jc w:val="both"/>
        <w:ind w:left="640" w:right="460" w:hanging="639"/>
        <w:spacing w:after="0" w:line="227" w:lineRule="auto"/>
        <w:tabs>
          <w:tab w:leader="none" w:pos="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10.26*</w:t>
      </w:r>
      <w:r>
        <w:rPr>
          <w:sz w:val="20"/>
          <w:szCs w:val="20"/>
          <w:color w:val="auto"/>
        </w:rPr>
        <w:tab/>
      </w:r>
      <w:hyperlink r:id="rId284">
        <w:r>
          <w:rPr>
            <w:rFonts w:ascii="Times New Roman" w:cs="Times New Roman" w:eastAsia="Times New Roman" w:hAnsi="Times New Roman"/>
            <w:sz w:val="16"/>
            <w:szCs w:val="16"/>
            <w:u w:val="single" w:color="auto"/>
            <w:color w:val="0000FF"/>
          </w:rPr>
          <w:t>NRG Energy, Inc. Amended and Restated Executive Change-in-Control and</w:t>
        </w:r>
      </w:hyperlink>
      <w:r>
        <w:rPr>
          <w:rFonts w:ascii="Times New Roman" w:cs="Times New Roman" w:eastAsia="Times New Roman" w:hAnsi="Times New Roman"/>
          <w:sz w:val="16"/>
          <w:szCs w:val="16"/>
          <w:u w:val="single" w:color="auto"/>
          <w:color w:val="0000FF"/>
        </w:rPr>
        <w:t xml:space="preserve"> </w:t>
      </w:r>
      <w:hyperlink r:id="rId284">
        <w:r>
          <w:rPr>
            <w:rFonts w:ascii="Times New Roman" w:cs="Times New Roman" w:eastAsia="Times New Roman" w:hAnsi="Times New Roman"/>
            <w:sz w:val="16"/>
            <w:szCs w:val="16"/>
            <w:u w:val="single" w:color="auto"/>
            <w:color w:val="0000FF"/>
          </w:rPr>
          <w:t>General Severance Plan for Tier IA and Tier IIA Executives (Amended and</w:t>
        </w:r>
      </w:hyperlink>
      <w:r>
        <w:rPr>
          <w:rFonts w:ascii="Times New Roman" w:cs="Times New Roman" w:eastAsia="Times New Roman" w:hAnsi="Times New Roman"/>
          <w:sz w:val="16"/>
          <w:szCs w:val="16"/>
          <w:u w:val="single" w:color="auto"/>
          <w:color w:val="0000FF"/>
        </w:rPr>
        <w:t xml:space="preserve"> </w:t>
      </w:r>
      <w:hyperlink r:id="rId284">
        <w:r>
          <w:rPr>
            <w:rFonts w:ascii="Times New Roman" w:cs="Times New Roman" w:eastAsia="Times New Roman" w:hAnsi="Times New Roman"/>
            <w:sz w:val="16"/>
            <w:szCs w:val="16"/>
            <w:u w:val="single" w:color="auto"/>
            <w:color w:val="0000FF"/>
          </w:rPr>
          <w:t>Restated Effective January 1, 2024).</w:t>
        </w:r>
      </w:hyperlink>
    </w:p>
    <w:p>
      <w:pPr>
        <w:spacing w:after="0" w:line="241" w:lineRule="exact"/>
        <w:rPr>
          <w:rFonts w:ascii="Times New Roman" w:cs="Times New Roman" w:eastAsia="Times New Roman" w:hAnsi="Times New Roman"/>
          <w:sz w:val="16"/>
          <w:szCs w:val="16"/>
          <w:u w:val="single" w:color="auto"/>
          <w:color w:val="0000FF"/>
        </w:rPr>
      </w:pPr>
    </w:p>
    <w:p>
      <w:pPr>
        <w:spacing w:after="0"/>
        <w:tabs>
          <w:tab w:leader="none" w:pos="620" w:val="left"/>
        </w:tabs>
        <w:rPr>
          <w:rFonts w:ascii="Times New Roman" w:cs="Times New Roman" w:eastAsia="Times New Roman" w:hAnsi="Times New Roman"/>
          <w:sz w:val="15"/>
          <w:szCs w:val="15"/>
          <w:u w:val="single" w:color="auto"/>
          <w:color w:val="0000FF"/>
        </w:rPr>
      </w:pPr>
      <w:r>
        <w:rPr>
          <w:rFonts w:ascii="Times New Roman" w:cs="Times New Roman" w:eastAsia="Times New Roman" w:hAnsi="Times New Roman"/>
          <w:sz w:val="16"/>
          <w:szCs w:val="16"/>
          <w:color w:val="auto"/>
        </w:rPr>
        <w:t>10.27*</w:t>
      </w:r>
      <w:r>
        <w:rPr>
          <w:sz w:val="20"/>
          <w:szCs w:val="20"/>
          <w:color w:val="auto"/>
        </w:rPr>
        <w:tab/>
      </w:r>
      <w:hyperlink r:id="rId285">
        <w:r>
          <w:rPr>
            <w:rFonts w:ascii="Times New Roman" w:cs="Times New Roman" w:eastAsia="Times New Roman" w:hAnsi="Times New Roman"/>
            <w:sz w:val="15"/>
            <w:szCs w:val="15"/>
            <w:u w:val="single" w:color="auto"/>
            <w:color w:val="0000FF"/>
          </w:rPr>
          <w:t>Amended and Restated Employee Stock Purchase Plan</w:t>
        </w:r>
      </w:hyperlink>
    </w:p>
    <w:p>
      <w:pPr>
        <w:spacing w:after="0" w:line="184" w:lineRule="exact"/>
        <w:rPr>
          <w:rFonts w:ascii="Times New Roman" w:cs="Times New Roman" w:eastAsia="Times New Roman" w:hAnsi="Times New Roman"/>
          <w:sz w:val="16"/>
          <w:szCs w:val="16"/>
          <w:u w:val="single" w:color="auto"/>
          <w:color w:val="0000FF"/>
        </w:rPr>
      </w:pPr>
    </w:p>
    <w:p>
      <w:pPr>
        <w:ind w:left="640" w:right="80" w:hanging="639"/>
        <w:spacing w:after="0" w:line="237" w:lineRule="auto"/>
        <w:tabs>
          <w:tab w:leader="none" w:pos="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10.28*</w:t>
      </w:r>
      <w:r>
        <w:rPr>
          <w:sz w:val="20"/>
          <w:szCs w:val="20"/>
          <w:color w:val="auto"/>
        </w:rPr>
        <w:tab/>
      </w:r>
      <w:hyperlink r:id="rId286">
        <w:r>
          <w:rPr>
            <w:rFonts w:ascii="Times New Roman" w:cs="Times New Roman" w:eastAsia="Times New Roman" w:hAnsi="Times New Roman"/>
            <w:sz w:val="16"/>
            <w:szCs w:val="16"/>
            <w:u w:val="single" w:color="auto"/>
            <w:color w:val="0000FF"/>
          </w:rPr>
          <w:t>Employment Agreement, dated August 1, 2024 by and between NRG Energy, Inc.</w:t>
        </w:r>
      </w:hyperlink>
      <w:r>
        <w:rPr>
          <w:rFonts w:ascii="Times New Roman" w:cs="Times New Roman" w:eastAsia="Times New Roman" w:hAnsi="Times New Roman"/>
          <w:sz w:val="16"/>
          <w:szCs w:val="16"/>
          <w:u w:val="single" w:color="auto"/>
          <w:color w:val="0000FF"/>
        </w:rPr>
        <w:t xml:space="preserve"> </w:t>
      </w:r>
      <w:hyperlink r:id="rId286">
        <w:r>
          <w:rPr>
            <w:rFonts w:ascii="Times New Roman" w:cs="Times New Roman" w:eastAsia="Times New Roman" w:hAnsi="Times New Roman"/>
            <w:sz w:val="16"/>
            <w:szCs w:val="16"/>
            <w:u w:val="single" w:color="auto"/>
            <w:color w:val="0000FF"/>
          </w:rPr>
          <w:t>and Lawrence S. Coben</w:t>
        </w:r>
      </w:hyperlink>
    </w:p>
    <w:p>
      <w:pPr>
        <w:spacing w:after="0" w:line="1" w:lineRule="exact"/>
        <w:rPr>
          <w:sz w:val="20"/>
          <w:szCs w:val="20"/>
          <w:color w:val="auto"/>
        </w:rPr>
      </w:pPr>
    </w:p>
    <w:p>
      <w:pPr>
        <w:ind w:left="640" w:right="100" w:hanging="560"/>
        <w:spacing w:after="0" w:line="244" w:lineRule="auto"/>
        <w:tabs>
          <w:tab w:leader="none" w:pos="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10.29</w:t>
      </w:r>
      <w:r>
        <w:rPr>
          <w:sz w:val="20"/>
          <w:szCs w:val="20"/>
          <w:color w:val="auto"/>
        </w:rPr>
        <w:tab/>
      </w:r>
      <w:hyperlink r:id="rId287">
        <w:r>
          <w:rPr>
            <w:rFonts w:ascii="Times New Roman" w:cs="Times New Roman" w:eastAsia="Times New Roman" w:hAnsi="Times New Roman"/>
            <w:sz w:val="16"/>
            <w:szCs w:val="16"/>
            <w:u w:val="single" w:color="auto"/>
            <w:color w:val="0000FF"/>
          </w:rPr>
          <w:t>Fifteen Amendment to Second Amended and Restated Credit Agreement,</w:t>
        </w:r>
      </w:hyperlink>
      <w:r>
        <w:rPr>
          <w:rFonts w:ascii="Times New Roman" w:cs="Times New Roman" w:eastAsia="Times New Roman" w:hAnsi="Times New Roman"/>
          <w:sz w:val="16"/>
          <w:szCs w:val="16"/>
          <w:u w:val="single" w:color="auto"/>
          <w:color w:val="0000FF"/>
        </w:rPr>
        <w:t xml:space="preserve"> </w:t>
      </w:r>
      <w:hyperlink r:id="rId287">
        <w:r>
          <w:rPr>
            <w:rFonts w:ascii="Times New Roman" w:cs="Times New Roman" w:eastAsia="Times New Roman" w:hAnsi="Times New Roman"/>
            <w:sz w:val="16"/>
            <w:szCs w:val="16"/>
            <w:u w:val="single" w:color="auto"/>
            <w:color w:val="0000FF"/>
          </w:rPr>
          <w:t>dated July 22, 2025, by and among NRG Energy, Inc., Citicorp North</w:t>
        </w:r>
      </w:hyperlink>
    </w:p>
    <w:p>
      <w:pPr>
        <w:spacing w:after="0" w:line="1" w:lineRule="exact"/>
        <w:rPr>
          <w:sz w:val="20"/>
          <w:szCs w:val="20"/>
          <w:color w:val="auto"/>
        </w:rPr>
      </w:pPr>
    </w:p>
    <w:p>
      <w:pPr>
        <w:ind w:left="640" w:right="140"/>
        <w:spacing w:after="0" w:line="219" w:lineRule="auto"/>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u w:val="single" w:color="auto"/>
            <w:color w:val="0000FF"/>
          </w:rPr>
          <w:t>America, Inc., as administrative agent and as collateral agent, and certain</w:t>
        </w:r>
      </w:hyperlink>
      <w:r>
        <w:rPr>
          <w:rFonts w:ascii="Times New Roman" w:cs="Times New Roman" w:eastAsia="Times New Roman" w:hAnsi="Times New Roman"/>
          <w:sz w:val="18"/>
          <w:szCs w:val="18"/>
          <w:u w:val="single" w:color="auto"/>
          <w:color w:val="0000FF"/>
        </w:rPr>
        <w:t xml:space="preserve"> </w:t>
      </w:r>
      <w:hyperlink r:id="rId287">
        <w:r>
          <w:rPr>
            <w:rFonts w:ascii="Times New Roman" w:cs="Times New Roman" w:eastAsia="Times New Roman" w:hAnsi="Times New Roman"/>
            <w:sz w:val="18"/>
            <w:szCs w:val="18"/>
            <w:u w:val="single" w:color="auto"/>
            <w:color w:val="0000FF"/>
          </w:rPr>
          <w:t>financial institutions, as lenders**</w:t>
        </w:r>
        <w:r>
          <w:rPr>
            <w:rFonts w:ascii="Times New Roman" w:cs="Times New Roman" w:eastAsia="Times New Roman" w:hAnsi="Times New Roman"/>
            <w:sz w:val="18"/>
            <w:szCs w:val="18"/>
            <w:color w:val="000000"/>
          </w:rPr>
          <w:t>.</w:t>
        </w:r>
      </w:hyperlink>
    </w:p>
    <w:p>
      <w:pPr>
        <w:spacing w:after="0" w:line="2" w:lineRule="exact"/>
        <w:rPr>
          <w:sz w:val="20"/>
          <w:szCs w:val="20"/>
          <w:color w:val="auto"/>
        </w:rPr>
      </w:pPr>
    </w:p>
    <w:p>
      <w:pPr>
        <w:ind w:left="640" w:right="120" w:hanging="560"/>
        <w:spacing w:after="0" w:line="241" w:lineRule="auto"/>
        <w:tabs>
          <w:tab w:leader="none" w:pos="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10.30</w:t>
      </w:r>
      <w:r>
        <w:rPr>
          <w:sz w:val="20"/>
          <w:szCs w:val="20"/>
          <w:color w:val="auto"/>
        </w:rPr>
        <w:tab/>
      </w:r>
      <w:hyperlink r:id="rId288">
        <w:r>
          <w:rPr>
            <w:rFonts w:ascii="Times New Roman" w:cs="Times New Roman" w:eastAsia="Times New Roman" w:hAnsi="Times New Roman"/>
            <w:sz w:val="16"/>
            <w:szCs w:val="16"/>
            <w:u w:val="single" w:color="auto"/>
            <w:color w:val="0000FF"/>
          </w:rPr>
          <w:t>Amendment No. 1 to Credit Agreement, dated February 18, 2025, by and</w:t>
        </w:r>
      </w:hyperlink>
      <w:r>
        <w:rPr>
          <w:rFonts w:ascii="Times New Roman" w:cs="Times New Roman" w:eastAsia="Times New Roman" w:hAnsi="Times New Roman"/>
          <w:sz w:val="16"/>
          <w:szCs w:val="16"/>
          <w:u w:val="single" w:color="auto"/>
          <w:color w:val="0000FF"/>
        </w:rPr>
        <w:t xml:space="preserve"> </w:t>
      </w:r>
      <w:hyperlink r:id="rId288">
        <w:r>
          <w:rPr>
            <w:rFonts w:ascii="Times New Roman" w:cs="Times New Roman" w:eastAsia="Times New Roman" w:hAnsi="Times New Roman"/>
            <w:sz w:val="16"/>
            <w:szCs w:val="16"/>
            <w:u w:val="single" w:color="auto"/>
            <w:color w:val="0000FF"/>
          </w:rPr>
          <w:t>among Lightning Power, LLC, the subsidiary guarantors party thereto,</w:t>
        </w:r>
      </w:hyperlink>
    </w:p>
    <w:p>
      <w:pPr>
        <w:spacing w:after="0" w:line="1" w:lineRule="exact"/>
        <w:rPr>
          <w:sz w:val="20"/>
          <w:szCs w:val="20"/>
          <w:color w:val="auto"/>
        </w:rPr>
      </w:pPr>
    </w:p>
    <w:p>
      <w:pPr>
        <w:ind w:left="640" w:right="40"/>
        <w:spacing w:after="0" w:line="228" w:lineRule="auto"/>
        <w:rPr>
          <w:rFonts w:ascii="Times New Roman" w:cs="Times New Roman" w:eastAsia="Times New Roman" w:hAnsi="Times New Roman"/>
          <w:sz w:val="16"/>
          <w:szCs w:val="16"/>
          <w:u w:val="single" w:color="auto"/>
          <w:color w:val="0000FF"/>
        </w:rPr>
      </w:pPr>
      <w:hyperlink r:id="rId288">
        <w:r>
          <w:rPr>
            <w:rFonts w:ascii="Times New Roman" w:cs="Times New Roman" w:eastAsia="Times New Roman" w:hAnsi="Times New Roman"/>
            <w:sz w:val="16"/>
            <w:szCs w:val="16"/>
            <w:u w:val="single" w:color="auto"/>
            <w:color w:val="0000FF"/>
          </w:rPr>
          <w:t>each of the lenders party thereto and Morgan Stanley Senior Funding, Inc.</w:t>
        </w:r>
      </w:hyperlink>
      <w:r>
        <w:rPr>
          <w:rFonts w:ascii="Times New Roman" w:cs="Times New Roman" w:eastAsia="Times New Roman" w:hAnsi="Times New Roman"/>
          <w:sz w:val="16"/>
          <w:szCs w:val="16"/>
          <w:u w:val="single" w:color="auto"/>
          <w:color w:val="0000FF"/>
        </w:rPr>
        <w:t xml:space="preserve"> </w:t>
      </w:r>
      <w:hyperlink r:id="rId288">
        <w:r>
          <w:rPr>
            <w:rFonts w:ascii="Times New Roman" w:cs="Times New Roman" w:eastAsia="Times New Roman" w:hAnsi="Times New Roman"/>
            <w:sz w:val="16"/>
            <w:szCs w:val="16"/>
            <w:u w:val="single" w:color="auto"/>
            <w:color w:val="0000FF"/>
          </w:rPr>
          <w:t>as administrative agent, collateral agent and replacement lender, and</w:t>
        </w:r>
      </w:hyperlink>
      <w:r>
        <w:rPr>
          <w:rFonts w:ascii="Times New Roman" w:cs="Times New Roman" w:eastAsia="Times New Roman" w:hAnsi="Times New Roman"/>
          <w:sz w:val="16"/>
          <w:szCs w:val="16"/>
          <w:u w:val="single" w:color="auto"/>
          <w:color w:val="0000FF"/>
        </w:rPr>
        <w:t xml:space="preserve"> </w:t>
      </w:r>
      <w:hyperlink r:id="rId288">
        <w:r>
          <w:rPr>
            <w:rFonts w:ascii="Times New Roman" w:cs="Times New Roman" w:eastAsia="Times New Roman" w:hAnsi="Times New Roman"/>
            <w:sz w:val="16"/>
            <w:szCs w:val="16"/>
            <w:u w:val="single" w:color="auto"/>
            <w:color w:val="0000FF"/>
          </w:rPr>
          <w:t>included as Exhibit A thereto a clean, conformed copy of Lightning Credit</w:t>
        </w:r>
      </w:hyperlink>
    </w:p>
    <w:p>
      <w:pPr>
        <w:spacing w:after="0" w:line="2" w:lineRule="exact"/>
        <w:rPr>
          <w:rFonts w:ascii="Times New Roman" w:cs="Times New Roman" w:eastAsia="Times New Roman" w:hAnsi="Times New Roman"/>
          <w:sz w:val="16"/>
          <w:szCs w:val="16"/>
          <w:u w:val="single" w:color="auto"/>
          <w:color w:val="0000FF"/>
        </w:rPr>
      </w:pPr>
    </w:p>
    <w:p>
      <w:pPr>
        <w:ind w:left="640"/>
        <w:spacing w:after="0"/>
        <w:rPr>
          <w:rFonts w:ascii="Times New Roman" w:cs="Times New Roman" w:eastAsia="Times New Roman" w:hAnsi="Times New Roman"/>
          <w:sz w:val="18"/>
          <w:szCs w:val="18"/>
          <w:u w:val="single" w:color="auto"/>
          <w:color w:val="0000FF"/>
        </w:rPr>
      </w:pPr>
      <w:hyperlink r:id="rId288">
        <w:r>
          <w:rPr>
            <w:rFonts w:ascii="Times New Roman" w:cs="Times New Roman" w:eastAsia="Times New Roman" w:hAnsi="Times New Roman"/>
            <w:sz w:val="18"/>
            <w:szCs w:val="18"/>
            <w:u w:val="single" w:color="auto"/>
            <w:color w:val="0000FF"/>
          </w:rPr>
          <w:t>Agreement.**</w:t>
        </w:r>
      </w:hyperlink>
    </w:p>
    <w:p>
      <w:pPr>
        <w:spacing w:after="0" w:line="1" w:lineRule="exact"/>
        <w:rPr>
          <w:rFonts w:ascii="Times New Roman" w:cs="Times New Roman" w:eastAsia="Times New Roman" w:hAnsi="Times New Roman"/>
          <w:sz w:val="16"/>
          <w:szCs w:val="16"/>
          <w:u w:val="single" w:color="auto"/>
          <w:color w:val="0000FF"/>
        </w:rPr>
      </w:pPr>
    </w:p>
    <w:p>
      <w:pPr>
        <w:ind w:left="640" w:right="220" w:hanging="609"/>
        <w:spacing w:after="0" w:line="227" w:lineRule="auto"/>
        <w:tabs>
          <w:tab w:leader="none" w:pos="6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10.31</w:t>
      </w:r>
      <w:r>
        <w:rPr>
          <w:sz w:val="20"/>
          <w:szCs w:val="20"/>
          <w:color w:val="auto"/>
        </w:rPr>
        <w:tab/>
      </w:r>
      <w:hyperlink r:id="rId289">
        <w:r>
          <w:rPr>
            <w:rFonts w:ascii="Times New Roman" w:cs="Times New Roman" w:eastAsia="Times New Roman" w:hAnsi="Times New Roman"/>
            <w:sz w:val="16"/>
            <w:szCs w:val="16"/>
            <w:u w:val="single" w:color="auto"/>
            <w:color w:val="0000FF"/>
          </w:rPr>
          <w:t>Receivables Sale Agreement, dated as of September 22, 2020, among the</w:t>
        </w:r>
      </w:hyperlink>
      <w:r>
        <w:rPr>
          <w:rFonts w:ascii="Times New Roman" w:cs="Times New Roman" w:eastAsia="Times New Roman" w:hAnsi="Times New Roman"/>
          <w:sz w:val="16"/>
          <w:szCs w:val="16"/>
          <w:u w:val="single" w:color="auto"/>
          <w:color w:val="0000FF"/>
        </w:rPr>
        <w:t xml:space="preserve"> </w:t>
      </w:r>
      <w:hyperlink r:id="rId289">
        <w:r>
          <w:rPr>
            <w:rFonts w:ascii="Times New Roman" w:cs="Times New Roman" w:eastAsia="Times New Roman" w:hAnsi="Times New Roman"/>
            <w:sz w:val="16"/>
            <w:szCs w:val="16"/>
            <w:u w:val="single" w:color="auto"/>
            <w:color w:val="0000FF"/>
          </w:rPr>
          <w:t>Originators from time to time parties thereto, NRG Retail LLC, as Servicer, and</w:t>
        </w:r>
      </w:hyperlink>
      <w:r>
        <w:rPr>
          <w:rFonts w:ascii="Times New Roman" w:cs="Times New Roman" w:eastAsia="Times New Roman" w:hAnsi="Times New Roman"/>
          <w:sz w:val="16"/>
          <w:szCs w:val="16"/>
          <w:u w:val="single" w:color="auto"/>
          <w:color w:val="0000FF"/>
        </w:rPr>
        <w:t xml:space="preserve"> </w:t>
      </w:r>
      <w:hyperlink r:id="rId289">
        <w:r>
          <w:rPr>
            <w:rFonts w:ascii="Times New Roman" w:cs="Times New Roman" w:eastAsia="Times New Roman" w:hAnsi="Times New Roman"/>
            <w:sz w:val="16"/>
            <w:szCs w:val="16"/>
            <w:u w:val="single" w:color="auto"/>
            <w:color w:val="0000FF"/>
          </w:rPr>
          <w:t>NRG Receivables LLC.</w:t>
        </w:r>
      </w:hyperlink>
    </w:p>
    <w:p>
      <w:pPr>
        <w:ind w:left="640" w:hanging="560"/>
        <w:spacing w:after="0" w:line="217" w:lineRule="auto"/>
        <w:tabs>
          <w:tab w:leader="none" w:pos="6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10.32</w:t>
      </w:r>
      <w:r>
        <w:rPr>
          <w:sz w:val="20"/>
          <w:szCs w:val="20"/>
          <w:color w:val="auto"/>
        </w:rPr>
        <w:tab/>
      </w:r>
      <w:hyperlink r:id="rId290">
        <w:r>
          <w:rPr>
            <w:rFonts w:ascii="Times New Roman" w:cs="Times New Roman" w:eastAsia="Times New Roman" w:hAnsi="Times New Roman"/>
            <w:sz w:val="18"/>
            <w:szCs w:val="18"/>
            <w:u w:val="single" w:color="auto"/>
            <w:color w:val="0000FF"/>
          </w:rPr>
          <w:t>Amendment No. 5 to Receivables Loan and Servicing Agreement, dated as</w:t>
        </w:r>
      </w:hyperlink>
      <w:r>
        <w:rPr>
          <w:rFonts w:ascii="Times New Roman" w:cs="Times New Roman" w:eastAsia="Times New Roman" w:hAnsi="Times New Roman"/>
          <w:sz w:val="18"/>
          <w:szCs w:val="18"/>
          <w:u w:val="single" w:color="auto"/>
          <w:color w:val="0000FF"/>
        </w:rPr>
        <w:t xml:space="preserve"> </w:t>
      </w:r>
      <w:hyperlink r:id="rId290">
        <w:r>
          <w:rPr>
            <w:rFonts w:ascii="Times New Roman" w:cs="Times New Roman" w:eastAsia="Times New Roman" w:hAnsi="Times New Roman"/>
            <w:sz w:val="18"/>
            <w:szCs w:val="18"/>
            <w:u w:val="single" w:color="auto"/>
            <w:color w:val="0000FF"/>
          </w:rPr>
          <w:t>of June 20, 2025, by and among NRG Retail LLC, as Servicer, NRG</w:t>
        </w:r>
      </w:hyperlink>
    </w:p>
    <w:p>
      <w:pPr>
        <w:ind w:left="640" w:right="100"/>
        <w:spacing w:after="0" w:line="228" w:lineRule="auto"/>
        <w:rPr>
          <w:rFonts w:ascii="Times New Roman" w:cs="Times New Roman" w:eastAsia="Times New Roman" w:hAnsi="Times New Roman"/>
          <w:sz w:val="16"/>
          <w:szCs w:val="16"/>
          <w:u w:val="single" w:color="auto"/>
          <w:color w:val="0000FF"/>
        </w:rPr>
      </w:pPr>
      <w:hyperlink r:id="rId290">
        <w:r>
          <w:rPr>
            <w:rFonts w:ascii="Times New Roman" w:cs="Times New Roman" w:eastAsia="Times New Roman" w:hAnsi="Times New Roman"/>
            <w:sz w:val="16"/>
            <w:szCs w:val="16"/>
            <w:u w:val="single" w:color="auto"/>
            <w:color w:val="0000FF"/>
          </w:rPr>
          <w:t>Receivables LLC, as Borrower, NRG Energy, Inc., as Performance</w:t>
        </w:r>
      </w:hyperlink>
      <w:r>
        <w:rPr>
          <w:rFonts w:ascii="Times New Roman" w:cs="Times New Roman" w:eastAsia="Times New Roman" w:hAnsi="Times New Roman"/>
          <w:sz w:val="16"/>
          <w:szCs w:val="16"/>
          <w:u w:val="single" w:color="auto"/>
          <w:color w:val="0000FF"/>
        </w:rPr>
        <w:t xml:space="preserve"> </w:t>
      </w:r>
      <w:hyperlink r:id="rId290">
        <w:r>
          <w:rPr>
            <w:rFonts w:ascii="Times New Roman" w:cs="Times New Roman" w:eastAsia="Times New Roman" w:hAnsi="Times New Roman"/>
            <w:sz w:val="16"/>
            <w:szCs w:val="16"/>
            <w:u w:val="single" w:color="auto"/>
            <w:color w:val="0000FF"/>
          </w:rPr>
          <w:t>Guarantor, the Conduit Lenders, Committed Lenders, Facility Agents and</w:t>
        </w:r>
      </w:hyperlink>
      <w:r>
        <w:rPr>
          <w:rFonts w:ascii="Times New Roman" w:cs="Times New Roman" w:eastAsia="Times New Roman" w:hAnsi="Times New Roman"/>
          <w:sz w:val="16"/>
          <w:szCs w:val="16"/>
          <w:u w:val="single" w:color="auto"/>
          <w:color w:val="0000FF"/>
        </w:rPr>
        <w:t xml:space="preserve"> </w:t>
      </w:r>
      <w:hyperlink r:id="rId290">
        <w:r>
          <w:rPr>
            <w:rFonts w:ascii="Times New Roman" w:cs="Times New Roman" w:eastAsia="Times New Roman" w:hAnsi="Times New Roman"/>
            <w:sz w:val="16"/>
            <w:szCs w:val="16"/>
            <w:u w:val="single" w:color="auto"/>
            <w:color w:val="0000FF"/>
          </w:rPr>
          <w:t>LC Issuers party thereto, and Royal Bank of Canada, as administrative</w:t>
        </w:r>
      </w:hyperlink>
    </w:p>
    <w:p>
      <w:pPr>
        <w:spacing w:after="0" w:line="2" w:lineRule="exact"/>
        <w:rPr>
          <w:rFonts w:ascii="Times New Roman" w:cs="Times New Roman" w:eastAsia="Times New Roman" w:hAnsi="Times New Roman"/>
          <w:sz w:val="16"/>
          <w:szCs w:val="16"/>
          <w:u w:val="single" w:color="auto"/>
          <w:color w:val="0000FF"/>
        </w:rPr>
      </w:pPr>
    </w:p>
    <w:p>
      <w:pPr>
        <w:ind w:left="640" w:right="220"/>
        <w:spacing w:after="0" w:line="219" w:lineRule="auto"/>
        <w:rPr>
          <w:rFonts w:ascii="Times New Roman" w:cs="Times New Roman" w:eastAsia="Times New Roman" w:hAnsi="Times New Roman"/>
          <w:sz w:val="18"/>
          <w:szCs w:val="18"/>
          <w:u w:val="single" w:color="auto"/>
          <w:color w:val="0000FF"/>
        </w:rPr>
      </w:pPr>
      <w:hyperlink r:id="rId290">
        <w:r>
          <w:rPr>
            <w:rFonts w:ascii="Times New Roman" w:cs="Times New Roman" w:eastAsia="Times New Roman" w:hAnsi="Times New Roman"/>
            <w:sz w:val="18"/>
            <w:szCs w:val="18"/>
            <w:u w:val="single" w:color="auto"/>
            <w:color w:val="0000FF"/>
          </w:rPr>
          <w:t>Agent, and attached thereto a clean, conformed copy of the Receivables</w:t>
        </w:r>
      </w:hyperlink>
      <w:r>
        <w:rPr>
          <w:rFonts w:ascii="Times New Roman" w:cs="Times New Roman" w:eastAsia="Times New Roman" w:hAnsi="Times New Roman"/>
          <w:sz w:val="18"/>
          <w:szCs w:val="18"/>
          <w:u w:val="single" w:color="auto"/>
          <w:color w:val="0000FF"/>
        </w:rPr>
        <w:t xml:space="preserve"> </w:t>
      </w:r>
      <w:hyperlink r:id="rId290">
        <w:r>
          <w:rPr>
            <w:rFonts w:ascii="Times New Roman" w:cs="Times New Roman" w:eastAsia="Times New Roman" w:hAnsi="Times New Roman"/>
            <w:sz w:val="18"/>
            <w:szCs w:val="18"/>
            <w:u w:val="single" w:color="auto"/>
            <w:color w:val="0000FF"/>
          </w:rPr>
          <w:t>Loan and Servicing Agreement.</w:t>
        </w:r>
      </w:hyperlink>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67945</wp:posOffset>
            </wp:positionV>
            <wp:extent cx="7160895" cy="4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37" w:lineRule="auto"/>
        <w:rPr>
          <w:sz w:val="20"/>
          <w:szCs w:val="20"/>
          <w:color w:val="auto"/>
        </w:rPr>
      </w:pPr>
      <w:r>
        <w:rPr>
          <w:rFonts w:ascii="Times New Roman" w:cs="Times New Roman" w:eastAsia="Times New Roman" w:hAnsi="Times New Roman"/>
          <w:sz w:val="16"/>
          <w:szCs w:val="16"/>
          <w:color w:val="auto"/>
        </w:rPr>
        <w:t>Incorporated herein by reference to Exhibit 10.3 to the Registrant's quarterly report on Form 10-Q filed on May 4, 2023.</w:t>
      </w:r>
    </w:p>
    <w:p>
      <w:pPr>
        <w:spacing w:after="0" w:line="5" w:lineRule="exact"/>
        <w:rPr>
          <w:sz w:val="20"/>
          <w:szCs w:val="20"/>
          <w:color w:val="auto"/>
        </w:rPr>
      </w:pPr>
    </w:p>
    <w:p>
      <w:pPr>
        <w:ind w:right="320"/>
        <w:spacing w:after="0" w:line="227" w:lineRule="auto"/>
        <w:rPr>
          <w:sz w:val="20"/>
          <w:szCs w:val="20"/>
          <w:color w:val="auto"/>
        </w:rPr>
      </w:pPr>
      <w:r>
        <w:rPr>
          <w:rFonts w:ascii="Times New Roman" w:cs="Times New Roman" w:eastAsia="Times New Roman" w:hAnsi="Times New Roman"/>
          <w:sz w:val="16"/>
          <w:szCs w:val="16"/>
          <w:color w:val="auto"/>
        </w:rPr>
        <w:t>Incorporated herein by reference to Exhibit 10.30 to the Registrant's annual report on Form 10-K filed on February 28, 2024.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84"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6"/>
          <w:szCs w:val="16"/>
          <w:color w:val="auto"/>
        </w:rPr>
        <w:t>Incorporated herein by reference to Exhibit 10.2 to the Registrant's quarterly report on Form 10-Q filed on May 4, 2023.</w:t>
      </w:r>
    </w:p>
    <w:p>
      <w:pPr>
        <w:spacing w:after="0" w:line="5" w:lineRule="exact"/>
        <w:rPr>
          <w:sz w:val="20"/>
          <w:szCs w:val="20"/>
          <w:color w:val="auto"/>
        </w:rPr>
      </w:pPr>
    </w:p>
    <w:p>
      <w:pPr>
        <w:ind w:right="320"/>
        <w:spacing w:after="0" w:line="227" w:lineRule="auto"/>
        <w:rPr>
          <w:sz w:val="20"/>
          <w:szCs w:val="20"/>
          <w:color w:val="auto"/>
        </w:rPr>
      </w:pPr>
      <w:r>
        <w:rPr>
          <w:rFonts w:ascii="Times New Roman" w:cs="Times New Roman" w:eastAsia="Times New Roman" w:hAnsi="Times New Roman"/>
          <w:sz w:val="16"/>
          <w:szCs w:val="16"/>
          <w:color w:val="auto"/>
        </w:rPr>
        <w:t>Incorporated herein by reference to Exhibit 10.29 to the Registrant's annual report on Form 10-K filed on February 28, 2024.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84"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6"/>
          <w:szCs w:val="16"/>
          <w:color w:val="auto"/>
        </w:rPr>
        <w:t>Incorporated herein by reference to Exhibit 10.1 to the Registrant's current report on Form 8-K filed on May 7, 2015.</w:t>
      </w:r>
    </w:p>
    <w:p>
      <w:pPr>
        <w:spacing w:after="0" w:line="5" w:lineRule="exact"/>
        <w:rPr>
          <w:sz w:val="20"/>
          <w:szCs w:val="20"/>
          <w:color w:val="auto"/>
        </w:rPr>
      </w:pPr>
    </w:p>
    <w:p>
      <w:pPr>
        <w:ind w:right="320"/>
        <w:spacing w:after="0" w:line="227" w:lineRule="auto"/>
        <w:rPr>
          <w:sz w:val="20"/>
          <w:szCs w:val="20"/>
          <w:color w:val="auto"/>
        </w:rPr>
      </w:pPr>
      <w:r>
        <w:rPr>
          <w:rFonts w:ascii="Times New Roman" w:cs="Times New Roman" w:eastAsia="Times New Roman" w:hAnsi="Times New Roman"/>
          <w:sz w:val="16"/>
          <w:szCs w:val="16"/>
          <w:color w:val="auto"/>
        </w:rPr>
        <w:t>Incorporated herein by reference to Exhibit 10.10 to the Registrant's annual report on Form 10-K filed on February 28, 2024.</w:t>
      </w:r>
    </w:p>
    <w:p>
      <w:pPr>
        <w:spacing w:after="0" w:line="241"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6"/>
          <w:szCs w:val="16"/>
          <w:color w:val="auto"/>
        </w:rPr>
        <w:t>Incorporated herein by reference to Exhibit 10.4 to the Registrant's current report on Form 8-K filed on August 6, 2025.</w:t>
      </w:r>
    </w:p>
    <w:p>
      <w:pPr>
        <w:spacing w:after="0" w:line="5"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6"/>
          <w:szCs w:val="16"/>
          <w:color w:val="auto"/>
        </w:rPr>
        <w:t>Incorporated herein by reference to Exhibit 10.1 to the Registrant's current report on Form 8-K filed on August 1, 2024.</w:t>
      </w:r>
    </w:p>
    <w:p>
      <w:pPr>
        <w:spacing w:after="0" w:line="5"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6"/>
          <w:szCs w:val="16"/>
          <w:color w:val="auto"/>
        </w:rPr>
        <w:t>Incorporated herein by reference to Exhibit 10.1 to the Registrant's current report on Form 8-K filed on July 25, 2025.</w:t>
      </w:r>
    </w:p>
    <w:p>
      <w:pPr>
        <w:spacing w:after="0" w:line="387"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5"/>
          <w:szCs w:val="15"/>
          <w:color w:val="auto"/>
        </w:rPr>
        <w:t>Incorporated herein by reference to Exhibit 10.1 to the Registrant's current report on Form 8-K filed on January 30, 2026.</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5"/>
          <w:szCs w:val="15"/>
          <w:color w:val="auto"/>
        </w:rPr>
        <w:t>Incorporated herein by reference to Exhibit 10.1 to the Registrant’s Current Report on Form 8-K filed on September 22, 2020.</w:t>
      </w:r>
    </w:p>
    <w:p>
      <w:pPr>
        <w:spacing w:after="0" w:line="14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5"/>
          <w:szCs w:val="15"/>
          <w:color w:val="auto"/>
        </w:rPr>
        <w:t>Incorporated herein by reference to Exhibit 10.3 to the Registrant's quarterly report on Form 10-Q filed on August 6, 2025.</w:t>
      </w:r>
    </w:p>
    <w:p>
      <w:pPr>
        <w:sectPr>
          <w:pgSz w:w="11900" w:h="16838" w:orient="portrait"/>
          <w:cols w:equalWidth="0" w:num="2">
            <w:col w:w="5900" w:space="240"/>
            <w:col w:w="4240"/>
          </w:cols>
          <w:pgMar w:left="760" w:top="915" w:right="759" w:bottom="1440" w:gutter="0" w:footer="0" w:header="0"/>
        </w:sectPr>
      </w:pPr>
    </w:p>
    <w:bookmarkStart w:id="165" w:name="page166"/>
    <w:bookmarkEnd w:id="165"/>
    <w:p>
      <w:pPr>
        <w:ind w:left="800" w:right="100" w:hanging="560"/>
        <w:spacing w:after="0" w:line="221" w:lineRule="auto"/>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10.33</w:t>
      </w:r>
      <w:r>
        <w:rPr>
          <w:sz w:val="20"/>
          <w:szCs w:val="20"/>
          <w:color w:val="auto"/>
        </w:rPr>
        <w:tab/>
      </w:r>
      <w:hyperlink r:id="rId292">
        <w:r>
          <w:rPr>
            <w:rFonts w:ascii="Times New Roman" w:cs="Times New Roman" w:eastAsia="Times New Roman" w:hAnsi="Times New Roman"/>
            <w:sz w:val="16"/>
            <w:szCs w:val="16"/>
            <w:u w:val="single" w:color="auto"/>
            <w:color w:val="0000FF"/>
          </w:rPr>
          <w:t>Equity Contribution Agreement and Guaranty, dated September 26, 2025, among</w:t>
        </w:r>
      </w:hyperlink>
      <w:r>
        <w:rPr>
          <w:rFonts w:ascii="Times New Roman" w:cs="Times New Roman" w:eastAsia="Times New Roman" w:hAnsi="Times New Roman"/>
          <w:sz w:val="16"/>
          <w:szCs w:val="16"/>
          <w:u w:val="single" w:color="auto"/>
          <w:color w:val="0000FF"/>
        </w:rPr>
        <w:t xml:space="preserve"> </w:t>
      </w:r>
      <w:hyperlink r:id="rId292">
        <w:r>
          <w:rPr>
            <w:rFonts w:ascii="Times New Roman" w:cs="Times New Roman" w:eastAsia="Times New Roman" w:hAnsi="Times New Roman"/>
            <w:sz w:val="16"/>
            <w:szCs w:val="16"/>
            <w:u w:val="single" w:color="auto"/>
            <w:color w:val="0000FF"/>
          </w:rPr>
          <w:t>NRG Energy, Inc., Cedar Bayou 5 Holdings LLC, NRG Cedar Bayou 5 LLC,</w:t>
        </w:r>
      </w:hyperlink>
      <w:r>
        <w:rPr>
          <w:rFonts w:ascii="Times New Roman" w:cs="Times New Roman" w:eastAsia="Times New Roman" w:hAnsi="Times New Roman"/>
          <w:sz w:val="16"/>
          <w:szCs w:val="16"/>
          <w:u w:val="single" w:color="auto"/>
          <w:color w:val="0000FF"/>
        </w:rPr>
        <w:t xml:space="preserve"> </w:t>
      </w:r>
      <w:hyperlink r:id="rId292">
        <w:r>
          <w:rPr>
            <w:rFonts w:ascii="Times New Roman" w:cs="Times New Roman" w:eastAsia="Times New Roman" w:hAnsi="Times New Roman"/>
            <w:sz w:val="16"/>
            <w:szCs w:val="16"/>
            <w:u w:val="single" w:color="auto"/>
            <w:color w:val="0000FF"/>
          </w:rPr>
          <w:t>Public Utility Commissioner of Texas, and Wilmington Trust, National</w:t>
        </w:r>
      </w:hyperlink>
      <w:r>
        <w:rPr>
          <w:rFonts w:ascii="Times New Roman" w:cs="Times New Roman" w:eastAsia="Times New Roman" w:hAnsi="Times New Roman"/>
          <w:sz w:val="16"/>
          <w:szCs w:val="16"/>
          <w:u w:val="single" w:color="auto"/>
          <w:color w:val="0000FF"/>
        </w:rPr>
        <w:t xml:space="preserve"> </w:t>
      </w:r>
      <w:hyperlink r:id="rId292">
        <w:r>
          <w:rPr>
            <w:rFonts w:ascii="Times New Roman" w:cs="Times New Roman" w:eastAsia="Times New Roman" w:hAnsi="Times New Roman"/>
            <w:sz w:val="16"/>
            <w:szCs w:val="16"/>
            <w:u w:val="single" w:color="auto"/>
            <w:color w:val="0000FF"/>
          </w:rPr>
          <w:t>Association, as administrative agent and collateral agent. **</w:t>
        </w:r>
      </w:hyperlink>
    </w:p>
    <w:p>
      <w:pPr>
        <w:spacing w:after="0" w:line="7" w:lineRule="exact"/>
        <w:rPr>
          <w:rFonts w:ascii="Times New Roman" w:cs="Times New Roman" w:eastAsia="Times New Roman" w:hAnsi="Times New Roman"/>
          <w:sz w:val="16"/>
          <w:szCs w:val="16"/>
          <w:u w:val="single" w:color="auto"/>
          <w:color w:val="0000FF"/>
        </w:rPr>
      </w:pPr>
    </w:p>
    <w:p>
      <w:pPr>
        <w:ind w:left="800" w:right="120" w:hanging="560"/>
        <w:spacing w:after="0" w:line="227" w:lineRule="auto"/>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10.34</w:t>
      </w:r>
      <w:r>
        <w:rPr>
          <w:sz w:val="20"/>
          <w:szCs w:val="20"/>
          <w:color w:val="auto"/>
        </w:rPr>
        <w:tab/>
      </w:r>
      <w:hyperlink r:id="rId293">
        <w:r>
          <w:rPr>
            <w:rFonts w:ascii="Times New Roman" w:cs="Times New Roman" w:eastAsia="Times New Roman" w:hAnsi="Times New Roman"/>
            <w:sz w:val="16"/>
            <w:szCs w:val="16"/>
            <w:u w:val="single" w:color="auto"/>
            <w:color w:val="0000FF"/>
          </w:rPr>
          <w:t>Credit Agreement, dated September 26, 2025, among NRG Cedar Bayou 5 LLC,</w:t>
        </w:r>
      </w:hyperlink>
      <w:r>
        <w:rPr>
          <w:rFonts w:ascii="Times New Roman" w:cs="Times New Roman" w:eastAsia="Times New Roman" w:hAnsi="Times New Roman"/>
          <w:sz w:val="16"/>
          <w:szCs w:val="16"/>
          <w:u w:val="single" w:color="auto"/>
          <w:color w:val="0000FF"/>
        </w:rPr>
        <w:t xml:space="preserve"> </w:t>
      </w:r>
      <w:hyperlink r:id="rId293">
        <w:r>
          <w:rPr>
            <w:rFonts w:ascii="Times New Roman" w:cs="Times New Roman" w:eastAsia="Times New Roman" w:hAnsi="Times New Roman"/>
            <w:sz w:val="16"/>
            <w:szCs w:val="16"/>
            <w:u w:val="single" w:color="auto"/>
            <w:color w:val="0000FF"/>
          </w:rPr>
          <w:t>Public Utility Commissioner of Texas, and Wilmington Trust, National</w:t>
        </w:r>
      </w:hyperlink>
      <w:r>
        <w:rPr>
          <w:rFonts w:ascii="Times New Roman" w:cs="Times New Roman" w:eastAsia="Times New Roman" w:hAnsi="Times New Roman"/>
          <w:sz w:val="16"/>
          <w:szCs w:val="16"/>
          <w:u w:val="single" w:color="auto"/>
          <w:color w:val="0000FF"/>
        </w:rPr>
        <w:t xml:space="preserve"> </w:t>
      </w:r>
      <w:hyperlink r:id="rId293">
        <w:r>
          <w:rPr>
            <w:rFonts w:ascii="Times New Roman" w:cs="Times New Roman" w:eastAsia="Times New Roman" w:hAnsi="Times New Roman"/>
            <w:sz w:val="16"/>
            <w:szCs w:val="16"/>
            <w:u w:val="single" w:color="auto"/>
            <w:color w:val="0000FF"/>
          </w:rPr>
          <w:t>Association, as administrative agent and collateral agent.* *</w:t>
        </w:r>
      </w:hyperlink>
    </w:p>
    <w:p>
      <w:pPr>
        <w:spacing w:after="0" w:line="4" w:lineRule="exact"/>
        <w:rPr>
          <w:rFonts w:ascii="Times New Roman" w:cs="Times New Roman" w:eastAsia="Times New Roman" w:hAnsi="Times New Roman"/>
          <w:sz w:val="16"/>
          <w:szCs w:val="16"/>
          <w:u w:val="single" w:color="auto"/>
          <w:color w:val="0000FF"/>
        </w:rPr>
      </w:pPr>
    </w:p>
    <w:p>
      <w:pPr>
        <w:ind w:left="800" w:hanging="560"/>
        <w:spacing w:after="0" w:line="216" w:lineRule="auto"/>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10.35</w:t>
      </w:r>
      <w:r>
        <w:rPr>
          <w:sz w:val="20"/>
          <w:szCs w:val="20"/>
          <w:color w:val="auto"/>
        </w:rPr>
        <w:tab/>
      </w:r>
      <w:hyperlink r:id="rId294">
        <w:r>
          <w:rPr>
            <w:rFonts w:ascii="Times New Roman" w:cs="Times New Roman" w:eastAsia="Times New Roman" w:hAnsi="Times New Roman"/>
            <w:sz w:val="16"/>
            <w:szCs w:val="16"/>
            <w:u w:val="single" w:color="auto"/>
            <w:color w:val="0000FF"/>
          </w:rPr>
          <w:t>Joinder Agreement, dated as of June 21, 2024, by Direct Energy Services, LLC, as</w:t>
        </w:r>
      </w:hyperlink>
      <w:r>
        <w:rPr>
          <w:rFonts w:ascii="Times New Roman" w:cs="Times New Roman" w:eastAsia="Times New Roman" w:hAnsi="Times New Roman"/>
          <w:sz w:val="16"/>
          <w:szCs w:val="16"/>
          <w:u w:val="single" w:color="auto"/>
          <w:color w:val="0000FF"/>
        </w:rPr>
        <w:t xml:space="preserve"> </w:t>
      </w:r>
      <w:hyperlink r:id="rId294">
        <w:r>
          <w:rPr>
            <w:rFonts w:ascii="Times New Roman" w:cs="Times New Roman" w:eastAsia="Times New Roman" w:hAnsi="Times New Roman"/>
            <w:sz w:val="16"/>
            <w:szCs w:val="16"/>
            <w:u w:val="single" w:color="auto"/>
            <w:color w:val="0000FF"/>
          </w:rPr>
          <w:t>an additional originator and consented to by NRG Receivables LLC, as Borrower,</w:t>
        </w:r>
      </w:hyperlink>
      <w:r>
        <w:rPr>
          <w:rFonts w:ascii="Times New Roman" w:cs="Times New Roman" w:eastAsia="Times New Roman" w:hAnsi="Times New Roman"/>
          <w:sz w:val="16"/>
          <w:szCs w:val="16"/>
          <w:u w:val="single" w:color="auto"/>
          <w:color w:val="0000FF"/>
        </w:rPr>
        <w:t xml:space="preserve"> </w:t>
      </w:r>
      <w:hyperlink r:id="rId294">
        <w:r>
          <w:rPr>
            <w:rFonts w:ascii="Times New Roman" w:cs="Times New Roman" w:eastAsia="Times New Roman" w:hAnsi="Times New Roman"/>
            <w:sz w:val="16"/>
            <w:szCs w:val="16"/>
            <w:u w:val="single" w:color="auto"/>
            <w:color w:val="0000FF"/>
          </w:rPr>
          <w:t>NRG Retail LLC, as Servicer, and Royal Bank of Canada, as administrative agent,</w:t>
        </w:r>
      </w:hyperlink>
      <w:r>
        <w:rPr>
          <w:rFonts w:ascii="Times New Roman" w:cs="Times New Roman" w:eastAsia="Times New Roman" w:hAnsi="Times New Roman"/>
          <w:sz w:val="16"/>
          <w:szCs w:val="16"/>
          <w:u w:val="single" w:color="auto"/>
          <w:color w:val="0000FF"/>
        </w:rPr>
        <w:t xml:space="preserve"> </w:t>
      </w:r>
      <w:hyperlink r:id="rId294">
        <w:r>
          <w:rPr>
            <w:rFonts w:ascii="Times New Roman" w:cs="Times New Roman" w:eastAsia="Times New Roman" w:hAnsi="Times New Roman"/>
            <w:sz w:val="16"/>
            <w:szCs w:val="16"/>
            <w:u w:val="single" w:color="auto"/>
            <w:color w:val="0000FF"/>
          </w:rPr>
          <w:t>to the Receivables Sale Agreement, dated as of September 22, 2020, among the</w:t>
        </w:r>
      </w:hyperlink>
      <w:r>
        <w:rPr>
          <w:rFonts w:ascii="Times New Roman" w:cs="Times New Roman" w:eastAsia="Times New Roman" w:hAnsi="Times New Roman"/>
          <w:sz w:val="16"/>
          <w:szCs w:val="16"/>
          <w:u w:val="single" w:color="auto"/>
          <w:color w:val="0000FF"/>
        </w:rPr>
        <w:t xml:space="preserve"> </w:t>
      </w:r>
      <w:hyperlink r:id="rId294">
        <w:r>
          <w:rPr>
            <w:rFonts w:ascii="Times New Roman" w:cs="Times New Roman" w:eastAsia="Times New Roman" w:hAnsi="Times New Roman"/>
            <w:sz w:val="16"/>
            <w:szCs w:val="16"/>
            <w:u w:val="single" w:color="auto"/>
            <w:color w:val="0000FF"/>
          </w:rPr>
          <w:t>Originators from time to time parties thereto, NRG Retail LLC, as Servicer, and</w:t>
        </w:r>
      </w:hyperlink>
      <w:r>
        <w:rPr>
          <w:rFonts w:ascii="Times New Roman" w:cs="Times New Roman" w:eastAsia="Times New Roman" w:hAnsi="Times New Roman"/>
          <w:sz w:val="16"/>
          <w:szCs w:val="16"/>
          <w:u w:val="single" w:color="auto"/>
          <w:color w:val="0000FF"/>
        </w:rPr>
        <w:t xml:space="preserve"> </w:t>
      </w:r>
      <w:hyperlink r:id="rId294">
        <w:r>
          <w:rPr>
            <w:rFonts w:ascii="Times New Roman" w:cs="Times New Roman" w:eastAsia="Times New Roman" w:hAnsi="Times New Roman"/>
            <w:sz w:val="16"/>
            <w:szCs w:val="16"/>
            <w:u w:val="single" w:color="auto"/>
            <w:color w:val="0000FF"/>
          </w:rPr>
          <w:t>NRG Receivables LLC.</w:t>
        </w:r>
      </w:hyperlink>
    </w:p>
    <w:p>
      <w:pPr>
        <w:spacing w:after="0" w:line="7" w:lineRule="exact"/>
        <w:rPr>
          <w:rFonts w:ascii="Times New Roman" w:cs="Times New Roman" w:eastAsia="Times New Roman" w:hAnsi="Times New Roman"/>
          <w:sz w:val="16"/>
          <w:szCs w:val="16"/>
          <w:u w:val="single" w:color="auto"/>
          <w:color w:val="0000FF"/>
        </w:rPr>
      </w:pPr>
    </w:p>
    <w:p>
      <w:pPr>
        <w:ind w:left="800" w:right="260" w:hanging="609"/>
        <w:spacing w:after="0" w:line="227" w:lineRule="auto"/>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10.36</w:t>
      </w:r>
      <w:r>
        <w:rPr>
          <w:sz w:val="20"/>
          <w:szCs w:val="20"/>
          <w:color w:val="auto"/>
        </w:rPr>
        <w:tab/>
      </w:r>
      <w:hyperlink r:id="rId295">
        <w:r>
          <w:rPr>
            <w:rFonts w:ascii="Times New Roman" w:cs="Times New Roman" w:eastAsia="Times New Roman" w:hAnsi="Times New Roman"/>
            <w:sz w:val="16"/>
            <w:szCs w:val="16"/>
            <w:u w:val="single" w:color="auto"/>
            <w:color w:val="0000FF"/>
          </w:rPr>
          <w:t>Facility Agreement, dated August 29, 2023, among NRG Energy, Inc., the</w:t>
        </w:r>
      </w:hyperlink>
      <w:r>
        <w:rPr>
          <w:rFonts w:ascii="Times New Roman" w:cs="Times New Roman" w:eastAsia="Times New Roman" w:hAnsi="Times New Roman"/>
          <w:sz w:val="16"/>
          <w:szCs w:val="16"/>
          <w:u w:val="single" w:color="auto"/>
          <w:color w:val="0000FF"/>
        </w:rPr>
        <w:t xml:space="preserve"> </w:t>
      </w:r>
      <w:hyperlink r:id="rId295">
        <w:r>
          <w:rPr>
            <w:rFonts w:ascii="Times New Roman" w:cs="Times New Roman" w:eastAsia="Times New Roman" w:hAnsi="Times New Roman"/>
            <w:sz w:val="16"/>
            <w:szCs w:val="16"/>
            <w:u w:val="single" w:color="auto"/>
            <w:color w:val="0000FF"/>
          </w:rPr>
          <w:t>guarantors party thereto, Alexander Funding Trust II and Deutsche Bank Trust</w:t>
        </w:r>
      </w:hyperlink>
      <w:r>
        <w:rPr>
          <w:rFonts w:ascii="Times New Roman" w:cs="Times New Roman" w:eastAsia="Times New Roman" w:hAnsi="Times New Roman"/>
          <w:sz w:val="16"/>
          <w:szCs w:val="16"/>
          <w:u w:val="single" w:color="auto"/>
          <w:color w:val="0000FF"/>
        </w:rPr>
        <w:t xml:space="preserve"> </w:t>
      </w:r>
      <w:hyperlink r:id="rId295">
        <w:r>
          <w:rPr>
            <w:rFonts w:ascii="Times New Roman" w:cs="Times New Roman" w:eastAsia="Times New Roman" w:hAnsi="Times New Roman"/>
            <w:sz w:val="16"/>
            <w:szCs w:val="16"/>
            <w:u w:val="single" w:color="auto"/>
            <w:color w:val="0000FF"/>
          </w:rPr>
          <w:t>Company Americas, as the notes trustee</w:t>
        </w:r>
      </w:hyperlink>
    </w:p>
    <w:p>
      <w:pPr>
        <w:spacing w:after="0" w:line="4" w:lineRule="exact"/>
        <w:rPr>
          <w:rFonts w:ascii="Times New Roman" w:cs="Times New Roman" w:eastAsia="Times New Roman" w:hAnsi="Times New Roman"/>
          <w:sz w:val="16"/>
          <w:szCs w:val="16"/>
          <w:u w:val="single" w:color="auto"/>
          <w:color w:val="0000FF"/>
        </w:rPr>
      </w:pPr>
    </w:p>
    <w:p>
      <w:pPr>
        <w:ind w:left="800" w:right="20" w:hanging="609"/>
        <w:spacing w:after="0" w:line="221" w:lineRule="auto"/>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10.37</w:t>
      </w:r>
      <w:r>
        <w:rPr>
          <w:sz w:val="20"/>
          <w:szCs w:val="20"/>
          <w:color w:val="auto"/>
        </w:rPr>
        <w:tab/>
      </w:r>
      <w:hyperlink r:id="rId296">
        <w:r>
          <w:rPr>
            <w:rFonts w:ascii="Times New Roman" w:cs="Times New Roman" w:eastAsia="Times New Roman" w:hAnsi="Times New Roman"/>
            <w:sz w:val="16"/>
            <w:szCs w:val="16"/>
            <w:u w:val="single" w:color="auto"/>
            <w:color w:val="0000FF"/>
          </w:rPr>
          <w:t>Letter of Credit Facility Agreement, dated August 29, 2023, among NRG Energy,</w:t>
        </w:r>
      </w:hyperlink>
      <w:r>
        <w:rPr>
          <w:rFonts w:ascii="Times New Roman" w:cs="Times New Roman" w:eastAsia="Times New Roman" w:hAnsi="Times New Roman"/>
          <w:sz w:val="16"/>
          <w:szCs w:val="16"/>
          <w:u w:val="single" w:color="auto"/>
          <w:color w:val="0000FF"/>
        </w:rPr>
        <w:t xml:space="preserve"> </w:t>
      </w:r>
      <w:hyperlink r:id="rId296">
        <w:r>
          <w:rPr>
            <w:rFonts w:ascii="Times New Roman" w:cs="Times New Roman" w:eastAsia="Times New Roman" w:hAnsi="Times New Roman"/>
            <w:sz w:val="16"/>
            <w:szCs w:val="16"/>
            <w:u w:val="single" w:color="auto"/>
            <w:color w:val="0000FF"/>
          </w:rPr>
          <w:t>Inc., the financial institutions from time to time party thereto as letter of credit</w:t>
        </w:r>
      </w:hyperlink>
      <w:r>
        <w:rPr>
          <w:rFonts w:ascii="Times New Roman" w:cs="Times New Roman" w:eastAsia="Times New Roman" w:hAnsi="Times New Roman"/>
          <w:sz w:val="16"/>
          <w:szCs w:val="16"/>
          <w:u w:val="single" w:color="auto"/>
          <w:color w:val="0000FF"/>
        </w:rPr>
        <w:t xml:space="preserve"> </w:t>
      </w:r>
      <w:hyperlink r:id="rId296">
        <w:r>
          <w:rPr>
            <w:rFonts w:ascii="Times New Roman" w:cs="Times New Roman" w:eastAsia="Times New Roman" w:hAnsi="Times New Roman"/>
            <w:sz w:val="16"/>
            <w:szCs w:val="16"/>
            <w:u w:val="single" w:color="auto"/>
            <w:color w:val="0000FF"/>
          </w:rPr>
          <w:t>issuers, and Deutsche Bank Trust Company Americas, as administrative agent and</w:t>
        </w:r>
      </w:hyperlink>
      <w:r>
        <w:rPr>
          <w:rFonts w:ascii="Times New Roman" w:cs="Times New Roman" w:eastAsia="Times New Roman" w:hAnsi="Times New Roman"/>
          <w:sz w:val="16"/>
          <w:szCs w:val="16"/>
          <w:u w:val="single" w:color="auto"/>
          <w:color w:val="0000FF"/>
        </w:rPr>
        <w:t xml:space="preserve"> </w:t>
      </w:r>
      <w:hyperlink r:id="rId296">
        <w:r>
          <w:rPr>
            <w:rFonts w:ascii="Times New Roman" w:cs="Times New Roman" w:eastAsia="Times New Roman" w:hAnsi="Times New Roman"/>
            <w:sz w:val="16"/>
            <w:szCs w:val="16"/>
            <w:u w:val="single" w:color="auto"/>
            <w:color w:val="0000FF"/>
          </w:rPr>
          <w:t>as collateral agent</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br w:type="column"/>
      </w:r>
    </w:p>
    <w:p>
      <w:pPr>
        <w:spacing w:after="0" w:line="267" w:lineRule="auto"/>
        <w:rPr>
          <w:sz w:val="20"/>
          <w:szCs w:val="20"/>
          <w:color w:val="auto"/>
        </w:rPr>
      </w:pPr>
      <w:r>
        <w:rPr>
          <w:rFonts w:ascii="Times New Roman" w:cs="Times New Roman" w:eastAsia="Times New Roman" w:hAnsi="Times New Roman"/>
          <w:sz w:val="15"/>
          <w:szCs w:val="15"/>
          <w:color w:val="auto"/>
        </w:rPr>
        <w:t>Incorporated herein by reference to Exhibit 10.1 to the Registrant's quarterly report on Form 10-Q filed on November 6, 2025.</w:t>
      </w:r>
    </w:p>
    <w:p>
      <w:pPr>
        <w:spacing w:after="0" w:line="300" w:lineRule="exact"/>
        <w:rPr>
          <w:rFonts w:ascii="Times New Roman" w:cs="Times New Roman" w:eastAsia="Times New Roman" w:hAnsi="Times New Roman"/>
          <w:sz w:val="16"/>
          <w:szCs w:val="16"/>
          <w:u w:val="single" w:color="auto"/>
          <w:color w:val="0000FF"/>
        </w:rPr>
      </w:pPr>
    </w:p>
    <w:p>
      <w:pPr>
        <w:spacing w:after="0" w:line="267" w:lineRule="auto"/>
        <w:rPr>
          <w:sz w:val="20"/>
          <w:szCs w:val="20"/>
          <w:color w:val="auto"/>
        </w:rPr>
      </w:pPr>
      <w:r>
        <w:rPr>
          <w:rFonts w:ascii="Times New Roman" w:cs="Times New Roman" w:eastAsia="Times New Roman" w:hAnsi="Times New Roman"/>
          <w:sz w:val="15"/>
          <w:szCs w:val="15"/>
          <w:color w:val="auto"/>
        </w:rPr>
        <w:t>Incorporated herein by reference to Exhibit 10.2 to the Registrant's quarterly report on Form 10-Q filed on November 6, 2025.</w:t>
      </w:r>
    </w:p>
    <w:p>
      <w:pPr>
        <w:spacing w:after="0" w:line="143" w:lineRule="exact"/>
        <w:rPr>
          <w:rFonts w:ascii="Times New Roman" w:cs="Times New Roman" w:eastAsia="Times New Roman" w:hAnsi="Times New Roman"/>
          <w:sz w:val="16"/>
          <w:szCs w:val="16"/>
          <w:u w:val="single" w:color="auto"/>
          <w:color w:val="0000FF"/>
        </w:rPr>
      </w:pPr>
    </w:p>
    <w:p>
      <w:pPr>
        <w:spacing w:after="0" w:line="237" w:lineRule="auto"/>
        <w:rPr>
          <w:sz w:val="20"/>
          <w:szCs w:val="20"/>
          <w:color w:val="auto"/>
        </w:rPr>
      </w:pPr>
      <w:r>
        <w:rPr>
          <w:rFonts w:ascii="Times New Roman" w:cs="Times New Roman" w:eastAsia="Times New Roman" w:hAnsi="Times New Roman"/>
          <w:sz w:val="16"/>
          <w:szCs w:val="16"/>
          <w:color w:val="auto"/>
        </w:rPr>
        <w:t>Incorporated herein by reference to Exhibit 10.2 to the Registrant's current report on Form 8-K filed on June 24, 2024.</w:t>
      </w:r>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237" w:lineRule="exact"/>
        <w:rPr>
          <w:rFonts w:ascii="Times New Roman" w:cs="Times New Roman" w:eastAsia="Times New Roman" w:hAnsi="Times New Roman"/>
          <w:sz w:val="16"/>
          <w:szCs w:val="16"/>
          <w:u w:val="single" w:color="auto"/>
          <w:color w:val="0000FF"/>
        </w:rPr>
      </w:pPr>
    </w:p>
    <w:p>
      <w:pPr>
        <w:ind w:right="80"/>
        <w:spacing w:after="0" w:line="267" w:lineRule="auto"/>
        <w:rPr>
          <w:sz w:val="20"/>
          <w:szCs w:val="20"/>
          <w:color w:val="auto"/>
        </w:rPr>
      </w:pPr>
      <w:r>
        <w:rPr>
          <w:rFonts w:ascii="Times New Roman" w:cs="Times New Roman" w:eastAsia="Times New Roman" w:hAnsi="Times New Roman"/>
          <w:sz w:val="15"/>
          <w:szCs w:val="15"/>
          <w:color w:val="auto"/>
        </w:rPr>
        <w:t>Incorporated herein by reference to Exhibit 4.1 to the Registrant's current report on Form 8-K filed on August 29, 2023.</w:t>
      </w:r>
    </w:p>
    <w:p>
      <w:pPr>
        <w:spacing w:after="0" w:line="143" w:lineRule="exact"/>
        <w:rPr>
          <w:rFonts w:ascii="Times New Roman" w:cs="Times New Roman" w:eastAsia="Times New Roman" w:hAnsi="Times New Roman"/>
          <w:sz w:val="16"/>
          <w:szCs w:val="16"/>
          <w:u w:val="single" w:color="auto"/>
          <w:color w:val="0000FF"/>
        </w:rPr>
      </w:pPr>
    </w:p>
    <w:p>
      <w:pPr>
        <w:ind w:right="80"/>
        <w:spacing w:after="0" w:line="267" w:lineRule="auto"/>
        <w:rPr>
          <w:sz w:val="20"/>
          <w:szCs w:val="20"/>
          <w:color w:val="auto"/>
        </w:rPr>
      </w:pPr>
      <w:r>
        <w:rPr>
          <w:rFonts w:ascii="Times New Roman" w:cs="Times New Roman" w:eastAsia="Times New Roman" w:hAnsi="Times New Roman"/>
          <w:sz w:val="15"/>
          <w:szCs w:val="15"/>
          <w:color w:val="auto"/>
        </w:rPr>
        <w:t>Incorporated herein by reference to Exhibit 4.2 to the Registrant's current report on Form 8-K filed on August 29, 2023.</w:t>
      </w:r>
    </w:p>
    <w:p>
      <w:pPr>
        <w:spacing w:after="0" w:line="493" w:lineRule="exact"/>
        <w:rPr>
          <w:rFonts w:ascii="Times New Roman" w:cs="Times New Roman" w:eastAsia="Times New Roman" w:hAnsi="Times New Roman"/>
          <w:sz w:val="16"/>
          <w:szCs w:val="16"/>
          <w:u w:val="single" w:color="auto"/>
          <w:color w:val="0000FF"/>
        </w:rPr>
      </w:pPr>
    </w:p>
    <w:p>
      <w:pPr>
        <w:sectPr>
          <w:pgSz w:w="11900" w:h="16838" w:orient="portrait"/>
          <w:cols w:equalWidth="0" w:num="2">
            <w:col w:w="6020" w:space="260"/>
            <w:col w:w="4220"/>
          </w:cols>
          <w:pgMar w:left="600" w:top="915" w:right="799" w:bottom="1440" w:gutter="0" w:footer="0" w:header="0"/>
        </w:sectPr>
      </w:pPr>
    </w:p>
    <w:p>
      <w:pPr>
        <w:spacing w:after="0" w:line="43" w:lineRule="exact"/>
        <w:rPr>
          <w:rFonts w:ascii="Times New Roman" w:cs="Times New Roman" w:eastAsia="Times New Roman" w:hAnsi="Times New Roman"/>
          <w:sz w:val="16"/>
          <w:szCs w:val="16"/>
          <w:u w:val="single" w:color="auto"/>
          <w:color w:val="0000FF"/>
        </w:rPr>
      </w:pPr>
    </w:p>
    <w:p>
      <w:pPr>
        <w:ind w:left="800" w:hanging="609"/>
        <w:spacing w:after="0" w:line="221" w:lineRule="auto"/>
        <w:tabs>
          <w:tab w:leader="none" w:pos="7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10.38</w:t>
      </w:r>
      <w:r>
        <w:rPr>
          <w:sz w:val="20"/>
          <w:szCs w:val="20"/>
          <w:color w:val="auto"/>
        </w:rPr>
        <w:tab/>
      </w:r>
      <w:hyperlink r:id="rId297">
        <w:r>
          <w:rPr>
            <w:rFonts w:ascii="Times New Roman" w:cs="Times New Roman" w:eastAsia="Times New Roman" w:hAnsi="Times New Roman"/>
            <w:sz w:val="16"/>
            <w:szCs w:val="16"/>
            <w:u w:val="single" w:color="auto"/>
            <w:color w:val="0000FF"/>
          </w:rPr>
          <w:t>Amended and Restated Declaration of Trust of Alexander Funding Trust II, dated</w:t>
        </w:r>
      </w:hyperlink>
      <w:r>
        <w:rPr>
          <w:rFonts w:ascii="Times New Roman" w:cs="Times New Roman" w:eastAsia="Times New Roman" w:hAnsi="Times New Roman"/>
          <w:sz w:val="16"/>
          <w:szCs w:val="16"/>
          <w:u w:val="single" w:color="auto"/>
          <w:color w:val="0000FF"/>
        </w:rPr>
        <w:t xml:space="preserve"> </w:t>
      </w:r>
      <w:hyperlink r:id="rId297">
        <w:r>
          <w:rPr>
            <w:rFonts w:ascii="Times New Roman" w:cs="Times New Roman" w:eastAsia="Times New Roman" w:hAnsi="Times New Roman"/>
            <w:sz w:val="16"/>
            <w:szCs w:val="16"/>
            <w:u w:val="single" w:color="auto"/>
            <w:color w:val="0000FF"/>
          </w:rPr>
          <w:t>August 29, 2023, among NRG Energy, Inc. as depositor and in its own capacity,</w:t>
        </w:r>
      </w:hyperlink>
      <w:r>
        <w:rPr>
          <w:rFonts w:ascii="Times New Roman" w:cs="Times New Roman" w:eastAsia="Times New Roman" w:hAnsi="Times New Roman"/>
          <w:sz w:val="16"/>
          <w:szCs w:val="16"/>
          <w:u w:val="single" w:color="auto"/>
          <w:color w:val="0000FF"/>
        </w:rPr>
        <w:t xml:space="preserve"> </w:t>
      </w:r>
      <w:hyperlink r:id="rId297">
        <w:r>
          <w:rPr>
            <w:rFonts w:ascii="Times New Roman" w:cs="Times New Roman" w:eastAsia="Times New Roman" w:hAnsi="Times New Roman"/>
            <w:sz w:val="16"/>
            <w:szCs w:val="16"/>
            <w:u w:val="single" w:color="auto"/>
            <w:color w:val="0000FF"/>
          </w:rPr>
          <w:t>Deutsche Bank Trust Company Americas, as trustee, and Deutsche Bank Trust</w:t>
        </w:r>
      </w:hyperlink>
      <w:r>
        <w:rPr>
          <w:rFonts w:ascii="Times New Roman" w:cs="Times New Roman" w:eastAsia="Times New Roman" w:hAnsi="Times New Roman"/>
          <w:sz w:val="16"/>
          <w:szCs w:val="16"/>
          <w:u w:val="single" w:color="auto"/>
          <w:color w:val="0000FF"/>
        </w:rPr>
        <w:t xml:space="preserve"> </w:t>
      </w:r>
      <w:hyperlink r:id="rId297">
        <w:r>
          <w:rPr>
            <w:rFonts w:ascii="Times New Roman" w:cs="Times New Roman" w:eastAsia="Times New Roman" w:hAnsi="Times New Roman"/>
            <w:sz w:val="16"/>
            <w:szCs w:val="16"/>
            <w:u w:val="single" w:color="auto"/>
            <w:color w:val="0000FF"/>
          </w:rPr>
          <w:t>Company Delaware, as Delaware trustee</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br w:type="column"/>
      </w:r>
    </w:p>
    <w:p>
      <w:pPr>
        <w:spacing w:after="0" w:line="23" w:lineRule="exact"/>
        <w:rPr>
          <w:rFonts w:ascii="Times New Roman" w:cs="Times New Roman" w:eastAsia="Times New Roman" w:hAnsi="Times New Roman"/>
          <w:sz w:val="16"/>
          <w:szCs w:val="16"/>
          <w:u w:val="single" w:color="auto"/>
          <w:color w:val="0000FF"/>
        </w:rPr>
      </w:pPr>
    </w:p>
    <w:p>
      <w:pPr>
        <w:ind w:right="80"/>
        <w:spacing w:after="0" w:line="267" w:lineRule="auto"/>
        <w:rPr>
          <w:sz w:val="20"/>
          <w:szCs w:val="20"/>
          <w:color w:val="auto"/>
        </w:rPr>
      </w:pPr>
      <w:r>
        <w:rPr>
          <w:rFonts w:ascii="Times New Roman" w:cs="Times New Roman" w:eastAsia="Times New Roman" w:hAnsi="Times New Roman"/>
          <w:sz w:val="15"/>
          <w:szCs w:val="15"/>
          <w:color w:val="auto"/>
        </w:rPr>
        <w:t>Incorporated herein by reference to Exhibit 4.3 to the Registrant's current report on Form 8-K filed on August 29, 2023.</w:t>
      </w:r>
    </w:p>
    <w:p>
      <w:pPr>
        <w:spacing w:after="0" w:line="493" w:lineRule="exact"/>
        <w:rPr>
          <w:rFonts w:ascii="Times New Roman" w:cs="Times New Roman" w:eastAsia="Times New Roman" w:hAnsi="Times New Roman"/>
          <w:sz w:val="16"/>
          <w:szCs w:val="16"/>
          <w:u w:val="single" w:color="auto"/>
          <w:color w:val="0000FF"/>
        </w:rPr>
      </w:pPr>
    </w:p>
    <w:p>
      <w:pPr>
        <w:sectPr>
          <w:pgSz w:w="11900" w:h="16838" w:orient="portrait"/>
          <w:cols w:equalWidth="0" w:num="2">
            <w:col w:w="5940" w:space="340"/>
            <w:col w:w="4220"/>
          </w:cols>
          <w:pgMar w:left="600" w:top="915" w:right="799" w:bottom="1440" w:gutter="0" w:footer="0" w:header="0"/>
          <w:type w:val="continuous"/>
        </w:sectPr>
      </w:pPr>
    </w:p>
    <w:p>
      <w:pPr>
        <w:spacing w:after="0" w:line="31" w:lineRule="exact"/>
        <w:rPr>
          <w:rFonts w:ascii="Times New Roman" w:cs="Times New Roman" w:eastAsia="Times New Roman" w:hAnsi="Times New Roman"/>
          <w:sz w:val="16"/>
          <w:szCs w:val="16"/>
          <w:u w:val="single" w:color="auto"/>
          <w:color w:val="0000FF"/>
        </w:rPr>
      </w:pPr>
    </w:p>
    <w:tbl>
      <w:tblPr>
        <w:tblLayout w:type="fixed"/>
        <w:tblInd w:w="0" w:type="dxa"/>
        <w:tblCellMar>
          <w:top w:w="0" w:type="dxa"/>
          <w:left w:w="0" w:type="dxa"/>
          <w:bottom w:w="0" w:type="dxa"/>
          <w:right w:w="0" w:type="dxa"/>
        </w:tblCellMar>
      </w:tblPr>
      <w:tr>
        <w:trPr>
          <w:trHeight w:val="184"/>
        </w:trPr>
        <w:tc>
          <w:tcPr>
            <w:tcW w:w="8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10.39†</w:t>
            </w:r>
          </w:p>
        </w:tc>
        <w:tc>
          <w:tcPr>
            <w:tcW w:w="5240" w:type="dxa"/>
            <w:vAlign w:val="bottom"/>
            <w:gridSpan w:val="15"/>
          </w:tcPr>
          <w:p>
            <w:pPr>
              <w:spacing w:after="0"/>
              <w:rPr>
                <w:rFonts w:ascii="Times New Roman" w:cs="Times New Roman" w:eastAsia="Times New Roman" w:hAnsi="Times New Roman"/>
                <w:sz w:val="16"/>
                <w:szCs w:val="16"/>
                <w:color w:val="0000FF"/>
              </w:rPr>
            </w:pPr>
            <w:hyperlink r:id="rId298">
              <w:r>
                <w:rPr>
                  <w:rFonts w:ascii="Times New Roman" w:cs="Times New Roman" w:eastAsia="Times New Roman" w:hAnsi="Times New Roman"/>
                  <w:sz w:val="16"/>
                  <w:szCs w:val="16"/>
                  <w:color w:val="0000FF"/>
                </w:rPr>
                <w:t>Consent and Indemnity Agreement, dated as of February 6, 2018, by and among</w:t>
              </w:r>
            </w:hyperlink>
          </w:p>
        </w:tc>
      </w:tr>
      <w:tr>
        <w:trPr>
          <w:trHeight w:val="138"/>
        </w:trPr>
        <w:tc>
          <w:tcPr>
            <w:tcW w:w="800" w:type="dxa"/>
            <w:vAlign w:val="bottom"/>
          </w:tcPr>
          <w:p>
            <w:pPr>
              <w:spacing w:after="0"/>
              <w:rPr>
                <w:sz w:val="11"/>
                <w:szCs w:val="11"/>
                <w:color w:val="auto"/>
              </w:rPr>
            </w:pPr>
          </w:p>
        </w:tc>
        <w:tc>
          <w:tcPr>
            <w:tcW w:w="5060" w:type="dxa"/>
            <w:vAlign w:val="bottom"/>
            <w:tcBorders>
              <w:top w:val="single" w:sz="8" w:color="0000FF"/>
            </w:tcBorders>
            <w:gridSpan w:val="13"/>
          </w:tcPr>
          <w:p>
            <w:pPr>
              <w:spacing w:after="0" w:line="138" w:lineRule="exact"/>
              <w:rPr>
                <w:rFonts w:ascii="Times New Roman" w:cs="Times New Roman" w:eastAsia="Times New Roman" w:hAnsi="Times New Roman"/>
                <w:sz w:val="15"/>
                <w:szCs w:val="15"/>
                <w:color w:val="0000FF"/>
              </w:rPr>
            </w:pPr>
            <w:hyperlink r:id="rId298">
              <w:r>
                <w:rPr>
                  <w:rFonts w:ascii="Times New Roman" w:cs="Times New Roman" w:eastAsia="Times New Roman" w:hAnsi="Times New Roman"/>
                  <w:sz w:val="15"/>
                  <w:szCs w:val="15"/>
                  <w:color w:val="0000FF"/>
                </w:rPr>
                <w:t>NRG Energy, Inc., NRG Repowering Holdings LLC, NRG Yield, Inc., and GIP</w:t>
              </w:r>
            </w:hyperlink>
          </w:p>
        </w:tc>
        <w:tc>
          <w:tcPr>
            <w:tcW w:w="180" w:type="dxa"/>
            <w:vAlign w:val="bottom"/>
            <w:gridSpan w:val="2"/>
          </w:tcPr>
          <w:p>
            <w:pPr>
              <w:spacing w:after="0" w:line="138" w:lineRule="exact"/>
              <w:rPr>
                <w:rFonts w:ascii="Times New Roman" w:cs="Times New Roman" w:eastAsia="Times New Roman" w:hAnsi="Times New Roman"/>
                <w:sz w:val="15"/>
                <w:szCs w:val="15"/>
                <w:color w:val="0000FF"/>
              </w:rPr>
            </w:pPr>
            <w:hyperlink r:id="rId298">
              <w:r>
                <w:rPr>
                  <w:rFonts w:ascii="Times New Roman" w:cs="Times New Roman" w:eastAsia="Times New Roman" w:hAnsi="Times New Roman"/>
                  <w:sz w:val="15"/>
                  <w:szCs w:val="15"/>
                  <w:color w:val="0000FF"/>
                </w:rPr>
                <w:t>III</w:t>
              </w:r>
            </w:hyperlink>
          </w:p>
        </w:tc>
      </w:tr>
      <w:tr>
        <w:trPr>
          <w:trHeight w:val="138"/>
        </w:trPr>
        <w:tc>
          <w:tcPr>
            <w:tcW w:w="800" w:type="dxa"/>
            <w:vAlign w:val="bottom"/>
          </w:tcPr>
          <w:p>
            <w:pPr>
              <w:spacing w:after="0"/>
              <w:rPr>
                <w:sz w:val="11"/>
                <w:szCs w:val="11"/>
                <w:color w:val="auto"/>
              </w:rPr>
            </w:pPr>
          </w:p>
        </w:tc>
        <w:tc>
          <w:tcPr>
            <w:tcW w:w="5220" w:type="dxa"/>
            <w:vAlign w:val="bottom"/>
            <w:tcBorders>
              <w:top w:val="single" w:sz="8" w:color="0000FF"/>
            </w:tcBorders>
            <w:gridSpan w:val="14"/>
          </w:tcPr>
          <w:p>
            <w:pPr>
              <w:spacing w:after="0" w:line="138" w:lineRule="exact"/>
              <w:rPr>
                <w:rFonts w:ascii="Times New Roman" w:cs="Times New Roman" w:eastAsia="Times New Roman" w:hAnsi="Times New Roman"/>
                <w:sz w:val="15"/>
                <w:szCs w:val="15"/>
                <w:color w:val="0000FF"/>
              </w:rPr>
            </w:pPr>
            <w:hyperlink r:id="rId298">
              <w:r>
                <w:rPr>
                  <w:rFonts w:ascii="Times New Roman" w:cs="Times New Roman" w:eastAsia="Times New Roman" w:hAnsi="Times New Roman"/>
                  <w:sz w:val="15"/>
                  <w:szCs w:val="15"/>
                  <w:color w:val="0000FF"/>
                </w:rPr>
                <w:t>Zephyr Acquisition Partners, L.P., and NRG Yield Operating LLC (solely with</w:t>
              </w:r>
            </w:hyperlink>
          </w:p>
        </w:tc>
        <w:tc>
          <w:tcPr>
            <w:tcW w:w="20" w:type="dxa"/>
            <w:vAlign w:val="bottom"/>
          </w:tcPr>
          <w:p>
            <w:pPr>
              <w:spacing w:after="0"/>
              <w:rPr>
                <w:sz w:val="11"/>
                <w:szCs w:val="11"/>
                <w:color w:val="auto"/>
              </w:rPr>
            </w:pPr>
          </w:p>
        </w:tc>
      </w:tr>
      <w:tr>
        <w:trPr>
          <w:trHeight w:val="138"/>
        </w:trPr>
        <w:tc>
          <w:tcPr>
            <w:tcW w:w="800" w:type="dxa"/>
            <w:vAlign w:val="bottom"/>
          </w:tcPr>
          <w:p>
            <w:pPr>
              <w:spacing w:after="0"/>
              <w:rPr>
                <w:sz w:val="11"/>
                <w:szCs w:val="11"/>
                <w:color w:val="auto"/>
              </w:rPr>
            </w:pPr>
          </w:p>
        </w:tc>
        <w:tc>
          <w:tcPr>
            <w:tcW w:w="2440" w:type="dxa"/>
            <w:vAlign w:val="bottom"/>
            <w:tcBorders>
              <w:top w:val="single" w:sz="8" w:color="0000FF"/>
              <w:bottom w:val="single" w:sz="8" w:color="0000FF"/>
            </w:tcBorders>
            <w:gridSpan w:val="8"/>
          </w:tcPr>
          <w:p>
            <w:pPr>
              <w:spacing w:after="0" w:line="138" w:lineRule="exact"/>
              <w:rPr>
                <w:rFonts w:ascii="Times New Roman" w:cs="Times New Roman" w:eastAsia="Times New Roman" w:hAnsi="Times New Roman"/>
                <w:sz w:val="15"/>
                <w:szCs w:val="15"/>
                <w:color w:val="0000FF"/>
              </w:rPr>
            </w:pPr>
            <w:hyperlink r:id="rId298">
              <w:r>
                <w:rPr>
                  <w:rFonts w:ascii="Times New Roman" w:cs="Times New Roman" w:eastAsia="Times New Roman" w:hAnsi="Times New Roman"/>
                  <w:sz w:val="15"/>
                  <w:szCs w:val="15"/>
                  <w:color w:val="0000FF"/>
                </w:rPr>
                <w:t>respect to Sections E.5, E.6 and G.12).</w:t>
              </w:r>
            </w:hyperlink>
          </w:p>
        </w:tc>
        <w:tc>
          <w:tcPr>
            <w:tcW w:w="2520" w:type="dxa"/>
            <w:vAlign w:val="bottom"/>
            <w:tcBorders>
              <w:top w:val="single" w:sz="8" w:color="0000FF"/>
            </w:tcBorders>
            <w:gridSpan w:val="4"/>
          </w:tcPr>
          <w:p>
            <w:pPr>
              <w:spacing w:after="0"/>
              <w:rPr>
                <w:sz w:val="11"/>
                <w:szCs w:val="11"/>
                <w:color w:val="auto"/>
              </w:rPr>
            </w:pPr>
          </w:p>
        </w:tc>
        <w:tc>
          <w:tcPr>
            <w:tcW w:w="280" w:type="dxa"/>
            <w:vAlign w:val="bottom"/>
            <w:gridSpan w:val="3"/>
          </w:tcPr>
          <w:p>
            <w:pPr>
              <w:spacing w:after="0"/>
              <w:rPr>
                <w:sz w:val="11"/>
                <w:szCs w:val="11"/>
                <w:color w:val="auto"/>
              </w:rPr>
            </w:pPr>
          </w:p>
        </w:tc>
      </w:tr>
      <w:tr>
        <w:trPr>
          <w:trHeight w:val="191"/>
        </w:trPr>
        <w:tc>
          <w:tcPr>
            <w:tcW w:w="8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19.1</w:t>
            </w:r>
          </w:p>
        </w:tc>
        <w:tc>
          <w:tcPr>
            <w:tcW w:w="14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7"/>
              </w:rPr>
              <w:t>Insider Trading Policy</w:t>
            </w:r>
          </w:p>
        </w:tc>
        <w:tc>
          <w:tcPr>
            <w:tcW w:w="3820" w:type="dxa"/>
            <w:vAlign w:val="bottom"/>
            <w:gridSpan w:val="14"/>
          </w:tcPr>
          <w:p>
            <w:pPr>
              <w:spacing w:after="0"/>
              <w:rPr>
                <w:sz w:val="16"/>
                <w:szCs w:val="16"/>
                <w:color w:val="auto"/>
              </w:rPr>
            </w:pPr>
          </w:p>
        </w:tc>
      </w:tr>
      <w:tr>
        <w:trPr>
          <w:trHeight w:val="191"/>
        </w:trPr>
        <w:tc>
          <w:tcPr>
            <w:tcW w:w="8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21.1</w:t>
            </w:r>
          </w:p>
        </w:tc>
        <w:tc>
          <w:tcPr>
            <w:tcW w:w="21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w w:val="97"/>
              </w:rPr>
              <w:t>Subsidiaries of NRG Energy, Inc.</w:t>
            </w:r>
          </w:p>
        </w:tc>
        <w:tc>
          <w:tcPr>
            <w:tcW w:w="3120" w:type="dxa"/>
            <w:vAlign w:val="bottom"/>
            <w:gridSpan w:val="9"/>
          </w:tcPr>
          <w:p>
            <w:pPr>
              <w:spacing w:after="0"/>
              <w:rPr>
                <w:sz w:val="16"/>
                <w:szCs w:val="16"/>
                <w:color w:val="auto"/>
              </w:rPr>
            </w:pPr>
          </w:p>
        </w:tc>
      </w:tr>
      <w:tr>
        <w:trPr>
          <w:trHeight w:val="191"/>
        </w:trPr>
        <w:tc>
          <w:tcPr>
            <w:tcW w:w="8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22.1</w:t>
            </w:r>
          </w:p>
        </w:tc>
        <w:tc>
          <w:tcPr>
            <w:tcW w:w="524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List of Guarantor Subsidiaries</w:t>
            </w:r>
          </w:p>
        </w:tc>
      </w:tr>
      <w:tr>
        <w:trPr>
          <w:trHeight w:val="191"/>
        </w:trPr>
        <w:tc>
          <w:tcPr>
            <w:tcW w:w="8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23.1</w:t>
            </w:r>
          </w:p>
        </w:tc>
        <w:tc>
          <w:tcPr>
            <w:tcW w:w="19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Consent of KPMG LLP.</w:t>
            </w:r>
          </w:p>
        </w:tc>
        <w:tc>
          <w:tcPr>
            <w:tcW w:w="3340" w:type="dxa"/>
            <w:vAlign w:val="bottom"/>
            <w:gridSpan w:val="10"/>
          </w:tcPr>
          <w:p>
            <w:pPr>
              <w:spacing w:after="0"/>
              <w:rPr>
                <w:sz w:val="16"/>
                <w:szCs w:val="16"/>
                <w:color w:val="auto"/>
              </w:rPr>
            </w:pPr>
          </w:p>
        </w:tc>
      </w:tr>
      <w:tr>
        <w:trPr>
          <w:trHeight w:val="225"/>
        </w:trPr>
        <w:tc>
          <w:tcPr>
            <w:tcW w:w="8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24.1</w:t>
            </w:r>
          </w:p>
        </w:tc>
        <w:tc>
          <w:tcPr>
            <w:tcW w:w="15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auto"/>
              </w:rPr>
              <w:t>Power of Attorney</w:t>
            </w:r>
          </w:p>
        </w:tc>
        <w:tc>
          <w:tcPr>
            <w:tcW w:w="3720" w:type="dxa"/>
            <w:vAlign w:val="bottom"/>
            <w:gridSpan w:val="12"/>
          </w:tcPr>
          <w:p>
            <w:pPr>
              <w:spacing w:after="0"/>
              <w:rPr>
                <w:sz w:val="19"/>
                <w:szCs w:val="19"/>
                <w:color w:val="auto"/>
              </w:rPr>
            </w:pPr>
          </w:p>
        </w:tc>
      </w:tr>
      <w:tr>
        <w:trPr>
          <w:trHeight w:val="176"/>
        </w:trPr>
        <w:tc>
          <w:tcPr>
            <w:tcW w:w="800" w:type="dxa"/>
            <w:vAlign w:val="bottom"/>
          </w:tcPr>
          <w:p>
            <w:pPr>
              <w:jc w:val="right"/>
              <w:ind w:right="141"/>
              <w:spacing w:after="0" w:line="176" w:lineRule="exact"/>
              <w:rPr>
                <w:sz w:val="20"/>
                <w:szCs w:val="20"/>
                <w:color w:val="auto"/>
              </w:rPr>
            </w:pPr>
            <w:r>
              <w:rPr>
                <w:rFonts w:ascii="Times New Roman" w:cs="Times New Roman" w:eastAsia="Times New Roman" w:hAnsi="Times New Roman"/>
                <w:sz w:val="16"/>
                <w:szCs w:val="16"/>
                <w:color w:val="auto"/>
              </w:rPr>
              <w:t>31.1</w:t>
            </w:r>
          </w:p>
        </w:tc>
        <w:tc>
          <w:tcPr>
            <w:tcW w:w="5240" w:type="dxa"/>
            <w:vAlign w:val="bottom"/>
            <w:gridSpan w:val="15"/>
          </w:tcPr>
          <w:p>
            <w:pPr>
              <w:spacing w:after="0" w:line="176" w:lineRule="exact"/>
              <w:rPr>
                <w:sz w:val="20"/>
                <w:szCs w:val="20"/>
                <w:color w:val="auto"/>
              </w:rPr>
            </w:pPr>
            <w:r>
              <w:rPr>
                <w:rFonts w:ascii="Times New Roman" w:cs="Times New Roman" w:eastAsia="Times New Roman" w:hAnsi="Times New Roman"/>
                <w:sz w:val="16"/>
                <w:szCs w:val="16"/>
                <w:color w:val="0000FF"/>
              </w:rPr>
              <w:t>Rule 13a-14(a)/15d-14(a) certification of Lawrence Coben</w:t>
            </w:r>
          </w:p>
        </w:tc>
      </w:tr>
      <w:tr>
        <w:trPr>
          <w:trHeight w:val="20"/>
        </w:trPr>
        <w:tc>
          <w:tcPr>
            <w:tcW w:w="800" w:type="dxa"/>
            <w:vAlign w:val="bottom"/>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r>
      <w:tr>
        <w:trPr>
          <w:trHeight w:val="191"/>
        </w:trPr>
        <w:tc>
          <w:tcPr>
            <w:tcW w:w="8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31.2</w:t>
            </w:r>
          </w:p>
        </w:tc>
        <w:tc>
          <w:tcPr>
            <w:tcW w:w="37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w w:val="97"/>
              </w:rPr>
              <w:t>Rule 13a-14(a)/15d-14(a) certification of Woo-Sung Chung</w:t>
            </w:r>
          </w:p>
        </w:tc>
        <w:tc>
          <w:tcPr>
            <w:tcW w:w="1480" w:type="dxa"/>
            <w:vAlign w:val="bottom"/>
            <w:gridSpan w:val="5"/>
          </w:tcPr>
          <w:p>
            <w:pPr>
              <w:spacing w:after="0"/>
              <w:rPr>
                <w:sz w:val="16"/>
                <w:szCs w:val="16"/>
                <w:color w:val="auto"/>
              </w:rPr>
            </w:pPr>
          </w:p>
        </w:tc>
      </w:tr>
      <w:tr>
        <w:trPr>
          <w:trHeight w:val="191"/>
        </w:trPr>
        <w:tc>
          <w:tcPr>
            <w:tcW w:w="8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31.3</w:t>
            </w:r>
          </w:p>
        </w:tc>
        <w:tc>
          <w:tcPr>
            <w:tcW w:w="37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w w:val="98"/>
              </w:rPr>
              <w:t>Rule 13a-14(a)/15d-14(a) certification of G. Alfred Spencer</w:t>
            </w:r>
          </w:p>
        </w:tc>
        <w:tc>
          <w:tcPr>
            <w:tcW w:w="1460" w:type="dxa"/>
            <w:vAlign w:val="bottom"/>
            <w:gridSpan w:val="4"/>
          </w:tcPr>
          <w:p>
            <w:pPr>
              <w:spacing w:after="0"/>
              <w:rPr>
                <w:sz w:val="16"/>
                <w:szCs w:val="16"/>
                <w:color w:val="auto"/>
              </w:rPr>
            </w:pPr>
          </w:p>
        </w:tc>
      </w:tr>
      <w:tr>
        <w:trPr>
          <w:trHeight w:val="191"/>
        </w:trPr>
        <w:tc>
          <w:tcPr>
            <w:tcW w:w="8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32</w:t>
            </w:r>
          </w:p>
        </w:tc>
        <w:tc>
          <w:tcPr>
            <w:tcW w:w="524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Section 1350 Certification.</w:t>
            </w:r>
          </w:p>
        </w:tc>
      </w:tr>
      <w:tr>
        <w:trPr>
          <w:trHeight w:val="191"/>
        </w:trPr>
        <w:tc>
          <w:tcPr>
            <w:tcW w:w="8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95.1</w:t>
            </w:r>
          </w:p>
        </w:tc>
        <w:tc>
          <w:tcPr>
            <w:tcW w:w="17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Mine Safety Disclosure</w:t>
            </w:r>
          </w:p>
        </w:tc>
        <w:tc>
          <w:tcPr>
            <w:tcW w:w="3540" w:type="dxa"/>
            <w:vAlign w:val="bottom"/>
            <w:gridSpan w:val="11"/>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3000" w:type="dxa"/>
            <w:vAlign w:val="bottom"/>
            <w:gridSpan w:val="8"/>
          </w:tcPr>
          <w:p>
            <w:pPr>
              <w:spacing w:after="0" w:line="20" w:lineRule="exact"/>
              <w:rPr>
                <w:sz w:val="1"/>
                <w:szCs w:val="1"/>
                <w:color w:val="auto"/>
              </w:rPr>
            </w:pPr>
          </w:p>
        </w:tc>
      </w:tr>
      <w:tr>
        <w:trPr>
          <w:trHeight w:val="191"/>
        </w:trPr>
        <w:tc>
          <w:tcPr>
            <w:tcW w:w="8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97</w:t>
            </w:r>
          </w:p>
        </w:tc>
        <w:tc>
          <w:tcPr>
            <w:tcW w:w="5240" w:type="dxa"/>
            <w:vAlign w:val="bottom"/>
            <w:gridSpan w:val="15"/>
          </w:tcPr>
          <w:p>
            <w:pPr>
              <w:spacing w:after="0"/>
              <w:rPr>
                <w:rFonts w:ascii="Times New Roman" w:cs="Times New Roman" w:eastAsia="Times New Roman" w:hAnsi="Times New Roman"/>
                <w:sz w:val="16"/>
                <w:szCs w:val="16"/>
                <w:color w:val="0000FF"/>
              </w:rPr>
            </w:pPr>
            <w:hyperlink r:id="rId299">
              <w:r>
                <w:rPr>
                  <w:rFonts w:ascii="Times New Roman" w:cs="Times New Roman" w:eastAsia="Times New Roman" w:hAnsi="Times New Roman"/>
                  <w:sz w:val="16"/>
                  <w:szCs w:val="16"/>
                  <w:color w:val="0000FF"/>
                </w:rPr>
                <w:t>NRG Energy, Inc. Clawback Policy</w:t>
              </w:r>
            </w:hyperlink>
          </w:p>
        </w:tc>
      </w:tr>
      <w:tr>
        <w:trPr>
          <w:trHeight w:val="383"/>
        </w:trPr>
        <w:tc>
          <w:tcPr>
            <w:tcW w:w="8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101 INS</w:t>
            </w:r>
          </w:p>
        </w:tc>
        <w:tc>
          <w:tcPr>
            <w:tcW w:w="22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3000" w:type="dxa"/>
            <w:vAlign w:val="bottom"/>
            <w:gridSpan w:val="8"/>
          </w:tcPr>
          <w:p>
            <w:pPr>
              <w:spacing w:after="0"/>
              <w:rPr>
                <w:sz w:val="24"/>
                <w:szCs w:val="24"/>
                <w:color w:val="auto"/>
              </w:rPr>
            </w:pPr>
          </w:p>
        </w:tc>
      </w:tr>
      <w:tr>
        <w:trPr>
          <w:trHeight w:val="526"/>
        </w:trPr>
        <w:tc>
          <w:tcPr>
            <w:tcW w:w="8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4"/>
              </w:rPr>
              <w:t>101 SCH</w:t>
            </w:r>
          </w:p>
        </w:tc>
        <w:tc>
          <w:tcPr>
            <w:tcW w:w="524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Inline XBRL Taxonomy Extension Schema.</w:t>
            </w:r>
          </w:p>
        </w:tc>
      </w:tr>
      <w:tr>
        <w:trPr>
          <w:trHeight w:val="211"/>
        </w:trPr>
        <w:tc>
          <w:tcPr>
            <w:tcW w:w="8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3"/>
              </w:rPr>
              <w:t>101 CAL</w:t>
            </w:r>
          </w:p>
        </w:tc>
        <w:tc>
          <w:tcPr>
            <w:tcW w:w="524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r>
      <w:tr>
        <w:trPr>
          <w:trHeight w:val="211"/>
        </w:trPr>
        <w:tc>
          <w:tcPr>
            <w:tcW w:w="8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6"/>
              </w:rPr>
              <w:t>101 DEF</w:t>
            </w:r>
          </w:p>
        </w:tc>
        <w:tc>
          <w:tcPr>
            <w:tcW w:w="524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r>
      <w:tr>
        <w:trPr>
          <w:trHeight w:val="211"/>
        </w:trPr>
        <w:tc>
          <w:tcPr>
            <w:tcW w:w="8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3"/>
              </w:rPr>
              <w:t>101 LAB</w:t>
            </w:r>
          </w:p>
        </w:tc>
        <w:tc>
          <w:tcPr>
            <w:tcW w:w="524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r>
      <w:tr>
        <w:trPr>
          <w:trHeight w:val="211"/>
        </w:trPr>
        <w:tc>
          <w:tcPr>
            <w:tcW w:w="8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7"/>
              </w:rPr>
              <w:t>101 PRE</w:t>
            </w:r>
          </w:p>
        </w:tc>
        <w:tc>
          <w:tcPr>
            <w:tcW w:w="524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r>
    </w:tbl>
    <w:p>
      <w:pPr>
        <w:spacing w:after="0" w:line="4" w:lineRule="exact"/>
        <w:rPr>
          <w:sz w:val="20"/>
          <w:szCs w:val="20"/>
          <w:color w:val="auto"/>
        </w:rPr>
      </w:pPr>
    </w:p>
    <w:p>
      <w:pPr>
        <w:jc w:val="both"/>
        <w:ind w:left="800" w:right="320" w:hanging="447"/>
        <w:spacing w:after="0" w:line="227" w:lineRule="auto"/>
        <w:tabs>
          <w:tab w:leader="none" w:pos="80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(the cover page interactive data file does not appear in Exhibit 104 because it's Inline XBRL tags are embedded within the Inline XBRL document).</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5"/>
          <w:szCs w:val="15"/>
          <w:color w:val="auto"/>
        </w:rPr>
        <w:t>Incorporated herein by reference to Exhibit 10.34 to NRG Yield, Inc.'s Annual Report on Form 10-K filed on March 1, 2018.</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Included on signature page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Furnished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5"/>
          <w:szCs w:val="15"/>
          <w:color w:val="auto"/>
        </w:rPr>
        <w:t>Incorporated herein by reference to Exhibit 97 to the Registrant's annual report on Form 10-K filed on February 28, 2024.</w:t>
      </w:r>
    </w:p>
    <w:p>
      <w:pPr>
        <w:ind w:right="60"/>
        <w:spacing w:after="0" w:line="227" w:lineRule="auto"/>
        <w:rPr>
          <w:sz w:val="20"/>
          <w:szCs w:val="20"/>
          <w:color w:val="auto"/>
        </w:rPr>
      </w:pPr>
      <w:r>
        <w:rPr>
          <w:rFonts w:ascii="Times New Roman" w:cs="Times New Roman" w:eastAsia="Times New Roman" w:hAnsi="Times New Roman"/>
          <w:sz w:val="16"/>
          <w:szCs w:val="16"/>
          <w:color w:val="auto"/>
        </w:rPr>
        <w:t>The instance document does not appear in the interactive data file because its XBRL tags are embedded within the inline XBRL document.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538" w:lineRule="exact"/>
        <w:rPr>
          <w:sz w:val="20"/>
          <w:szCs w:val="20"/>
          <w:color w:val="auto"/>
        </w:rPr>
      </w:pPr>
    </w:p>
    <w:p>
      <w:pPr>
        <w:sectPr>
          <w:pgSz w:w="11900" w:h="16838" w:orient="portrait"/>
          <w:cols w:equalWidth="0" w:num="2">
            <w:col w:w="6020" w:space="260"/>
            <w:col w:w="4220"/>
          </w:cols>
          <w:pgMar w:left="600" w:top="915" w:right="799"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82550</wp:posOffset>
            </wp:positionV>
            <wp:extent cx="7160895"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500"/>
          </w:cols>
          <w:pgMar w:left="600" w:top="915" w:right="799" w:bottom="1440" w:gutter="0" w:footer="0" w:header="0"/>
          <w:type w:val="continuous"/>
        </w:sectPr>
      </w:pPr>
    </w:p>
    <w:bookmarkStart w:id="166" w:name="page167"/>
    <w:bookmarkEnd w:id="166"/>
    <w:p>
      <w:pPr>
        <w:ind w:left="740" w:hanging="704"/>
        <w:spacing w:after="0"/>
        <w:tabs>
          <w:tab w:leader="none" w:pos="74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 relates to compensation arrangements.</w:t>
      </w:r>
    </w:p>
    <w:p>
      <w:pPr>
        <w:spacing w:after="0" w:line="27" w:lineRule="exact"/>
        <w:rPr>
          <w:sz w:val="20"/>
          <w:szCs w:val="20"/>
          <w:color w:val="auto"/>
        </w:rPr>
      </w:pPr>
    </w:p>
    <w:p>
      <w:pPr>
        <w:ind w:left="700" w:right="180" w:hanging="664"/>
        <w:spacing w:after="0" w:line="237" w:lineRule="auto"/>
        <w:tabs>
          <w:tab w:leader="none" w:pos="70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Schedules and exhibits have been omitted from this filing pursuant to Item 601(b)(2) of Regulation S K. A copy of any omitted schedule or exhibit will be furnished to the Securities and Exchange Commission upon request.</w:t>
      </w:r>
    </w:p>
    <w:p>
      <w:pPr>
        <w:spacing w:after="0" w:line="5" w:lineRule="exact"/>
        <w:rPr>
          <w:sz w:val="20"/>
          <w:szCs w:val="20"/>
          <w:color w:val="auto"/>
        </w:rPr>
      </w:pPr>
    </w:p>
    <w:p>
      <w:pPr>
        <w:ind w:left="700" w:hanging="664"/>
        <w:spacing w:after="0" w:line="237" w:lineRule="auto"/>
        <w:tabs>
          <w:tab w:leader="none" w:pos="70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Portions of this exhibit have been redacted and are subject to a confidential treatment request filed with the Secretary of the Securities and Exchange Commission pursuant to Rule 24b-2 under the Securities Exchange Act of 1934, as amended.</w:t>
      </w:r>
    </w:p>
    <w:p>
      <w:pPr>
        <w:spacing w:after="0" w:line="84" w:lineRule="exact"/>
        <w:rPr>
          <w:sz w:val="20"/>
          <w:szCs w:val="20"/>
          <w:color w:val="auto"/>
        </w:rPr>
      </w:pPr>
    </w:p>
    <w:p>
      <w:pPr>
        <w:ind w:left="700" w:right="20" w:hanging="664"/>
        <w:spacing w:after="0" w:line="237" w:lineRule="auto"/>
        <w:tabs>
          <w:tab w:leader="none" w:pos="70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filing excludes schedules pursuant to Item 601(b)(2) of Regulation S-K, which the registrant agrees to furnish supplementary to the Securities and Exchange Commission upon request by the Commission.</w:t>
      </w:r>
    </w:p>
    <w:p>
      <w:pPr>
        <w:spacing w:after="0" w:line="5" w:lineRule="exact"/>
        <w:rPr>
          <w:sz w:val="20"/>
          <w:szCs w:val="20"/>
          <w:color w:val="auto"/>
        </w:rPr>
      </w:pPr>
    </w:p>
    <w:p>
      <w:pPr>
        <w:ind w:left="700" w:right="280" w:hanging="664"/>
        <w:spacing w:after="0" w:line="237" w:lineRule="auto"/>
        <w:tabs>
          <w:tab w:leader="none" w:pos="70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Portions of this exhibit have been excluded because they are both not material and would likely cause competitive harm to the registrant if publicly disclosed. Information that has been omitted has been noted in this document with a placeholder identified by the mark “[***]”.</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40"/>
          </w:cols>
          <w:pgMar w:left="320" w:top="915" w:right="639" w:bottom="1440" w:gutter="0" w:footer="0" w:header="0"/>
        </w:sectPr>
      </w:pPr>
    </w:p>
    <w:bookmarkStart w:id="167" w:name="page168"/>
    <w:bookmarkEnd w:id="1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2"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NRG ENERGY, INC.</w:t>
      </w: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73"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LAWRENCE S. COBEN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17627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02">
                      <a:extLst>
                        <a:ext uri="{28A0092B-C50C-407E-A947-70E740481C1C}"/>
                      </a:extLst>
                    </a:blip>
                    <a:srcRect/>
                    <a:stretch>
                      <a:fillRect/>
                    </a:stretch>
                  </pic:blipFill>
                  <pic:spPr bwMode="auto">
                    <a:xfrm>
                      <a:off x="0" y="0"/>
                      <a:ext cx="1762760" cy="8255"/>
                    </a:xfrm>
                    <a:prstGeom prst="rect">
                      <a:avLst/>
                    </a:prstGeom>
                    <a:noFill/>
                  </pic:spPr>
                </pic:pic>
              </a:graphicData>
            </a:graphic>
          </wp:anchor>
        </w:drawing>
      </w:r>
    </w:p>
    <w:p>
      <w:pPr>
        <w:spacing w:after="0" w:line="7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Lawrence S. Coben</w:t>
      </w:r>
    </w:p>
    <w:p>
      <w:pPr>
        <w:ind w:left="66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3" w:lineRule="exact"/>
        <w:rPr>
          <w:sz w:val="20"/>
          <w:szCs w:val="20"/>
          <w:color w:val="auto"/>
        </w:rPr>
      </w:pPr>
    </w:p>
    <w:p>
      <w:pPr>
        <w:jc w:val="both"/>
        <w:ind w:firstLine="434"/>
        <w:spacing w:after="0" w:line="244"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Brian E. Curci and Christine A. Zoino, each or any of them, such person's true and lawful attorney-in-fact and agent with full power of substitution and resubstitution for such person and in such person's name, place and stead, in any and all capacities, to sign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necessary or desirable to be done in and about the premises, as fully to all intents and purposes as such person, hereby ratifying and confirming all that said attorneys-in-fact and agents, or any of them or their substitute or substitutes, may lawfully do or cause to be done by virtue hereof.</w:t>
      </w:r>
    </w:p>
    <w:p>
      <w:pPr>
        <w:spacing w:after="0" w:line="128"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In accordance with the Exchange Act, this report has been signed by the following persons on behalf of the registrant in the capacities indicated on February 24, 2026.</w:t>
      </w:r>
    </w:p>
    <w:p>
      <w:pPr>
        <w:spacing w:after="0" w:line="49" w:lineRule="exact"/>
        <w:rPr>
          <w:sz w:val="20"/>
          <w:szCs w:val="20"/>
          <w:color w:val="auto"/>
        </w:rPr>
      </w:pPr>
    </w:p>
    <w:p>
      <w:pPr>
        <w:ind w:left="1400"/>
        <w:spacing w:after="0"/>
        <w:tabs>
          <w:tab w:leader="none" w:pos="6060" w:val="left"/>
          <w:tab w:leader="none" w:pos="9920" w:val="left"/>
        </w:tabs>
        <w:rPr>
          <w:sz w:val="20"/>
          <w:szCs w:val="20"/>
          <w:color w:val="auto"/>
        </w:rPr>
      </w:pPr>
      <w:r>
        <w:rPr>
          <w:rFonts w:ascii="Times New Roman" w:cs="Times New Roman" w:eastAsia="Times New Roman" w:hAnsi="Times New Roman"/>
          <w:sz w:val="18"/>
          <w:szCs w:val="18"/>
          <w:b w:val="1"/>
          <w:bCs w:val="1"/>
          <w:color w:val="auto"/>
        </w:rPr>
        <w:t>Signature</w:t>
      </w:r>
      <w:r>
        <w:rPr>
          <w:sz w:val="20"/>
          <w:szCs w:val="20"/>
          <w:color w:val="auto"/>
        </w:rPr>
        <w:tab/>
      </w: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15240</wp:posOffset>
            </wp:positionV>
            <wp:extent cx="336740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4">
                      <a:extLst>
                        <a:ext uri="{28A0092B-C50C-407E-A947-70E740481C1C}"/>
                      </a:extLst>
                    </a:blip>
                    <a:srcRect/>
                    <a:stretch>
                      <a:fillRect/>
                    </a:stretch>
                  </pic:blipFill>
                  <pic:spPr bwMode="auto">
                    <a:xfrm>
                      <a:off x="0" y="0"/>
                      <a:ext cx="3367405" cy="825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 LAWRENCE S. COBEN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22225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5">
                      <a:extLst>
                        <a:ext uri="{28A0092B-C50C-407E-A947-70E740481C1C}"/>
                      </a:extLst>
                    </a:blip>
                    <a:srcRect/>
                    <a:stretch>
                      <a:fillRect/>
                    </a:stretch>
                  </pic:blipFill>
                  <pic:spPr bwMode="auto">
                    <a:xfrm>
                      <a:off x="0" y="0"/>
                      <a:ext cx="2222500" cy="8255"/>
                    </a:xfrm>
                    <a:prstGeom prst="rect">
                      <a:avLst/>
                    </a:prstGeom>
                    <a:noFill/>
                  </pic:spPr>
                </pic:pic>
              </a:graphicData>
            </a:graphic>
          </wp:anchor>
        </w:drawing>
      </w:r>
    </w:p>
    <w:p>
      <w:pPr>
        <w:spacing w:after="0" w:line="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Lawrence S. Coben</w:t>
      </w:r>
    </w:p>
    <w:p>
      <w:pPr>
        <w:spacing w:after="0" w:line="4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 WOO-SUNG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22225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6">
                      <a:extLst>
                        <a:ext uri="{28A0092B-C50C-407E-A947-70E740481C1C}"/>
                      </a:extLst>
                    </a:blip>
                    <a:srcRect/>
                    <a:stretch>
                      <a:fillRect/>
                    </a:stretch>
                  </pic:blipFill>
                  <pic:spPr bwMode="auto">
                    <a:xfrm>
                      <a:off x="0" y="0"/>
                      <a:ext cx="2222500" cy="8255"/>
                    </a:xfrm>
                    <a:prstGeom prst="rect">
                      <a:avLst/>
                    </a:prstGeom>
                    <a:noFill/>
                  </pic:spPr>
                </pic:pic>
              </a:graphicData>
            </a:graphic>
          </wp:anchor>
        </w:drawing>
      </w:r>
    </w:p>
    <w:p>
      <w:pPr>
        <w:spacing w:after="0" w:line="2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Woo-Sung Chung</w:t>
      </w:r>
    </w:p>
    <w:p>
      <w:pPr>
        <w:spacing w:after="0" w:line="4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 G. ALFRED SPENCER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22225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7">
                      <a:extLst>
                        <a:ext uri="{28A0092B-C50C-407E-A947-70E740481C1C}"/>
                      </a:extLst>
                    </a:blip>
                    <a:srcRect/>
                    <a:stretch>
                      <a:fillRect/>
                    </a:stretch>
                  </pic:blipFill>
                  <pic:spPr bwMode="auto">
                    <a:xfrm>
                      <a:off x="0" y="0"/>
                      <a:ext cx="2222500" cy="8255"/>
                    </a:xfrm>
                    <a:prstGeom prst="rect">
                      <a:avLst/>
                    </a:prstGeom>
                    <a:noFill/>
                  </pic:spPr>
                </pic:pic>
              </a:graphicData>
            </a:graphic>
          </wp:anchor>
        </w:drawing>
      </w:r>
    </w:p>
    <w:p>
      <w:pPr>
        <w:spacing w:after="0" w:line="2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G. Alfred Spencer</w:t>
      </w:r>
    </w:p>
    <w:p>
      <w:pPr>
        <w:spacing w:after="0" w:line="4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 E. SPENCER ABRAHAM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22225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8">
                      <a:extLst>
                        <a:ext uri="{28A0092B-C50C-407E-A947-70E740481C1C}"/>
                      </a:extLst>
                    </a:blip>
                    <a:srcRect/>
                    <a:stretch>
                      <a:fillRect/>
                    </a:stretch>
                  </pic:blipFill>
                  <pic:spPr bwMode="auto">
                    <a:xfrm>
                      <a:off x="0" y="0"/>
                      <a:ext cx="2222500" cy="8255"/>
                    </a:xfrm>
                    <a:prstGeom prst="rect">
                      <a:avLst/>
                    </a:prstGeom>
                    <a:noFill/>
                  </pic:spPr>
                </pic:pic>
              </a:graphicData>
            </a:graphic>
          </wp:anchor>
        </w:drawing>
      </w:r>
    </w:p>
    <w:p>
      <w:pPr>
        <w:spacing w:after="0" w:line="2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E. Spencer Abraham</w:t>
      </w:r>
    </w:p>
    <w:p>
      <w:pPr>
        <w:spacing w:after="0" w:line="4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 ANTONIO CARRILLO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22225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9">
                      <a:extLst>
                        <a:ext uri="{28A0092B-C50C-407E-A947-70E740481C1C}"/>
                      </a:extLst>
                    </a:blip>
                    <a:srcRect/>
                    <a:stretch>
                      <a:fillRect/>
                    </a:stretch>
                  </pic:blipFill>
                  <pic:spPr bwMode="auto">
                    <a:xfrm>
                      <a:off x="0" y="0"/>
                      <a:ext cx="2222500" cy="8255"/>
                    </a:xfrm>
                    <a:prstGeom prst="rect">
                      <a:avLst/>
                    </a:prstGeom>
                    <a:noFill/>
                  </pic:spPr>
                </pic:pic>
              </a:graphicData>
            </a:graphic>
          </wp:anchor>
        </w:drawing>
      </w:r>
    </w:p>
    <w:p>
      <w:pPr>
        <w:spacing w:after="0" w:line="2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Antonio Carrillo</w:t>
      </w:r>
    </w:p>
    <w:p>
      <w:pPr>
        <w:spacing w:after="0" w:line="4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 MATTHEW CARTER,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22225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10">
                      <a:extLst>
                        <a:ext uri="{28A0092B-C50C-407E-A947-70E740481C1C}"/>
                      </a:extLst>
                    </a:blip>
                    <a:srcRect/>
                    <a:stretch>
                      <a:fillRect/>
                    </a:stretch>
                  </pic:blipFill>
                  <pic:spPr bwMode="auto">
                    <a:xfrm>
                      <a:off x="0" y="0"/>
                      <a:ext cx="2222500" cy="8255"/>
                    </a:xfrm>
                    <a:prstGeom prst="rect">
                      <a:avLst/>
                    </a:prstGeom>
                    <a:noFill/>
                  </pic:spPr>
                </pic:pic>
              </a:graphicData>
            </a:graphic>
          </wp:anchor>
        </w:drawing>
      </w:r>
    </w:p>
    <w:p>
      <w:pPr>
        <w:spacing w:after="0" w:line="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Matthew Carter, Jr.</w:t>
      </w:r>
    </w:p>
    <w:p>
      <w:pPr>
        <w:spacing w:after="0" w:line="4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/s/ HEATHER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22225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11">
                      <a:extLst>
                        <a:ext uri="{28A0092B-C50C-407E-A947-70E740481C1C}"/>
                      </a:extLst>
                    </a:blip>
                    <a:srcRect/>
                    <a:stretch>
                      <a:fillRect/>
                    </a:stretch>
                  </pic:blipFill>
                  <pic:spPr bwMode="auto">
                    <a:xfrm>
                      <a:off x="0" y="0"/>
                      <a:ext cx="2222500" cy="8255"/>
                    </a:xfrm>
                    <a:prstGeom prst="rect">
                      <a:avLst/>
                    </a:prstGeom>
                    <a:noFill/>
                  </pic:spPr>
                </pic:pic>
              </a:graphicData>
            </a:graphic>
          </wp:anchor>
        </w:drawing>
      </w:r>
    </w:p>
    <w:p>
      <w:pPr>
        <w:spacing w:after="0" w:line="2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Heather Cox</w:t>
      </w:r>
    </w:p>
    <w:p>
      <w:pPr>
        <w:spacing w:after="0" w:line="4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/s/ ELISABETH B.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22225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2">
                      <a:extLst>
                        <a:ext uri="{28A0092B-C50C-407E-A947-70E740481C1C}"/>
                      </a:extLst>
                    </a:blip>
                    <a:srcRect/>
                    <a:stretch>
                      <a:fillRect/>
                    </a:stretch>
                  </pic:blipFill>
                  <pic:spPr bwMode="auto">
                    <a:xfrm>
                      <a:off x="0" y="0"/>
                      <a:ext cx="2222500" cy="8255"/>
                    </a:xfrm>
                    <a:prstGeom prst="rect">
                      <a:avLst/>
                    </a:prstGeom>
                    <a:noFill/>
                  </pic:spPr>
                </pic:pic>
              </a:graphicData>
            </a:graphic>
          </wp:anchor>
        </w:drawing>
      </w:r>
    </w:p>
    <w:p>
      <w:pPr>
        <w:spacing w:after="0" w:line="4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Elisabeth B. Donohue</w:t>
      </w:r>
    </w:p>
    <w:p>
      <w:pPr>
        <w:spacing w:after="0" w:line="4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 MARWAN FAWAZ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22225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3">
                      <a:extLst>
                        <a:ext uri="{28A0092B-C50C-407E-A947-70E740481C1C}"/>
                      </a:extLst>
                    </a:blip>
                    <a:srcRect/>
                    <a:stretch>
                      <a:fillRect/>
                    </a:stretch>
                  </pic:blipFill>
                  <pic:spPr bwMode="auto">
                    <a:xfrm>
                      <a:off x="0" y="0"/>
                      <a:ext cx="2222500" cy="8255"/>
                    </a:xfrm>
                    <a:prstGeom prst="rect">
                      <a:avLst/>
                    </a:prstGeom>
                    <a:noFill/>
                  </pic:spPr>
                </pic:pic>
              </a:graphicData>
            </a:graphic>
          </wp:anchor>
        </w:drawing>
      </w:r>
    </w:p>
    <w:p>
      <w:pPr>
        <w:spacing w:after="0" w:line="2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Marwan Fawaz</w:t>
      </w:r>
    </w:p>
    <w:p>
      <w:pPr>
        <w:spacing w:after="0" w:line="4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 SANJAY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222250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4">
                      <a:extLst>
                        <a:ext uri="{28A0092B-C50C-407E-A947-70E740481C1C}"/>
                      </a:extLst>
                    </a:blip>
                    <a:srcRect/>
                    <a:stretch>
                      <a:fillRect/>
                    </a:stretch>
                  </pic:blipFill>
                  <pic:spPr bwMode="auto">
                    <a:xfrm>
                      <a:off x="0" y="0"/>
                      <a:ext cx="2222500" cy="8255"/>
                    </a:xfrm>
                    <a:prstGeom prst="rect">
                      <a:avLst/>
                    </a:prstGeom>
                    <a:noFill/>
                  </pic:spPr>
                </pic:pic>
              </a:graphicData>
            </a:graphic>
          </wp:anchor>
        </w:drawing>
      </w:r>
    </w:p>
    <w:p>
      <w:pPr>
        <w:spacing w:after="0" w:line="2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Sanjay Kapoor</w:t>
      </w:r>
    </w:p>
    <w:p>
      <w:pPr>
        <w:spacing w:after="0" w:line="4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 ALEX POURBAIX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22225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5">
                      <a:extLst>
                        <a:ext uri="{28A0092B-C50C-407E-A947-70E740481C1C}"/>
                      </a:extLst>
                    </a:blip>
                    <a:srcRect/>
                    <a:stretch>
                      <a:fillRect/>
                    </a:stretch>
                  </pic:blipFill>
                  <pic:spPr bwMode="auto">
                    <a:xfrm>
                      <a:off x="0" y="0"/>
                      <a:ext cx="2222500" cy="8255"/>
                    </a:xfrm>
                    <a:prstGeom prst="rect">
                      <a:avLst/>
                    </a:prstGeom>
                    <a:noFill/>
                  </pic:spPr>
                </pic:pic>
              </a:graphicData>
            </a:graphic>
          </wp:anchor>
        </w:drawing>
      </w:r>
    </w:p>
    <w:p>
      <w:pPr>
        <w:spacing w:after="0" w:line="2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Alex Pourbaix</w:t>
      </w:r>
    </w:p>
    <w:p>
      <w:pPr>
        <w:spacing w:after="0" w:line="4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 ALEXANDRA PRUNER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22225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6">
                      <a:extLst>
                        <a:ext uri="{28A0092B-C50C-407E-A947-70E740481C1C}"/>
                      </a:extLst>
                    </a:blip>
                    <a:srcRect/>
                    <a:stretch>
                      <a:fillRect/>
                    </a:stretch>
                  </pic:blipFill>
                  <pic:spPr bwMode="auto">
                    <a:xfrm>
                      <a:off x="0" y="0"/>
                      <a:ext cx="2222500" cy="8255"/>
                    </a:xfrm>
                    <a:prstGeom prst="rect">
                      <a:avLst/>
                    </a:prstGeom>
                    <a:noFill/>
                  </pic:spPr>
                </pic:pic>
              </a:graphicData>
            </a:graphic>
          </wp:anchor>
        </w:drawing>
      </w:r>
    </w:p>
    <w:p>
      <w:pPr>
        <w:spacing w:after="0" w:line="2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Alexandra Pruner</w:t>
      </w:r>
    </w:p>
    <w:p>
      <w:pPr>
        <w:spacing w:after="0" w:line="4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 MARCIE C. ZLOTNIK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22225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17">
                      <a:extLst>
                        <a:ext uri="{28A0092B-C50C-407E-A947-70E740481C1C}"/>
                      </a:extLst>
                    </a:blip>
                    <a:srcRect/>
                    <a:stretch>
                      <a:fillRect/>
                    </a:stretch>
                  </pic:blipFill>
                  <pic:spPr bwMode="auto">
                    <a:xfrm>
                      <a:off x="0" y="0"/>
                      <a:ext cx="2222500" cy="8255"/>
                    </a:xfrm>
                    <a:prstGeom prst="rect">
                      <a:avLst/>
                    </a:prstGeom>
                    <a:noFill/>
                  </pic:spPr>
                </pic:pic>
              </a:graphicData>
            </a:graphic>
          </wp:anchor>
        </w:drawing>
      </w:r>
    </w:p>
    <w:p>
      <w:pPr>
        <w:spacing w:after="0" w:line="2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Marcie C. Zlotnik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4180" w:type="dxa"/>
            <w:vAlign w:val="bottom"/>
          </w:tcPr>
          <w:p>
            <w:pPr>
              <w:jc w:val="center"/>
              <w:ind w:right="652"/>
              <w:spacing w:after="0"/>
              <w:rPr>
                <w:sz w:val="20"/>
                <w:szCs w:val="20"/>
                <w:color w:val="auto"/>
              </w:rPr>
            </w:pPr>
            <w:r>
              <w:rPr>
                <w:rFonts w:ascii="Times New Roman" w:cs="Times New Roman" w:eastAsia="Times New Roman" w:hAnsi="Times New Roman"/>
                <w:sz w:val="18"/>
                <w:szCs w:val="18"/>
                <w:color w:val="auto"/>
                <w:w w:val="97"/>
              </w:rPr>
              <w:t>Chief Executive Officer and Director</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180" w:type="dxa"/>
            <w:vAlign w:val="bottom"/>
          </w:tcPr>
          <w:p>
            <w:pPr>
              <w:jc w:val="center"/>
              <w:ind w:right="652"/>
              <w:spacing w:after="0"/>
              <w:rPr>
                <w:sz w:val="20"/>
                <w:szCs w:val="20"/>
                <w:color w:val="auto"/>
              </w:rPr>
            </w:pPr>
            <w:r>
              <w:rPr>
                <w:rFonts w:ascii="Times New Roman" w:cs="Times New Roman" w:eastAsia="Times New Roman" w:hAnsi="Times New Roman"/>
                <w:sz w:val="18"/>
                <w:szCs w:val="18"/>
                <w:color w:val="auto"/>
                <w:w w:val="97"/>
              </w:rPr>
              <w:t>(Principal Executive Officer, Chair of the Board)</w:t>
            </w:r>
          </w:p>
        </w:tc>
        <w:tc>
          <w:tcPr>
            <w:tcW w:w="20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February 24, 2026</w:t>
            </w:r>
          </w:p>
        </w:tc>
        <w:tc>
          <w:tcPr>
            <w:tcW w:w="0" w:type="dxa"/>
            <w:vAlign w:val="bottom"/>
          </w:tcPr>
          <w:p>
            <w:pPr>
              <w:spacing w:after="0"/>
              <w:rPr>
                <w:sz w:val="1"/>
                <w:szCs w:val="1"/>
                <w:color w:val="auto"/>
              </w:rPr>
            </w:pPr>
          </w:p>
        </w:tc>
      </w:tr>
      <w:tr>
        <w:trPr>
          <w:trHeight w:val="250"/>
        </w:trPr>
        <w:tc>
          <w:tcPr>
            <w:tcW w:w="4180" w:type="dxa"/>
            <w:vAlign w:val="bottom"/>
          </w:tcPr>
          <w:p>
            <w:pPr>
              <w:jc w:val="center"/>
              <w:ind w:right="612"/>
              <w:spacing w:after="0"/>
              <w:rPr>
                <w:sz w:val="20"/>
                <w:szCs w:val="20"/>
                <w:color w:val="auto"/>
              </w:rPr>
            </w:pPr>
            <w:r>
              <w:rPr>
                <w:rFonts w:ascii="Times New Roman" w:cs="Times New Roman" w:eastAsia="Times New Roman" w:hAnsi="Times New Roman"/>
                <w:sz w:val="18"/>
                <w:szCs w:val="18"/>
                <w:color w:val="auto"/>
                <w:w w:val="97"/>
              </w:rPr>
              <w:t>Chief Financial Officer</w:t>
            </w:r>
          </w:p>
        </w:tc>
        <w:tc>
          <w:tcPr>
            <w:tcW w:w="2040" w:type="dxa"/>
            <w:vAlign w:val="bottom"/>
            <w:vMerge w:val="restart"/>
          </w:tcPr>
          <w:p>
            <w:pPr>
              <w:ind w:left="740"/>
              <w:spacing w:after="0"/>
              <w:rPr>
                <w:sz w:val="20"/>
                <w:szCs w:val="20"/>
                <w:color w:val="auto"/>
              </w:rPr>
            </w:pPr>
            <w:r>
              <w:rPr>
                <w:rFonts w:ascii="Times New Roman" w:cs="Times New Roman" w:eastAsia="Times New Roman" w:hAnsi="Times New Roman"/>
                <w:sz w:val="18"/>
                <w:szCs w:val="18"/>
                <w:color w:val="auto"/>
                <w:w w:val="96"/>
              </w:rPr>
              <w:t>February 24, 2026</w:t>
            </w:r>
          </w:p>
        </w:tc>
        <w:tc>
          <w:tcPr>
            <w:tcW w:w="0" w:type="dxa"/>
            <w:vAlign w:val="bottom"/>
          </w:tcPr>
          <w:p>
            <w:pPr>
              <w:spacing w:after="0"/>
              <w:rPr>
                <w:sz w:val="1"/>
                <w:szCs w:val="1"/>
                <w:color w:val="auto"/>
              </w:rPr>
            </w:pPr>
          </w:p>
        </w:tc>
      </w:tr>
      <w:tr>
        <w:trPr>
          <w:trHeight w:val="105"/>
        </w:trPr>
        <w:tc>
          <w:tcPr>
            <w:tcW w:w="4180" w:type="dxa"/>
            <w:vAlign w:val="bottom"/>
            <w:vMerge w:val="restart"/>
          </w:tcPr>
          <w:p>
            <w:pPr>
              <w:jc w:val="center"/>
              <w:ind w:right="652"/>
              <w:spacing w:after="0"/>
              <w:rPr>
                <w:sz w:val="20"/>
                <w:szCs w:val="20"/>
                <w:color w:val="auto"/>
              </w:rPr>
            </w:pPr>
            <w:r>
              <w:rPr>
                <w:rFonts w:ascii="Times New Roman" w:cs="Times New Roman" w:eastAsia="Times New Roman" w:hAnsi="Times New Roman"/>
                <w:sz w:val="18"/>
                <w:szCs w:val="18"/>
                <w:color w:val="auto"/>
                <w:w w:val="97"/>
              </w:rPr>
              <w:t>(Principal Financial Officer)</w:t>
            </w: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180" w:type="dxa"/>
            <w:vAlign w:val="bottom"/>
            <w:vMerge w:val="continue"/>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4180" w:type="dxa"/>
            <w:vAlign w:val="bottom"/>
          </w:tcPr>
          <w:p>
            <w:pPr>
              <w:jc w:val="center"/>
              <w:ind w:right="652"/>
              <w:spacing w:after="0"/>
              <w:rPr>
                <w:sz w:val="20"/>
                <w:szCs w:val="20"/>
                <w:color w:val="auto"/>
              </w:rPr>
            </w:pPr>
            <w:r>
              <w:rPr>
                <w:rFonts w:ascii="Times New Roman" w:cs="Times New Roman" w:eastAsia="Times New Roman" w:hAnsi="Times New Roman"/>
                <w:sz w:val="18"/>
                <w:szCs w:val="18"/>
                <w:color w:val="auto"/>
                <w:w w:val="97"/>
              </w:rPr>
              <w:t>Chief Accounting Officer</w:t>
            </w:r>
          </w:p>
        </w:tc>
        <w:tc>
          <w:tcPr>
            <w:tcW w:w="2040" w:type="dxa"/>
            <w:vAlign w:val="bottom"/>
            <w:vMerge w:val="restart"/>
          </w:tcPr>
          <w:p>
            <w:pPr>
              <w:ind w:left="740"/>
              <w:spacing w:after="0"/>
              <w:rPr>
                <w:sz w:val="20"/>
                <w:szCs w:val="20"/>
                <w:color w:val="auto"/>
              </w:rPr>
            </w:pPr>
            <w:r>
              <w:rPr>
                <w:rFonts w:ascii="Times New Roman" w:cs="Times New Roman" w:eastAsia="Times New Roman" w:hAnsi="Times New Roman"/>
                <w:sz w:val="18"/>
                <w:szCs w:val="18"/>
                <w:color w:val="auto"/>
                <w:w w:val="96"/>
              </w:rPr>
              <w:t>February 24, 2026</w:t>
            </w:r>
          </w:p>
        </w:tc>
        <w:tc>
          <w:tcPr>
            <w:tcW w:w="0" w:type="dxa"/>
            <w:vAlign w:val="bottom"/>
          </w:tcPr>
          <w:p>
            <w:pPr>
              <w:spacing w:after="0"/>
              <w:rPr>
                <w:sz w:val="1"/>
                <w:szCs w:val="1"/>
                <w:color w:val="auto"/>
              </w:rPr>
            </w:pPr>
          </w:p>
        </w:tc>
      </w:tr>
      <w:tr>
        <w:trPr>
          <w:trHeight w:val="118"/>
        </w:trPr>
        <w:tc>
          <w:tcPr>
            <w:tcW w:w="4180" w:type="dxa"/>
            <w:vAlign w:val="bottom"/>
            <w:vMerge w:val="restart"/>
          </w:tcPr>
          <w:p>
            <w:pPr>
              <w:jc w:val="center"/>
              <w:ind w:right="612"/>
              <w:spacing w:after="0"/>
              <w:rPr>
                <w:sz w:val="20"/>
                <w:szCs w:val="20"/>
                <w:color w:val="auto"/>
              </w:rPr>
            </w:pPr>
            <w:r>
              <w:rPr>
                <w:rFonts w:ascii="Times New Roman" w:cs="Times New Roman" w:eastAsia="Times New Roman" w:hAnsi="Times New Roman"/>
                <w:sz w:val="18"/>
                <w:szCs w:val="18"/>
                <w:color w:val="auto"/>
                <w:w w:val="97"/>
              </w:rPr>
              <w:t>(Principal Accounting Officer)</w:t>
            </w:r>
          </w:p>
        </w:tc>
        <w:tc>
          <w:tcPr>
            <w:tcW w:w="2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180" w:type="dxa"/>
            <w:vAlign w:val="bottom"/>
            <w:vMerge w:val="continue"/>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5"/>
        </w:trPr>
        <w:tc>
          <w:tcPr>
            <w:tcW w:w="4180" w:type="dxa"/>
            <w:vAlign w:val="bottom"/>
          </w:tcPr>
          <w:p>
            <w:pPr>
              <w:jc w:val="center"/>
              <w:ind w:right="632"/>
              <w:spacing w:after="0"/>
              <w:rPr>
                <w:sz w:val="20"/>
                <w:szCs w:val="20"/>
                <w:color w:val="auto"/>
              </w:rPr>
            </w:pPr>
            <w:r>
              <w:rPr>
                <w:rFonts w:ascii="Times New Roman" w:cs="Times New Roman" w:eastAsia="Times New Roman" w:hAnsi="Times New Roman"/>
                <w:sz w:val="18"/>
                <w:szCs w:val="18"/>
                <w:color w:val="auto"/>
                <w:w w:val="96"/>
              </w:rPr>
              <w:t>Director</w:t>
            </w:r>
          </w:p>
        </w:tc>
        <w:tc>
          <w:tcPr>
            <w:tcW w:w="20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February 24, 2026</w:t>
            </w:r>
          </w:p>
        </w:tc>
        <w:tc>
          <w:tcPr>
            <w:tcW w:w="0" w:type="dxa"/>
            <w:vAlign w:val="bottom"/>
          </w:tcPr>
          <w:p>
            <w:pPr>
              <w:spacing w:after="0"/>
              <w:rPr>
                <w:sz w:val="1"/>
                <w:szCs w:val="1"/>
                <w:color w:val="auto"/>
              </w:rPr>
            </w:pPr>
          </w:p>
        </w:tc>
      </w:tr>
      <w:tr>
        <w:trPr>
          <w:trHeight w:val="500"/>
        </w:trPr>
        <w:tc>
          <w:tcPr>
            <w:tcW w:w="4180" w:type="dxa"/>
            <w:vAlign w:val="bottom"/>
          </w:tcPr>
          <w:p>
            <w:pPr>
              <w:jc w:val="center"/>
              <w:ind w:right="632"/>
              <w:spacing w:after="0"/>
              <w:rPr>
                <w:sz w:val="20"/>
                <w:szCs w:val="20"/>
                <w:color w:val="auto"/>
              </w:rPr>
            </w:pPr>
            <w:r>
              <w:rPr>
                <w:rFonts w:ascii="Times New Roman" w:cs="Times New Roman" w:eastAsia="Times New Roman" w:hAnsi="Times New Roman"/>
                <w:sz w:val="18"/>
                <w:szCs w:val="18"/>
                <w:color w:val="auto"/>
                <w:w w:val="96"/>
              </w:rPr>
              <w:t>Director</w:t>
            </w:r>
          </w:p>
        </w:tc>
        <w:tc>
          <w:tcPr>
            <w:tcW w:w="20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February 24, 2026</w:t>
            </w:r>
          </w:p>
        </w:tc>
        <w:tc>
          <w:tcPr>
            <w:tcW w:w="0" w:type="dxa"/>
            <w:vAlign w:val="bottom"/>
          </w:tcPr>
          <w:p>
            <w:pPr>
              <w:spacing w:after="0"/>
              <w:rPr>
                <w:sz w:val="1"/>
                <w:szCs w:val="1"/>
                <w:color w:val="auto"/>
              </w:rPr>
            </w:pPr>
          </w:p>
        </w:tc>
      </w:tr>
      <w:tr>
        <w:trPr>
          <w:trHeight w:val="500"/>
        </w:trPr>
        <w:tc>
          <w:tcPr>
            <w:tcW w:w="4180" w:type="dxa"/>
            <w:vAlign w:val="bottom"/>
          </w:tcPr>
          <w:p>
            <w:pPr>
              <w:jc w:val="center"/>
              <w:ind w:right="632"/>
              <w:spacing w:after="0"/>
              <w:rPr>
                <w:sz w:val="20"/>
                <w:szCs w:val="20"/>
                <w:color w:val="auto"/>
              </w:rPr>
            </w:pPr>
            <w:r>
              <w:rPr>
                <w:rFonts w:ascii="Times New Roman" w:cs="Times New Roman" w:eastAsia="Times New Roman" w:hAnsi="Times New Roman"/>
                <w:sz w:val="18"/>
                <w:szCs w:val="18"/>
                <w:color w:val="auto"/>
                <w:w w:val="96"/>
              </w:rPr>
              <w:t>Director</w:t>
            </w:r>
          </w:p>
        </w:tc>
        <w:tc>
          <w:tcPr>
            <w:tcW w:w="20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February 24, 2026</w:t>
            </w:r>
          </w:p>
        </w:tc>
        <w:tc>
          <w:tcPr>
            <w:tcW w:w="0" w:type="dxa"/>
            <w:vAlign w:val="bottom"/>
          </w:tcPr>
          <w:p>
            <w:pPr>
              <w:spacing w:after="0"/>
              <w:rPr>
                <w:sz w:val="1"/>
                <w:szCs w:val="1"/>
                <w:color w:val="auto"/>
              </w:rPr>
            </w:pPr>
          </w:p>
        </w:tc>
      </w:tr>
      <w:tr>
        <w:trPr>
          <w:trHeight w:val="500"/>
        </w:trPr>
        <w:tc>
          <w:tcPr>
            <w:tcW w:w="4180" w:type="dxa"/>
            <w:vAlign w:val="bottom"/>
          </w:tcPr>
          <w:p>
            <w:pPr>
              <w:jc w:val="center"/>
              <w:ind w:right="632"/>
              <w:spacing w:after="0"/>
              <w:rPr>
                <w:sz w:val="20"/>
                <w:szCs w:val="20"/>
                <w:color w:val="auto"/>
              </w:rPr>
            </w:pPr>
            <w:r>
              <w:rPr>
                <w:rFonts w:ascii="Times New Roman" w:cs="Times New Roman" w:eastAsia="Times New Roman" w:hAnsi="Times New Roman"/>
                <w:sz w:val="18"/>
                <w:szCs w:val="18"/>
                <w:color w:val="auto"/>
                <w:w w:val="96"/>
              </w:rPr>
              <w:t>Director</w:t>
            </w:r>
          </w:p>
        </w:tc>
        <w:tc>
          <w:tcPr>
            <w:tcW w:w="20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February 24, 2026</w:t>
            </w:r>
          </w:p>
        </w:tc>
        <w:tc>
          <w:tcPr>
            <w:tcW w:w="0" w:type="dxa"/>
            <w:vAlign w:val="bottom"/>
          </w:tcPr>
          <w:p>
            <w:pPr>
              <w:spacing w:after="0"/>
              <w:rPr>
                <w:sz w:val="1"/>
                <w:szCs w:val="1"/>
                <w:color w:val="auto"/>
              </w:rPr>
            </w:pPr>
          </w:p>
        </w:tc>
      </w:tr>
      <w:tr>
        <w:trPr>
          <w:trHeight w:val="500"/>
        </w:trPr>
        <w:tc>
          <w:tcPr>
            <w:tcW w:w="4180" w:type="dxa"/>
            <w:vAlign w:val="bottom"/>
          </w:tcPr>
          <w:p>
            <w:pPr>
              <w:jc w:val="center"/>
              <w:ind w:right="632"/>
              <w:spacing w:after="0"/>
              <w:rPr>
                <w:sz w:val="20"/>
                <w:szCs w:val="20"/>
                <w:color w:val="auto"/>
              </w:rPr>
            </w:pPr>
            <w:r>
              <w:rPr>
                <w:rFonts w:ascii="Times New Roman" w:cs="Times New Roman" w:eastAsia="Times New Roman" w:hAnsi="Times New Roman"/>
                <w:sz w:val="18"/>
                <w:szCs w:val="18"/>
                <w:color w:val="auto"/>
                <w:w w:val="96"/>
              </w:rPr>
              <w:t>Director</w:t>
            </w:r>
          </w:p>
        </w:tc>
        <w:tc>
          <w:tcPr>
            <w:tcW w:w="20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February 24, 2026</w:t>
            </w:r>
          </w:p>
        </w:tc>
        <w:tc>
          <w:tcPr>
            <w:tcW w:w="0" w:type="dxa"/>
            <w:vAlign w:val="bottom"/>
          </w:tcPr>
          <w:p>
            <w:pPr>
              <w:spacing w:after="0"/>
              <w:rPr>
                <w:sz w:val="1"/>
                <w:szCs w:val="1"/>
                <w:color w:val="auto"/>
              </w:rPr>
            </w:pPr>
          </w:p>
        </w:tc>
      </w:tr>
      <w:tr>
        <w:trPr>
          <w:trHeight w:val="500"/>
        </w:trPr>
        <w:tc>
          <w:tcPr>
            <w:tcW w:w="4180" w:type="dxa"/>
            <w:vAlign w:val="bottom"/>
          </w:tcPr>
          <w:p>
            <w:pPr>
              <w:jc w:val="center"/>
              <w:ind w:right="632"/>
              <w:spacing w:after="0"/>
              <w:rPr>
                <w:sz w:val="20"/>
                <w:szCs w:val="20"/>
                <w:color w:val="auto"/>
              </w:rPr>
            </w:pPr>
            <w:r>
              <w:rPr>
                <w:rFonts w:ascii="Times New Roman" w:cs="Times New Roman" w:eastAsia="Times New Roman" w:hAnsi="Times New Roman"/>
                <w:sz w:val="18"/>
                <w:szCs w:val="18"/>
                <w:color w:val="auto"/>
                <w:w w:val="96"/>
              </w:rPr>
              <w:t>Director</w:t>
            </w:r>
          </w:p>
        </w:tc>
        <w:tc>
          <w:tcPr>
            <w:tcW w:w="20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February 24, 2026</w:t>
            </w:r>
          </w:p>
        </w:tc>
        <w:tc>
          <w:tcPr>
            <w:tcW w:w="0" w:type="dxa"/>
            <w:vAlign w:val="bottom"/>
          </w:tcPr>
          <w:p>
            <w:pPr>
              <w:spacing w:after="0"/>
              <w:rPr>
                <w:sz w:val="1"/>
                <w:szCs w:val="1"/>
                <w:color w:val="auto"/>
              </w:rPr>
            </w:pPr>
          </w:p>
        </w:tc>
      </w:tr>
      <w:tr>
        <w:trPr>
          <w:trHeight w:val="500"/>
        </w:trPr>
        <w:tc>
          <w:tcPr>
            <w:tcW w:w="4180" w:type="dxa"/>
            <w:vAlign w:val="bottom"/>
          </w:tcPr>
          <w:p>
            <w:pPr>
              <w:jc w:val="center"/>
              <w:ind w:right="632"/>
              <w:spacing w:after="0"/>
              <w:rPr>
                <w:sz w:val="20"/>
                <w:szCs w:val="20"/>
                <w:color w:val="auto"/>
              </w:rPr>
            </w:pPr>
            <w:r>
              <w:rPr>
                <w:rFonts w:ascii="Times New Roman" w:cs="Times New Roman" w:eastAsia="Times New Roman" w:hAnsi="Times New Roman"/>
                <w:sz w:val="18"/>
                <w:szCs w:val="18"/>
                <w:color w:val="auto"/>
                <w:w w:val="96"/>
              </w:rPr>
              <w:t>Director</w:t>
            </w:r>
          </w:p>
        </w:tc>
        <w:tc>
          <w:tcPr>
            <w:tcW w:w="20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February 24, 2026</w:t>
            </w:r>
          </w:p>
        </w:tc>
        <w:tc>
          <w:tcPr>
            <w:tcW w:w="0" w:type="dxa"/>
            <w:vAlign w:val="bottom"/>
          </w:tcPr>
          <w:p>
            <w:pPr>
              <w:spacing w:after="0"/>
              <w:rPr>
                <w:sz w:val="1"/>
                <w:szCs w:val="1"/>
                <w:color w:val="auto"/>
              </w:rPr>
            </w:pPr>
          </w:p>
        </w:tc>
      </w:tr>
      <w:tr>
        <w:trPr>
          <w:trHeight w:val="500"/>
        </w:trPr>
        <w:tc>
          <w:tcPr>
            <w:tcW w:w="4180" w:type="dxa"/>
            <w:vAlign w:val="bottom"/>
          </w:tcPr>
          <w:p>
            <w:pPr>
              <w:jc w:val="center"/>
              <w:ind w:right="632"/>
              <w:spacing w:after="0"/>
              <w:rPr>
                <w:sz w:val="20"/>
                <w:szCs w:val="20"/>
                <w:color w:val="auto"/>
              </w:rPr>
            </w:pPr>
            <w:r>
              <w:rPr>
                <w:rFonts w:ascii="Times New Roman" w:cs="Times New Roman" w:eastAsia="Times New Roman" w:hAnsi="Times New Roman"/>
                <w:sz w:val="18"/>
                <w:szCs w:val="18"/>
                <w:color w:val="auto"/>
                <w:w w:val="96"/>
              </w:rPr>
              <w:t>Director</w:t>
            </w:r>
          </w:p>
        </w:tc>
        <w:tc>
          <w:tcPr>
            <w:tcW w:w="20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February 24, 2026</w:t>
            </w:r>
          </w:p>
        </w:tc>
        <w:tc>
          <w:tcPr>
            <w:tcW w:w="0" w:type="dxa"/>
            <w:vAlign w:val="bottom"/>
          </w:tcPr>
          <w:p>
            <w:pPr>
              <w:spacing w:after="0"/>
              <w:rPr>
                <w:sz w:val="1"/>
                <w:szCs w:val="1"/>
                <w:color w:val="auto"/>
              </w:rPr>
            </w:pPr>
          </w:p>
        </w:tc>
      </w:tr>
      <w:tr>
        <w:trPr>
          <w:trHeight w:val="500"/>
        </w:trPr>
        <w:tc>
          <w:tcPr>
            <w:tcW w:w="4180" w:type="dxa"/>
            <w:vAlign w:val="bottom"/>
          </w:tcPr>
          <w:p>
            <w:pPr>
              <w:jc w:val="center"/>
              <w:ind w:right="632"/>
              <w:spacing w:after="0"/>
              <w:rPr>
                <w:sz w:val="20"/>
                <w:szCs w:val="20"/>
                <w:color w:val="auto"/>
              </w:rPr>
            </w:pPr>
            <w:r>
              <w:rPr>
                <w:rFonts w:ascii="Times New Roman" w:cs="Times New Roman" w:eastAsia="Times New Roman" w:hAnsi="Times New Roman"/>
                <w:sz w:val="18"/>
                <w:szCs w:val="18"/>
                <w:color w:val="auto"/>
                <w:w w:val="96"/>
              </w:rPr>
              <w:t>Director</w:t>
            </w:r>
          </w:p>
        </w:tc>
        <w:tc>
          <w:tcPr>
            <w:tcW w:w="20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February 24, 2026</w:t>
            </w:r>
          </w:p>
        </w:tc>
        <w:tc>
          <w:tcPr>
            <w:tcW w:w="0" w:type="dxa"/>
            <w:vAlign w:val="bottom"/>
          </w:tcPr>
          <w:p>
            <w:pPr>
              <w:spacing w:after="0"/>
              <w:rPr>
                <w:sz w:val="1"/>
                <w:szCs w:val="1"/>
                <w:color w:val="auto"/>
              </w:rPr>
            </w:pPr>
          </w:p>
        </w:tc>
      </w:tr>
      <w:tr>
        <w:trPr>
          <w:trHeight w:val="500"/>
        </w:trPr>
        <w:tc>
          <w:tcPr>
            <w:tcW w:w="4180" w:type="dxa"/>
            <w:vAlign w:val="bottom"/>
          </w:tcPr>
          <w:p>
            <w:pPr>
              <w:jc w:val="center"/>
              <w:ind w:right="632"/>
              <w:spacing w:after="0"/>
              <w:rPr>
                <w:sz w:val="20"/>
                <w:szCs w:val="20"/>
                <w:color w:val="auto"/>
              </w:rPr>
            </w:pPr>
            <w:r>
              <w:rPr>
                <w:rFonts w:ascii="Times New Roman" w:cs="Times New Roman" w:eastAsia="Times New Roman" w:hAnsi="Times New Roman"/>
                <w:sz w:val="18"/>
                <w:szCs w:val="18"/>
                <w:color w:val="auto"/>
                <w:w w:val="96"/>
              </w:rPr>
              <w:t>Director</w:t>
            </w:r>
          </w:p>
        </w:tc>
        <w:tc>
          <w:tcPr>
            <w:tcW w:w="20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February 24, 2026</w:t>
            </w:r>
          </w:p>
        </w:tc>
        <w:tc>
          <w:tcPr>
            <w:tcW w:w="0" w:type="dxa"/>
            <w:vAlign w:val="bottom"/>
          </w:tcPr>
          <w:p>
            <w:pPr>
              <w:spacing w:after="0"/>
              <w:rPr>
                <w:sz w:val="1"/>
                <w:szCs w:val="1"/>
                <w:color w:val="auto"/>
              </w:rPr>
            </w:pPr>
          </w:p>
        </w:tc>
      </w:tr>
    </w:tbl>
    <w:p>
      <w:pPr>
        <w:spacing w:after="0" w:line="323" w:lineRule="exact"/>
        <w:rPr>
          <w:sz w:val="20"/>
          <w:szCs w:val="20"/>
          <w:color w:val="auto"/>
        </w:rPr>
      </w:pPr>
    </w:p>
    <w:p>
      <w:pPr>
        <w:sectPr>
          <w:pgSz w:w="11900" w:h="16838" w:orient="portrait"/>
          <w:cols w:equalWidth="0" w:num="2">
            <w:col w:w="3820" w:space="720"/>
            <w:col w:w="6700"/>
          </w:cols>
          <w:pgMar w:left="320" w:top="86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169</w:t>
      </w:r>
    </w:p>
    <w:p>
      <w:pPr>
        <w:sectPr>
          <w:pgSz w:w="11900" w:h="16838" w:orient="portrait"/>
          <w:cols w:equalWidth="0" w:num="1">
            <w:col w:w="11240"/>
          </w:cols>
          <w:pgMar w:left="320" w:top="869" w:right="339" w:bottom="1440" w:gutter="0" w:footer="0" w:header="0"/>
          <w:type w:val="continuous"/>
        </w:sectPr>
      </w:pPr>
    </w:p>
    <w:bookmarkStart w:id="169" w:name="page170"/>
    <w:bookmarkEnd w:id="169"/>
    <w:p>
      <w:pPr>
        <w:ind w:left="6960"/>
        <w:spacing w:after="0"/>
        <w:rPr>
          <w:sz w:val="20"/>
          <w:szCs w:val="20"/>
          <w:color w:val="auto"/>
        </w:rPr>
      </w:pPr>
      <w:r>
        <w:rPr>
          <w:rFonts w:ascii="Times New Roman" w:cs="Times New Roman" w:eastAsia="Times New Roman" w:hAnsi="Times New Roman"/>
          <w:sz w:val="21"/>
          <w:szCs w:val="21"/>
          <w:b w:val="1"/>
          <w:bCs w:val="1"/>
          <w:color w:val="auto"/>
        </w:rPr>
        <w:t>Exhibit 4.23</w:t>
      </w:r>
    </w:p>
    <w:p>
      <w:pPr>
        <w:spacing w:after="0" w:line="1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DESCRIPTION OF THE REGISTRANT’S SECURITIES</w:t>
      </w:r>
    </w:p>
    <w:p>
      <w:pPr>
        <w:spacing w:after="0" w:line="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REGISTERED PURSUANT TO SECTION 12 OF THE</w:t>
      </w:r>
    </w:p>
    <w:p>
      <w:pPr>
        <w:spacing w:after="0" w:line="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SECURITIES EXCHANGE ACT OF 1934</w:t>
      </w:r>
    </w:p>
    <w:p>
      <w:pPr>
        <w:spacing w:after="0" w:line="94"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6"/>
          <w:szCs w:val="16"/>
          <w:color w:val="auto"/>
        </w:rPr>
        <w:t>NRG Energy, Inc. (“NRG”) has one class of securities registered under Section 12 of the Securities Exchange Act of 1934, as amended: its common stock, par value $0.01 per share.</w:t>
      </w:r>
    </w:p>
    <w:p>
      <w:pPr>
        <w:spacing w:after="0" w:line="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The following description of NRG’s common stock is a summary and does not purport to be complete. It is subject to and qualified in its entirety by reference to NRG’s Amended and Restated Certificate of Incorporation, as amended (the “Certificate of Incorporation”), and NRG’s Fourth Amended and Restated By-laws (the “By-laws”), each of which is incorporated by reference as an exhibit to the Annual Report on Form 10-K. For additional information, please read the Certificate of Incorporation, By-laws and the applicable provisions of the Delaware General Corporation Law (the “DGCL”).</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Authorized Capital Stock</w:t>
      </w:r>
    </w:p>
    <w:p>
      <w:pPr>
        <w:spacing w:after="0" w:line="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6"/>
          <w:szCs w:val="16"/>
          <w:color w:val="auto"/>
        </w:rPr>
        <w:t>NRG’s Certificate of Incorporation provides that the total number of shares of capital stock that may be issued by NRG is 510,000,000, consisting of 500,000,000 shares of common stock, par value $0.01 per share, and 10,000,000 shares of preferred stock, par value 0.01 per share, of which 650,000 shares have been designated as “10.25% Series A Fixed-Rate Reset Cumulative Redeemable Perpetual Preferred Stock.”</w:t>
      </w:r>
    </w:p>
    <w:p>
      <w:pPr>
        <w:spacing w:after="0" w:line="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NRG’s preferred stock may be issued from time to time and in one or more series. By resolution adopted by the affirmative vote of at least a majority of the total number of directors then in office, the Board of Directors (the “Board”) of NRG is authorized to determine or alter the powers, preferences and rights, and the qualifications, limitations and restrictions granted to or imposed upon any wholly unissued series of preferred stock.</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Description of NRG Common Stock</w:t>
      </w:r>
    </w:p>
    <w:p>
      <w:pPr>
        <w:spacing w:after="0" w:line="1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Voting Rights</w:t>
      </w:r>
    </w:p>
    <w:p>
      <w:pPr>
        <w:spacing w:after="0" w:line="254"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The holders of NRG’s common stock are entitled to one vote on each matter submitted for their vote at any meeting of NRG stockholders for each share of common stock held as of the record date for the meeting. Except as otherwise provided by the DGCL or the Certificate of Incorporation and subject to the rights of holders of any series of preferred stock, all of the voting power of the stockholders of NRG is vested in the holders of the common stock.</w:t>
      </w:r>
    </w:p>
    <w:p>
      <w:pPr>
        <w:spacing w:after="0" w:line="53"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6"/>
          <w:szCs w:val="16"/>
          <w:color w:val="auto"/>
        </w:rPr>
        <w:t>Generally, the vote of the holders of a majority of the total number of votes of NRG capital stock represented at a meeting and entitled to vote on a matter is required in order to approve such matter, unless otherwise required by law. See also “Amendments” and “Anti-takeover Provisions.”</w:t>
      </w:r>
    </w:p>
    <w:p>
      <w:pPr>
        <w:spacing w:after="0" w:line="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Liquidation Rights</w:t>
      </w:r>
    </w:p>
    <w:p>
      <w:pPr>
        <w:spacing w:after="0" w:line="254"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16"/>
          <w:szCs w:val="16"/>
          <w:color w:val="auto"/>
        </w:rPr>
        <w:t>In the event that NRG is liquidated, dissolved or wound up, the holders of NRG common stock will be entitled to a pro rata share in any distribution to stockholders, but only after satisfaction of all of NRG's liabilities and of the prior rights of any outstanding series of NRG’s preferred stock.</w:t>
      </w:r>
    </w:p>
    <w:p>
      <w:pPr>
        <w:spacing w:after="0" w:line="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Dividends</w:t>
      </w:r>
    </w:p>
    <w:p>
      <w:pPr>
        <w:spacing w:after="0" w:line="254"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6"/>
          <w:szCs w:val="16"/>
          <w:color w:val="auto"/>
        </w:rPr>
        <w:t>Subject to preferences that may be applicable to any outstanding preferred stock, the holders of NRG common stock are entitled to dividends when, as and if declared by the Board out of funds legally available for that purpose.</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No Preemptive Rights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common stock has no preemptive rights or other subscription rights.</w:t>
      </w:r>
    </w:p>
    <w:p>
      <w:pPr>
        <w:spacing w:after="0" w:line="1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No Redemption Rights, Conversion Rights or Sinking Fund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are no redemption, conversion or sinking fund provisions applicable to the common stock.</w:t>
      </w:r>
    </w:p>
    <w:p>
      <w:pPr>
        <w:spacing w:after="0" w:line="1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Transfer Agent and Registrar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transfer agent and registrar for the common stock is Computershare.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NRG - Description of Securities (004).docx</w:t>
      </w:r>
    </w:p>
    <w:p>
      <w:pPr>
        <w:sectPr>
          <w:pgSz w:w="11900" w:h="16838" w:orient="portrait"/>
          <w:cols w:equalWidth="0" w:num="1">
            <w:col w:w="11220"/>
          </w:cols>
          <w:pgMar w:left="320" w:top="1384" w:right="359" w:bottom="1440" w:gutter="0" w:footer="0" w:header="0"/>
        </w:sectPr>
      </w:pPr>
    </w:p>
    <w:bookmarkStart w:id="170" w:name="page171"/>
    <w:bookmarkEnd w:id="170"/>
    <w:p>
      <w:pPr>
        <w:spacing w:after="0" w:line="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Stock Market Listing</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common stock is listed on the New York Stock Exchange and NYSE Texas under the symbol “NRG.”</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Anti-takeover Provisions</w:t>
      </w:r>
    </w:p>
    <w:p>
      <w:pPr>
        <w:spacing w:after="0" w:line="94"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6"/>
          <w:szCs w:val="16"/>
          <w:color w:val="auto"/>
        </w:rPr>
        <w:t>Some provisions of the DGCL and NRG's Certificate of Incorporation and By-laws could discourage or make more difficult a change in control of NRG without the support of the Board. A summary of these provisions follows.</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Meetings of Stockholders and Director Vacancies</w:t>
      </w:r>
    </w:p>
    <w:p>
      <w:pPr>
        <w:spacing w:after="0" w:line="25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Special Meetings of Stockholders. </w:t>
      </w:r>
      <w:r>
        <w:rPr>
          <w:rFonts w:ascii="Times New Roman" w:cs="Times New Roman" w:eastAsia="Times New Roman" w:hAnsi="Times New Roman"/>
          <w:sz w:val="16"/>
          <w:szCs w:val="16"/>
          <w:color w:val="auto"/>
        </w:rPr>
        <w:t>NRG’s Certificate of Incorporation provides that a special meeting of stockholders may be called only by the Board by a resolution adopted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affirmative vote of a majority of the total number of directors then in office or the chief executive officer of NRG (or, if there is no chief executive officer, by the most senior executive officer of NRG).</w:t>
      </w:r>
    </w:p>
    <w:p>
      <w:pPr>
        <w:spacing w:after="0" w:line="48"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i w:val="1"/>
          <w:iCs w:val="1"/>
          <w:color w:val="auto"/>
        </w:rPr>
        <w:t xml:space="preserve">Elimination of Stockholder Action by Written Consent. </w:t>
      </w:r>
      <w:r>
        <w:rPr>
          <w:rFonts w:ascii="Times New Roman" w:cs="Times New Roman" w:eastAsia="Times New Roman" w:hAnsi="Times New Roman"/>
          <w:sz w:val="16"/>
          <w:szCs w:val="16"/>
          <w:color w:val="auto"/>
        </w:rPr>
        <w:t>NRG’s Certificate of Incorporation and By-laws provide that holders of NRG common stock cannot act by written consent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lieu of a meeting.</w:t>
      </w:r>
    </w:p>
    <w:p>
      <w:pPr>
        <w:spacing w:after="0" w:line="31" w:lineRule="exact"/>
        <w:rPr>
          <w:sz w:val="20"/>
          <w:szCs w:val="20"/>
          <w:color w:val="auto"/>
        </w:rPr>
      </w:pPr>
    </w:p>
    <w:p>
      <w:pPr>
        <w:ind w:right="400"/>
        <w:spacing w:after="0" w:line="272" w:lineRule="auto"/>
        <w:rPr>
          <w:sz w:val="20"/>
          <w:szCs w:val="20"/>
          <w:color w:val="auto"/>
        </w:rPr>
      </w:pPr>
      <w:r>
        <w:rPr>
          <w:rFonts w:ascii="Times New Roman" w:cs="Times New Roman" w:eastAsia="Times New Roman" w:hAnsi="Times New Roman"/>
          <w:sz w:val="16"/>
          <w:szCs w:val="16"/>
          <w:i w:val="1"/>
          <w:iCs w:val="1"/>
          <w:color w:val="auto"/>
        </w:rPr>
        <w:t xml:space="preserve">Vacancies. </w:t>
      </w:r>
      <w:r>
        <w:rPr>
          <w:rFonts w:ascii="Times New Roman" w:cs="Times New Roman" w:eastAsia="Times New Roman" w:hAnsi="Times New Roman"/>
          <w:sz w:val="16"/>
          <w:szCs w:val="16"/>
          <w:color w:val="auto"/>
        </w:rPr>
        <w:t>Any vacancy occurring on the Board and any newly created directorship may be filled only by a majority of the directors remaining in office (even if less than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quorum), subject to the rights of holders of any series of preferred stock.</w:t>
      </w:r>
    </w:p>
    <w:p>
      <w:pPr>
        <w:spacing w:after="0" w:line="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Amendments</w:t>
      </w:r>
    </w:p>
    <w:p>
      <w:pPr>
        <w:spacing w:after="0" w:line="252" w:lineRule="exact"/>
        <w:rPr>
          <w:sz w:val="20"/>
          <w:szCs w:val="20"/>
          <w:color w:val="auto"/>
        </w:rPr>
      </w:pPr>
    </w:p>
    <w:p>
      <w:pPr>
        <w:jc w:val="both"/>
        <w:ind w:right="320"/>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Amendment of Certificate of Incorporation. </w:t>
      </w:r>
      <w:r>
        <w:rPr>
          <w:rFonts w:ascii="Times New Roman" w:cs="Times New Roman" w:eastAsia="Times New Roman" w:hAnsi="Times New Roman"/>
          <w:sz w:val="16"/>
          <w:szCs w:val="16"/>
          <w:color w:val="auto"/>
        </w:rPr>
        <w:t>The Certificate of Incorporation may be amended by the affirmative vote of holders of at least a majority of the combined voting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power of outstanding shares of NRG capital stock entitled to vote in the election of directors, voting together as a single class, subject to the rights of holders of any series of preferred stock.</w:t>
      </w:r>
    </w:p>
    <w:p>
      <w:pPr>
        <w:spacing w:after="0" w:line="69"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Amendment of By-laws. </w:t>
      </w:r>
      <w:r>
        <w:rPr>
          <w:rFonts w:ascii="Times New Roman" w:cs="Times New Roman" w:eastAsia="Times New Roman" w:hAnsi="Times New Roman"/>
          <w:sz w:val="16"/>
          <w:szCs w:val="16"/>
          <w:color w:val="auto"/>
        </w:rPr>
        <w:t>The Board has the power to make, alter, amend, change or repeal NRG’s By-laws or adopt new By-laws by the affirmative vote of a majority of the total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number of directors then in office, subject to further action by stockholders. This right is subject to repeal or change by the affirmative vote of a majority of the combined voting power of the then outstanding capital stock of NRG entitled to vote on any amendment or repeal of the By-laws.</w:t>
      </w:r>
    </w:p>
    <w:p>
      <w:pPr>
        <w:spacing w:after="0" w:line="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Notice Provisions Relating to Stockholder Proposals and Nominees</w:t>
      </w:r>
    </w:p>
    <w:p>
      <w:pPr>
        <w:spacing w:after="0" w:line="254" w:lineRule="exact"/>
        <w:rPr>
          <w:sz w:val="20"/>
          <w:szCs w:val="20"/>
          <w:color w:val="auto"/>
        </w:rPr>
      </w:pPr>
    </w:p>
    <w:p>
      <w:pPr>
        <w:ind w:right="480"/>
        <w:spacing w:after="0" w:line="269" w:lineRule="auto"/>
        <w:rPr>
          <w:sz w:val="20"/>
          <w:szCs w:val="20"/>
          <w:color w:val="auto"/>
        </w:rPr>
      </w:pPr>
      <w:r>
        <w:rPr>
          <w:rFonts w:ascii="Times New Roman" w:cs="Times New Roman" w:eastAsia="Times New Roman" w:hAnsi="Times New Roman"/>
          <w:sz w:val="16"/>
          <w:szCs w:val="16"/>
          <w:color w:val="auto"/>
        </w:rPr>
        <w:t>NRG’s By-laws also impose some procedural requirements on stockholders who wish to make nominations in the election of directors or propose any other business to be brought before an annual or special meeting of stockholders.</w:t>
      </w:r>
    </w:p>
    <w:p>
      <w:pPr>
        <w:spacing w:after="0" w:line="6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6"/>
          <w:szCs w:val="16"/>
          <w:color w:val="auto"/>
        </w:rPr>
        <w:t>Specifically, a stockholder may (i) bring a proposal before an annual meeting of stockholders, (ii) nominate a candidate for election to the Board at an annual meeting of stockholders, or (iii) nominate a candidate for election to the Board at a special meeting of stockholders that has been called for the purpose of electing directors, only if such stockholder delivers timely notice to NRG's corporate secretary. The notice must be in writing and must include certain information and comply with the delivery requirements as set forth in the bylaws.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be timely, a stockholder’s notice must be received at the principal executive offices of NRG:</w:t>
      </w:r>
    </w:p>
    <w:p>
      <w:pPr>
        <w:spacing w:after="0" w:line="92" w:lineRule="exact"/>
        <w:rPr>
          <w:sz w:val="20"/>
          <w:szCs w:val="20"/>
          <w:color w:val="auto"/>
        </w:rPr>
      </w:pPr>
    </w:p>
    <w:p>
      <w:pPr>
        <w:ind w:left="1260" w:right="40" w:hanging="307"/>
        <w:spacing w:after="0" w:line="249" w:lineRule="auto"/>
        <w:tabs>
          <w:tab w:leader="none" w:pos="1249"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nomination (other than nominations made pursuant to Section 15 of Article II of the By-laws) or other business in connection with an annual meeting of stockholders, not later than the close of business on the 90th day nor earlier than the close of business on the 120th day prior to the first anniversary of the previous year's annual meeting of stockholders; provided, however, that if the date of the annual meeting is advanced more than 30 days before or delayed more than 70 days after the first anniversary of the preceding year's annual meeting, notice by the stockholder must be delivered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by NRG; or</w:t>
      </w:r>
    </w:p>
    <w:p>
      <w:pPr>
        <w:spacing w:after="0" w:line="4" w:lineRule="exact"/>
        <w:rPr>
          <w:rFonts w:ascii="Times New Roman" w:cs="Times New Roman" w:eastAsia="Times New Roman" w:hAnsi="Times New Roman"/>
          <w:sz w:val="16"/>
          <w:szCs w:val="16"/>
          <w:color w:val="auto"/>
        </w:rPr>
      </w:pPr>
    </w:p>
    <w:p>
      <w:pPr>
        <w:jc w:val="both"/>
        <w:ind w:left="1260" w:right="260" w:hanging="307"/>
        <w:spacing w:after="0" w:line="251" w:lineRule="auto"/>
        <w:tabs>
          <w:tab w:leader="none" w:pos="1249"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nomination in connection with a special meeting of stockholders, not earlier than the 120th day prior to such special meeting and not later than the close of business on the later of the 90th day before such special meeting or the 10th day following the day on which public announcement of the date of such meeting is first made by NRG.</w:t>
      </w:r>
    </w:p>
    <w:p>
      <w:pPr>
        <w:spacing w:after="0" w:line="181"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6"/>
          <w:szCs w:val="16"/>
          <w:color w:val="auto"/>
        </w:rPr>
        <w:t>For nominations made pursuant to Section 15 of Article II of the By-laws, namely nominating a stockholder nominee, the nominating stockholder must, no earlier than 150 calendar days and no later than 120 calendar days before the first anniversary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NRG - Description of Securities (004).docx</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41" w:lineRule="exact"/>
        <w:rPr>
          <w:sz w:val="20"/>
          <w:szCs w:val="20"/>
          <w:color w:val="auto"/>
        </w:rPr>
      </w:pPr>
    </w:p>
    <w:p>
      <w:pPr>
        <w:ind w:right="580"/>
        <w:spacing w:after="0" w:line="269" w:lineRule="auto"/>
        <w:rPr>
          <w:sz w:val="20"/>
          <w:szCs w:val="20"/>
          <w:color w:val="auto"/>
        </w:rPr>
      </w:pPr>
      <w:r>
        <w:rPr>
          <w:rFonts w:ascii="Times New Roman" w:cs="Times New Roman" w:eastAsia="Times New Roman" w:hAnsi="Times New Roman"/>
          <w:sz w:val="16"/>
          <w:szCs w:val="16"/>
          <w:color w:val="auto"/>
        </w:rPr>
        <w:t>the date of NRG’s proxy materials released to stockholders in connection with the previous year’s annual meeting of stockholders, submit to the secretary of NRG at the principal executive office of NRG all of the information and documents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37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6"/>
          <w:szCs w:val="16"/>
          <w:color w:val="auto"/>
        </w:rPr>
        <w:t>required in the By-laws (collectively, the “Nomination Notice”); provided, however, that if (and only if) the annual meeting is not scheduled to be held within a period that commences 30 days before the anniversary date of the prior year’s annual meeting and ends 30 days after such anniversary date (an annual meeting date outside such period being referred to herein as an “Other Meeting Date”), the Nomination Notice shall be given in the manner provided herein by the later of the close of business on the date that is 150 days prior to such Other Meeting Date or the tenth day following the date such Other Meeting Date is first publicly announced or disclosed.</w:t>
      </w:r>
    </w:p>
    <w:p>
      <w:pPr>
        <w:spacing w:after="0" w:line="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Delaware Anti-takeover Law</w:t>
      </w:r>
    </w:p>
    <w:p>
      <w:pPr>
        <w:spacing w:after="0" w:line="254" w:lineRule="exact"/>
        <w:rPr>
          <w:sz w:val="20"/>
          <w:szCs w:val="20"/>
          <w:color w:val="auto"/>
        </w:rPr>
      </w:pPr>
    </w:p>
    <w:p>
      <w:pPr>
        <w:ind w:right="340"/>
        <w:spacing w:after="0" w:line="303" w:lineRule="auto"/>
        <w:rPr>
          <w:sz w:val="20"/>
          <w:szCs w:val="20"/>
          <w:color w:val="auto"/>
        </w:rPr>
      </w:pPr>
      <w:r>
        <w:rPr>
          <w:rFonts w:ascii="Times New Roman" w:cs="Times New Roman" w:eastAsia="Times New Roman" w:hAnsi="Times New Roman"/>
          <w:sz w:val="15"/>
          <w:szCs w:val="15"/>
          <w:color w:val="auto"/>
        </w:rPr>
        <w:t>NRG is subject to Section 203 of the DGCL. Section 203 provides that, subject to certain exceptions specified in the law, a Delaware corporation shall not engage in certain “business combinations” with any “interested stockholder” for a three-year period following the time that the stockholder became an interested stockholder unless:</w:t>
      </w:r>
    </w:p>
    <w:p>
      <w:pPr>
        <w:spacing w:after="0" w:line="25" w:lineRule="exact"/>
        <w:rPr>
          <w:sz w:val="20"/>
          <w:szCs w:val="20"/>
          <w:color w:val="auto"/>
        </w:rPr>
      </w:pPr>
    </w:p>
    <w:p>
      <w:pPr>
        <w:ind w:left="1260" w:hanging="307"/>
        <w:spacing w:after="0"/>
        <w:tabs>
          <w:tab w:leader="none" w:pos="126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such time, the Board approved either the business combination or the transaction that resulted in the stockholder becoming an interested stockholder;</w:t>
      </w:r>
    </w:p>
    <w:p>
      <w:pPr>
        <w:spacing w:after="0" w:line="34" w:lineRule="exact"/>
        <w:rPr>
          <w:rFonts w:ascii="Times New Roman" w:cs="Times New Roman" w:eastAsia="Times New Roman" w:hAnsi="Times New Roman"/>
          <w:sz w:val="15"/>
          <w:szCs w:val="15"/>
          <w:color w:val="auto"/>
        </w:rPr>
      </w:pPr>
    </w:p>
    <w:p>
      <w:pPr>
        <w:ind w:left="1260" w:right="140" w:hanging="307"/>
        <w:spacing w:after="0" w:line="245" w:lineRule="auto"/>
        <w:tabs>
          <w:tab w:leader="none" w:pos="1249"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consummation of the transaction that resulted in the stockholder becoming an interested stockholder, the interested stockholder owned at least 85% of the voting stock outstanding at the time the transaction commenced, excluding certain shares; or</w:t>
      </w:r>
    </w:p>
    <w:p>
      <w:pPr>
        <w:spacing w:after="0" w:line="1" w:lineRule="exact"/>
        <w:rPr>
          <w:rFonts w:ascii="Times New Roman" w:cs="Times New Roman" w:eastAsia="Times New Roman" w:hAnsi="Times New Roman"/>
          <w:sz w:val="16"/>
          <w:szCs w:val="16"/>
          <w:color w:val="auto"/>
        </w:rPr>
      </w:pPr>
    </w:p>
    <w:p>
      <w:pPr>
        <w:ind w:left="1260" w:right="40" w:hanging="307"/>
        <w:spacing w:after="0" w:line="263" w:lineRule="auto"/>
        <w:tabs>
          <w:tab w:leader="none" w:pos="1249"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or subsequent to that time, the business combination is approved by the Board and by the affirmative vote of holders of at least 66 2/3% of the outstanding voting stock that is not owned by the interested stockholder.</w:t>
      </w:r>
    </w:p>
    <w:p>
      <w:pPr>
        <w:spacing w:after="0" w:line="171"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6"/>
          <w:szCs w:val="16"/>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did own, 15% or more of NRG’s voting stock.</w:t>
      </w:r>
    </w:p>
    <w:p>
      <w:pPr>
        <w:spacing w:after="0" w:line="5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5"/>
          <w:szCs w:val="15"/>
          <w:color w:val="auto"/>
        </w:rPr>
        <w:t>Under certain circumstances, Section 203 makes it more difficult for a person who would be an “interested stockholder" to effect various business combinations with a corporation for a three-year period. The provisions of Section 203 may encourage companies interested in acquiring NRG to negotiate in advance with the NRG Board because the stockholder approval requirement would be avoided if the NRG Board approves either the business combination or the transaction that results in the stockholder becoming an interested stockholder. These provisions also may make it more difficult to accomplish transactions that stockholders may otherwise deem to be in their best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NRG - Description of Securities (004).docx</w:t>
      </w:r>
    </w:p>
    <w:p>
      <w:pPr>
        <w:sectPr>
          <w:pgSz w:w="11900" w:h="16838" w:orient="portrait"/>
          <w:cols w:equalWidth="0" w:num="1">
            <w:col w:w="11220"/>
          </w:cols>
          <w:pgMar w:left="320" w:top="1440" w:right="35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25"/>
          <w:szCs w:val="25"/>
          <w:b w:val="1"/>
          <w:bCs w:val="1"/>
          <w:color w:val="auto"/>
        </w:rPr>
        <w:t>Exhibit 9.1</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3"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1"/>
          <w:szCs w:val="21"/>
          <w:b w:val="1"/>
          <w:bCs w:val="1"/>
          <w:u w:val="single" w:color="auto"/>
          <w:color w:val="auto"/>
        </w:rPr>
        <w:t>AMENDED AND RESTATED VOTING TRUST AGREEMENT</w:t>
      </w:r>
    </w:p>
    <w:p>
      <w:pPr>
        <w:spacing w:after="0" w:line="223" w:lineRule="exact"/>
        <w:rPr>
          <w:sz w:val="20"/>
          <w:szCs w:val="20"/>
          <w:color w:val="auto"/>
        </w:rPr>
      </w:pPr>
    </w:p>
    <w:p>
      <w:pPr>
        <w:ind w:left="620"/>
        <w:spacing w:after="0"/>
        <w:tabs>
          <w:tab w:leader="none" w:pos="1180" w:val="left"/>
          <w:tab w:leader="none" w:pos="2440" w:val="left"/>
          <w:tab w:leader="none" w:pos="3100" w:val="left"/>
          <w:tab w:leader="none" w:pos="4340" w:val="left"/>
          <w:tab w:leader="none" w:pos="5360" w:val="left"/>
          <w:tab w:leader="none" w:pos="6220" w:val="left"/>
          <w:tab w:leader="none" w:pos="7720" w:val="left"/>
        </w:tabs>
        <w:rPr>
          <w:sz w:val="20"/>
          <w:szCs w:val="20"/>
          <w:color w:val="auto"/>
        </w:rPr>
      </w:pPr>
      <w:r>
        <w:rPr>
          <w:rFonts w:ascii="Times New Roman" w:cs="Times New Roman" w:eastAsia="Times New Roman" w:hAnsi="Times New Roman"/>
          <w:sz w:val="21"/>
          <w:szCs w:val="21"/>
          <w:color w:val="auto"/>
        </w:rPr>
        <w:t>This</w:t>
        <w:tab/>
        <w:t>AMENDED</w:t>
        <w:tab/>
        <w:t>AND</w:t>
        <w:tab/>
        <w:t>RESTATED</w:t>
        <w:tab/>
        <w:t>VOTING</w:t>
        <w:tab/>
        <w:t>TRUST</w:t>
        <w:tab/>
        <w:t>AGREEMENT</w:t>
        <w:tab/>
        <w:t>(the</w:t>
      </w:r>
    </w:p>
    <w:p>
      <w:pPr>
        <w:spacing w:after="0" w:line="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made as of January 30, 2026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by and among Lightning Power Holdings, LLC, a Delaware limited liability company (“</w:t>
      </w:r>
      <w:r>
        <w:rPr>
          <w:rFonts w:ascii="Times New Roman" w:cs="Times New Roman" w:eastAsia="Times New Roman" w:hAnsi="Times New Roman"/>
          <w:sz w:val="21"/>
          <w:szCs w:val="21"/>
          <w:b w:val="1"/>
          <w:bCs w:val="1"/>
          <w:color w:val="auto"/>
        </w:rPr>
        <w:t>Lightning PH Seller</w:t>
      </w:r>
      <w:r>
        <w:rPr>
          <w:rFonts w:ascii="Times New Roman" w:cs="Times New Roman" w:eastAsia="Times New Roman" w:hAnsi="Times New Roman"/>
          <w:sz w:val="21"/>
          <w:szCs w:val="21"/>
          <w:color w:val="auto"/>
        </w:rPr>
        <w:t>”); Thunder Generation, LLC, a Delaware limited liability company (“</w:t>
      </w:r>
      <w:r>
        <w:rPr>
          <w:rFonts w:ascii="Times New Roman" w:cs="Times New Roman" w:eastAsia="Times New Roman" w:hAnsi="Times New Roman"/>
          <w:sz w:val="21"/>
          <w:szCs w:val="21"/>
          <w:b w:val="1"/>
          <w:bCs w:val="1"/>
          <w:color w:val="auto"/>
        </w:rPr>
        <w:t>Linebacker PH Seller</w:t>
      </w:r>
      <w:r>
        <w:rPr>
          <w:rFonts w:ascii="Times New Roman" w:cs="Times New Roman" w:eastAsia="Times New Roman" w:hAnsi="Times New Roman"/>
          <w:sz w:val="21"/>
          <w:szCs w:val="21"/>
          <w:color w:val="auto"/>
        </w:rPr>
        <w:t>”); CCS Power Holdings, LLC, a Delaware limited liability company (“</w:t>
      </w:r>
      <w:r>
        <w:rPr>
          <w:rFonts w:ascii="Times New Roman" w:cs="Times New Roman" w:eastAsia="Times New Roman" w:hAnsi="Times New Roman"/>
          <w:sz w:val="21"/>
          <w:szCs w:val="21"/>
          <w:b w:val="1"/>
          <w:bCs w:val="1"/>
          <w:color w:val="auto"/>
        </w:rPr>
        <w:t>CCS PH Seller</w:t>
      </w:r>
      <w:r>
        <w:rPr>
          <w:rFonts w:ascii="Times New Roman" w:cs="Times New Roman" w:eastAsia="Times New Roman" w:hAnsi="Times New Roman"/>
          <w:sz w:val="21"/>
          <w:szCs w:val="21"/>
          <w:color w:val="auto"/>
        </w:rPr>
        <w:t>” and, together with Lightning PH Seller and Linebacker PH Seller, the “</w:t>
      </w:r>
      <w:r>
        <w:rPr>
          <w:rFonts w:ascii="Times New Roman" w:cs="Times New Roman" w:eastAsia="Times New Roman" w:hAnsi="Times New Roman"/>
          <w:sz w:val="21"/>
          <w:szCs w:val="21"/>
          <w:b w:val="1"/>
          <w:bCs w:val="1"/>
          <w:color w:val="auto"/>
        </w:rPr>
        <w:t>Stockholders</w:t>
      </w:r>
      <w:r>
        <w:rPr>
          <w:rFonts w:ascii="Times New Roman" w:cs="Times New Roman" w:eastAsia="Times New Roman" w:hAnsi="Times New Roman"/>
          <w:sz w:val="21"/>
          <w:szCs w:val="21"/>
          <w:color w:val="auto"/>
        </w:rPr>
        <w:t>” and individually, each, a “</w:t>
      </w:r>
      <w:r>
        <w:rPr>
          <w:rFonts w:ascii="Times New Roman" w:cs="Times New Roman" w:eastAsia="Times New Roman" w:hAnsi="Times New Roman"/>
          <w:sz w:val="21"/>
          <w:szCs w:val="21"/>
          <w:b w:val="1"/>
          <w:bCs w:val="1"/>
          <w:color w:val="auto"/>
        </w:rPr>
        <w:t>Stockholder</w:t>
      </w:r>
      <w:r>
        <w:rPr>
          <w:rFonts w:ascii="Times New Roman" w:cs="Times New Roman" w:eastAsia="Times New Roman" w:hAnsi="Times New Roman"/>
          <w:sz w:val="21"/>
          <w:szCs w:val="21"/>
          <w:color w:val="auto"/>
        </w:rPr>
        <w:t>”); and Wilmington Savings Fund Society, FSB, as trustee (in such capacity, the “</w:t>
      </w:r>
      <w:r>
        <w:rPr>
          <w:rFonts w:ascii="Times New Roman" w:cs="Times New Roman" w:eastAsia="Times New Roman" w:hAnsi="Times New Roman"/>
          <w:sz w:val="21"/>
          <w:szCs w:val="21"/>
          <w:b w:val="1"/>
          <w:bCs w:val="1"/>
          <w:color w:val="auto"/>
        </w:rPr>
        <w:t>Trustee</w:t>
      </w:r>
      <w:r>
        <w:rPr>
          <w:rFonts w:ascii="Times New Roman" w:cs="Times New Roman" w:eastAsia="Times New Roman" w:hAnsi="Times New Roman"/>
          <w:sz w:val="21"/>
          <w:szCs w:val="21"/>
          <w:color w:val="auto"/>
        </w:rPr>
        <w:t>”), for the purpose of creating and maintaining a voting trust named as the “Project Hurricane Consideration Voting Trust 2026” (the “</w:t>
      </w:r>
      <w:r>
        <w:rPr>
          <w:rFonts w:ascii="Times New Roman" w:cs="Times New Roman" w:eastAsia="Times New Roman" w:hAnsi="Times New Roman"/>
          <w:sz w:val="21"/>
          <w:szCs w:val="21"/>
          <w:b w:val="1"/>
          <w:bCs w:val="1"/>
          <w:color w:val="auto"/>
        </w:rPr>
        <w:t>Trust</w:t>
      </w:r>
      <w:r>
        <w:rPr>
          <w:rFonts w:ascii="Times New Roman" w:cs="Times New Roman" w:eastAsia="Times New Roman" w:hAnsi="Times New Roman"/>
          <w:sz w:val="21"/>
          <w:szCs w:val="21"/>
          <w:color w:val="auto"/>
        </w:rPr>
        <w:t>”) with respect to certain shares of common stock, par value $0.01 (the “</w:t>
      </w:r>
      <w:r>
        <w:rPr>
          <w:rFonts w:ascii="Times New Roman" w:cs="Times New Roman" w:eastAsia="Times New Roman" w:hAnsi="Times New Roman"/>
          <w:sz w:val="21"/>
          <w:szCs w:val="21"/>
          <w:b w:val="1"/>
          <w:bCs w:val="1"/>
          <w:color w:val="auto"/>
        </w:rPr>
        <w:t>Common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Stock</w:t>
      </w:r>
      <w:r>
        <w:rPr>
          <w:rFonts w:ascii="Times New Roman" w:cs="Times New Roman" w:eastAsia="Times New Roman" w:hAnsi="Times New Roman"/>
          <w:sz w:val="21"/>
          <w:szCs w:val="21"/>
          <w:color w:val="auto"/>
        </w:rPr>
        <w:t>”), of NRG Energy, Inc., 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236" w:lineRule="exact"/>
        <w:rPr>
          <w:sz w:val="20"/>
          <w:szCs w:val="20"/>
          <w:color w:val="auto"/>
        </w:rPr>
      </w:pPr>
    </w:p>
    <w:p>
      <w:pPr>
        <w:jc w:val="both"/>
        <w:ind w:firstLine="631"/>
        <w:spacing w:after="0" w:line="259" w:lineRule="auto"/>
        <w:rPr>
          <w:sz w:val="20"/>
          <w:szCs w:val="20"/>
          <w:color w:val="auto"/>
        </w:rPr>
      </w:pPr>
      <w:r>
        <w:rPr>
          <w:rFonts w:ascii="Times New Roman" w:cs="Times New Roman" w:eastAsia="Times New Roman" w:hAnsi="Times New Roman"/>
          <w:sz w:val="21"/>
          <w:szCs w:val="21"/>
          <w:color w:val="auto"/>
        </w:rPr>
        <w:t>WHEREAS, on May 12, 2025, the Stockholders, the Company and certain subsidiaries of the Company entered into that certain Purchase and Sale Agreement (the “</w:t>
      </w:r>
      <w:r>
        <w:rPr>
          <w:rFonts w:ascii="Times New Roman" w:cs="Times New Roman" w:eastAsia="Times New Roman" w:hAnsi="Times New Roman"/>
          <w:sz w:val="21"/>
          <w:szCs w:val="21"/>
          <w:b w:val="1"/>
          <w:bCs w:val="1"/>
          <w:color w:val="auto"/>
        </w:rPr>
        <w:t>PSA</w:t>
      </w:r>
      <w:r>
        <w:rPr>
          <w:rFonts w:ascii="Times New Roman" w:cs="Times New Roman" w:eastAsia="Times New Roman" w:hAnsi="Times New Roman"/>
          <w:sz w:val="21"/>
          <w:szCs w:val="21"/>
          <w:color w:val="auto"/>
        </w:rPr>
        <w:t>”) pursuant to which the Company and such subsidiaries of the Company agreed to purchase certain wholly owned subsidiaries of the Stockholders and to pay to the Stockholders in consideration therefor cash and Common Stock;</w:t>
      </w:r>
    </w:p>
    <w:p>
      <w:pPr>
        <w:spacing w:after="0" w:line="168" w:lineRule="exact"/>
        <w:rPr>
          <w:sz w:val="20"/>
          <w:szCs w:val="20"/>
          <w:color w:val="auto"/>
        </w:rPr>
      </w:pPr>
    </w:p>
    <w:p>
      <w:pPr>
        <w:jc w:val="both"/>
        <w:ind w:right="20" w:firstLine="631"/>
        <w:spacing w:after="0" w:line="295" w:lineRule="auto"/>
        <w:rPr>
          <w:sz w:val="20"/>
          <w:szCs w:val="20"/>
          <w:color w:val="auto"/>
        </w:rPr>
      </w:pPr>
      <w:r>
        <w:rPr>
          <w:rFonts w:ascii="Times New Roman" w:cs="Times New Roman" w:eastAsia="Times New Roman" w:hAnsi="Times New Roman"/>
          <w:sz w:val="21"/>
          <w:szCs w:val="21"/>
          <w:color w:val="auto"/>
        </w:rPr>
        <w:t>WHEREAS, on January 20, 2026, the Trust was created and established pursuant to the Voting Trust Agreement (the “</w:t>
      </w:r>
      <w:r>
        <w:rPr>
          <w:rFonts w:ascii="Times New Roman" w:cs="Times New Roman" w:eastAsia="Times New Roman" w:hAnsi="Times New Roman"/>
          <w:sz w:val="21"/>
          <w:szCs w:val="21"/>
          <w:b w:val="1"/>
          <w:bCs w:val="1"/>
          <w:color w:val="auto"/>
        </w:rPr>
        <w:t>Original Agreement</w:t>
      </w:r>
      <w:r>
        <w:rPr>
          <w:rFonts w:ascii="Times New Roman" w:cs="Times New Roman" w:eastAsia="Times New Roman" w:hAnsi="Times New Roman"/>
          <w:sz w:val="21"/>
          <w:szCs w:val="21"/>
          <w:color w:val="auto"/>
        </w:rPr>
        <w:t>”);</w:t>
      </w:r>
    </w:p>
    <w:p>
      <w:pPr>
        <w:spacing w:after="0" w:line="130" w:lineRule="exact"/>
        <w:rPr>
          <w:sz w:val="20"/>
          <w:szCs w:val="20"/>
          <w:color w:val="auto"/>
        </w:rPr>
      </w:pPr>
    </w:p>
    <w:p>
      <w:pPr>
        <w:jc w:val="both"/>
        <w:ind w:right="20" w:firstLine="631"/>
        <w:spacing w:after="0" w:line="265" w:lineRule="auto"/>
        <w:rPr>
          <w:sz w:val="20"/>
          <w:szCs w:val="20"/>
          <w:color w:val="auto"/>
        </w:rPr>
      </w:pPr>
      <w:r>
        <w:rPr>
          <w:rFonts w:ascii="Times New Roman" w:cs="Times New Roman" w:eastAsia="Times New Roman" w:hAnsi="Times New Roman"/>
          <w:sz w:val="21"/>
          <w:szCs w:val="21"/>
          <w:color w:val="auto"/>
        </w:rPr>
        <w:t>WHEREAS, the parties wish to amend and restate the Original Agreement in its entirety to set forth certain rights and responsibilities of the parties hereto in connection with the closing of the transactions contemplated by the PSA;</w:t>
      </w:r>
    </w:p>
    <w:p>
      <w:pPr>
        <w:spacing w:after="0" w:line="157" w:lineRule="exact"/>
        <w:rPr>
          <w:sz w:val="20"/>
          <w:szCs w:val="20"/>
          <w:color w:val="auto"/>
        </w:rPr>
      </w:pPr>
    </w:p>
    <w:p>
      <w:pPr>
        <w:jc w:val="both"/>
        <w:ind w:firstLine="631"/>
        <w:spacing w:after="0" w:line="265" w:lineRule="auto"/>
        <w:rPr>
          <w:sz w:val="20"/>
          <w:szCs w:val="20"/>
          <w:color w:val="auto"/>
        </w:rPr>
      </w:pPr>
      <w:r>
        <w:rPr>
          <w:rFonts w:ascii="Times New Roman" w:cs="Times New Roman" w:eastAsia="Times New Roman" w:hAnsi="Times New Roman"/>
          <w:sz w:val="21"/>
          <w:szCs w:val="21"/>
          <w:color w:val="auto"/>
        </w:rPr>
        <w:t>WHEREAS, upon the closing of the transactions contemplated by the PSA (the “</w:t>
      </w:r>
      <w:r>
        <w:rPr>
          <w:rFonts w:ascii="Times New Roman" w:cs="Times New Roman" w:eastAsia="Times New Roman" w:hAnsi="Times New Roman"/>
          <w:sz w:val="21"/>
          <w:szCs w:val="21"/>
          <w:b w:val="1"/>
          <w:bCs w:val="1"/>
          <w:color w:val="auto"/>
        </w:rPr>
        <w:t>Closing</w:t>
      </w:r>
      <w:r>
        <w:rPr>
          <w:rFonts w:ascii="Times New Roman" w:cs="Times New Roman" w:eastAsia="Times New Roman" w:hAnsi="Times New Roman"/>
          <w:sz w:val="21"/>
          <w:szCs w:val="21"/>
          <w:color w:val="auto"/>
        </w:rPr>
        <w:t xml:space="preserve">”), each Stockholder became the direct and Beneficial Owner of a number of shares of Common Stock, including the number of shares of Common Stock set forth opposite its name on </w:t>
      </w:r>
      <w:r>
        <w:rPr>
          <w:rFonts w:ascii="Times New Roman" w:cs="Times New Roman" w:eastAsia="Times New Roman" w:hAnsi="Times New Roman"/>
          <w:sz w:val="21"/>
          <w:szCs w:val="21"/>
          <w:u w:val="single" w:color="auto"/>
          <w:color w:val="auto"/>
        </w:rPr>
        <w:t>Attachment A</w:t>
      </w:r>
      <w:r>
        <w:rPr>
          <w:rFonts w:ascii="Times New Roman" w:cs="Times New Roman" w:eastAsia="Times New Roman" w:hAnsi="Times New Roman"/>
          <w:sz w:val="21"/>
          <w:szCs w:val="21"/>
          <w:color w:val="auto"/>
        </w:rPr>
        <w:t xml:space="preserve"> hereto (as may be modified from time to time in accordance with this Agreement, the “</w:t>
      </w:r>
      <w:r>
        <w:rPr>
          <w:rFonts w:ascii="Times New Roman" w:cs="Times New Roman" w:eastAsia="Times New Roman" w:hAnsi="Times New Roman"/>
          <w:sz w:val="21"/>
          <w:szCs w:val="21"/>
          <w:b w:val="1"/>
          <w:bCs w:val="1"/>
          <w:color w:val="auto"/>
        </w:rPr>
        <w:t>Trust Register</w:t>
      </w:r>
      <w:r>
        <w:rPr>
          <w:rFonts w:ascii="Times New Roman" w:cs="Times New Roman" w:eastAsia="Times New Roman" w:hAnsi="Times New Roman"/>
          <w:sz w:val="21"/>
          <w:szCs w:val="21"/>
          <w:color w:val="auto"/>
        </w:rPr>
        <w:t>”);</w:t>
      </w:r>
    </w:p>
    <w:p>
      <w:pPr>
        <w:spacing w:after="0" w:line="161" w:lineRule="exact"/>
        <w:rPr>
          <w:sz w:val="20"/>
          <w:szCs w:val="20"/>
          <w:color w:val="auto"/>
        </w:rPr>
      </w:pPr>
    </w:p>
    <w:p>
      <w:pPr>
        <w:jc w:val="both"/>
        <w:ind w:firstLine="631"/>
        <w:spacing w:after="0" w:line="260" w:lineRule="auto"/>
        <w:rPr>
          <w:sz w:val="20"/>
          <w:szCs w:val="20"/>
          <w:color w:val="auto"/>
        </w:rPr>
      </w:pPr>
      <w:r>
        <w:rPr>
          <w:rFonts w:ascii="Times New Roman" w:cs="Times New Roman" w:eastAsia="Times New Roman" w:hAnsi="Times New Roman"/>
          <w:sz w:val="21"/>
          <w:szCs w:val="21"/>
          <w:color w:val="auto"/>
        </w:rPr>
        <w:t>WHEREAS, each Stockholder intends to be a passive, economic beneficiary of its Common Stock set forth on the Trust Register (such Common Stock, and other Common Stock as may become held by the Trustee in accordance with this Agreement, the “</w:t>
      </w:r>
      <w:r>
        <w:rPr>
          <w:rFonts w:ascii="Times New Roman" w:cs="Times New Roman" w:eastAsia="Times New Roman" w:hAnsi="Times New Roman"/>
          <w:sz w:val="21"/>
          <w:szCs w:val="21"/>
          <w:b w:val="1"/>
          <w:bCs w:val="1"/>
          <w:color w:val="auto"/>
        </w:rPr>
        <w:t>Subject Shares</w:t>
      </w:r>
      <w:r>
        <w:rPr>
          <w:rFonts w:ascii="Times New Roman" w:cs="Times New Roman" w:eastAsia="Times New Roman" w:hAnsi="Times New Roman"/>
          <w:sz w:val="21"/>
          <w:szCs w:val="21"/>
          <w:color w:val="auto"/>
        </w:rPr>
        <w:t>”), without voting rights except for limited rights with respect to a discrete set of fundamental Company business events brought to a vote of all stockholders relating to protecting such Stockholder’s investment in the Company;</w:t>
      </w:r>
    </w:p>
    <w:p>
      <w:pPr>
        <w:spacing w:after="0" w:line="166" w:lineRule="exact"/>
        <w:rPr>
          <w:sz w:val="20"/>
          <w:szCs w:val="20"/>
          <w:color w:val="auto"/>
        </w:rPr>
      </w:pPr>
    </w:p>
    <w:p>
      <w:pPr>
        <w:jc w:val="both"/>
        <w:ind w:firstLine="631"/>
        <w:spacing w:after="0" w:line="260" w:lineRule="auto"/>
        <w:rPr>
          <w:sz w:val="20"/>
          <w:szCs w:val="20"/>
          <w:color w:val="auto"/>
        </w:rPr>
      </w:pPr>
      <w:r>
        <w:rPr>
          <w:rFonts w:ascii="Times New Roman" w:cs="Times New Roman" w:eastAsia="Times New Roman" w:hAnsi="Times New Roman"/>
          <w:sz w:val="21"/>
          <w:szCs w:val="21"/>
          <w:color w:val="auto"/>
        </w:rPr>
        <w:t>WHEREAS, the Stockholders intend to accomplish the foregoing passive, economic arrangement through the creation of the Trust and the empowerment of the Trustee to act as a voting trustee with respect to the Subject Shares that the Stockholders will deposit or cause the Company to deposit with the Trustee on the Effective Date and with respect to any Other Subject Securities that are from time to time deposited with the Trustee, in each case on the terms and subject to the conditions set forth in this Agreement; and</w:t>
      </w:r>
    </w:p>
    <w:p>
      <w:pPr>
        <w:sectPr>
          <w:pgSz w:w="11900" w:h="16838" w:orient="portrait"/>
          <w:cols w:equalWidth="0" w:num="1">
            <w:col w:w="9980"/>
          </w:cols>
          <w:pgMar w:left="960" w:top="744" w:right="95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21"/>
          <w:szCs w:val="21"/>
          <w:color w:val="auto"/>
        </w:rPr>
        <w:t>WHEREAS, the Trustee agrees to act as a voting trustee under this Agreement for the purposes provided herein.</w:t>
      </w:r>
    </w:p>
    <w:p>
      <w:pPr>
        <w:spacing w:after="0" w:line="21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b w:val="1"/>
          <w:bCs w:val="1"/>
          <w:color w:val="auto"/>
        </w:rPr>
        <w:t>AGREEMENT</w:t>
      </w:r>
    </w:p>
    <w:p>
      <w:pPr>
        <w:spacing w:after="0" w:line="223" w:lineRule="exact"/>
        <w:rPr>
          <w:sz w:val="20"/>
          <w:szCs w:val="20"/>
          <w:color w:val="auto"/>
        </w:rPr>
      </w:pPr>
    </w:p>
    <w:p>
      <w:pPr>
        <w:jc w:val="both"/>
        <w:ind w:left="600" w:right="100" w:firstLine="631"/>
        <w:spacing w:after="0" w:line="259" w:lineRule="auto"/>
        <w:rPr>
          <w:sz w:val="20"/>
          <w:szCs w:val="20"/>
          <w:color w:val="auto"/>
        </w:rPr>
      </w:pPr>
      <w:r>
        <w:rPr>
          <w:rFonts w:ascii="Times New Roman" w:cs="Times New Roman" w:eastAsia="Times New Roman" w:hAnsi="Times New Roman"/>
          <w:sz w:val="21"/>
          <w:szCs w:val="21"/>
          <w:color w:val="auto"/>
        </w:rPr>
        <w:t>NOW THEREFORE, in order to implement the foregoing and in consideration of the premises and the mutual covenants and agreements contained herein, and for other good and valuable consideration, the receipt and sufficiency of which are hereby acknowledged, the parties hereto agree to amend and restate entirely the Original Agreement as follows:</w:t>
      </w:r>
    </w:p>
    <w:p>
      <w:pPr>
        <w:spacing w:after="0" w:line="177" w:lineRule="exact"/>
        <w:rPr>
          <w:sz w:val="20"/>
          <w:szCs w:val="20"/>
          <w:color w:val="auto"/>
        </w:rPr>
      </w:pPr>
    </w:p>
    <w:p>
      <w:pPr>
        <w:ind w:left="1860" w:hanging="632"/>
        <w:spacing w:after="0"/>
        <w:tabs>
          <w:tab w:leader="none" w:pos="1860" w:val="left"/>
        </w:tabs>
        <w:numPr>
          <w:ilvl w:val="0"/>
          <w:numId w:val="10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Creation of Trust; Trustee.</w:t>
      </w:r>
    </w:p>
    <w:p>
      <w:pPr>
        <w:spacing w:after="0" w:line="221" w:lineRule="exact"/>
        <w:rPr>
          <w:sz w:val="20"/>
          <w:szCs w:val="20"/>
          <w:color w:val="auto"/>
        </w:rPr>
      </w:pPr>
    </w:p>
    <w:p>
      <w:pPr>
        <w:jc w:val="both"/>
        <w:ind w:left="600" w:right="100" w:firstLine="627"/>
        <w:spacing w:after="0" w:line="255" w:lineRule="auto"/>
        <w:tabs>
          <w:tab w:leader="none" w:pos="1859"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Creation of Trust</w:t>
      </w:r>
      <w:r>
        <w:rPr>
          <w:rFonts w:ascii="Times New Roman" w:cs="Times New Roman" w:eastAsia="Times New Roman" w:hAnsi="Times New Roman"/>
          <w:sz w:val="21"/>
          <w:szCs w:val="21"/>
          <w:color w:val="auto"/>
        </w:rPr>
        <w:t>. The Stockholders, having created and established the Trust, pursuant to the terms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conditions of the Original Agreement and this Agreement, the purpose of which is to hold the deposited Subject Shares and any Other Subject Securities for the purposes described in this Agreement, and to engage in activities directly incidental thereto and such other activities as the Trustee deems necessary or advisable to carry out the foregoing. During the term of this Agreement, the Trustee shall cause the Trust not to: (i) acquire, hold or own material assets other than the Subject Shares or Other Subject Securities, (ii) merge into or consolidate with any Person, (iii) divide or otherwise change its legal structure, (iv) fail to observe its organizational formalities or preserve its existence or (v) fail to maintain its records in accordance with this Agreement.</w:t>
      </w:r>
    </w:p>
    <w:p>
      <w:pPr>
        <w:spacing w:after="0" w:line="171" w:lineRule="exact"/>
        <w:rPr>
          <w:rFonts w:ascii="Times New Roman" w:cs="Times New Roman" w:eastAsia="Times New Roman" w:hAnsi="Times New Roman"/>
          <w:sz w:val="21"/>
          <w:szCs w:val="21"/>
          <w:color w:val="auto"/>
        </w:rPr>
      </w:pPr>
    </w:p>
    <w:p>
      <w:pPr>
        <w:jc w:val="both"/>
        <w:ind w:left="600" w:right="100" w:firstLine="627"/>
        <w:spacing w:after="0" w:line="257" w:lineRule="auto"/>
        <w:tabs>
          <w:tab w:leader="none" w:pos="1858"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Trustee</w:t>
      </w:r>
      <w:r>
        <w:rPr>
          <w:rFonts w:ascii="Times New Roman" w:cs="Times New Roman" w:eastAsia="Times New Roman" w:hAnsi="Times New Roman"/>
          <w:sz w:val="21"/>
          <w:szCs w:val="21"/>
          <w:color w:val="auto"/>
        </w:rPr>
        <w:t>. The Stockholders hereby appoint the Trustee as the initial Trustee of the Trust. Upon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liquidation, dissolution, winding-up, suspension, incapacity or (in accordance with </w:t>
      </w:r>
      <w:r>
        <w:rPr>
          <w:rFonts w:ascii="Times New Roman" w:cs="Times New Roman" w:eastAsia="Times New Roman" w:hAnsi="Times New Roman"/>
          <w:sz w:val="21"/>
          <w:szCs w:val="21"/>
          <w:u w:val="single" w:color="auto"/>
          <w:color w:val="auto"/>
        </w:rPr>
        <w:t>Section 1(c)</w:t>
      </w:r>
      <w:r>
        <w:rPr>
          <w:rFonts w:ascii="Times New Roman" w:cs="Times New Roman" w:eastAsia="Times New Roman" w:hAnsi="Times New Roman"/>
          <w:sz w:val="21"/>
          <w:szCs w:val="21"/>
          <w:color w:val="auto"/>
        </w:rPr>
        <w:t xml:space="preserve">) removal or resignation of the initial Trustee, the Stockholders that Beneficially Own more than fifty (50) percent of the total number of Subject Shares and Other Subject Securities then deposited hereunder with the Trustee shall appoint a successor Trustee. In the event that a successor Trustee shall not have been appointed within five (5) days of such liquidation, dissolution, winding-up, suspension, incapacity, removal or resignation, including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1(c)</w:t>
      </w:r>
      <w:r>
        <w:rPr>
          <w:rFonts w:ascii="Times New Roman" w:cs="Times New Roman" w:eastAsia="Times New Roman" w:hAnsi="Times New Roman"/>
          <w:sz w:val="21"/>
          <w:szCs w:val="21"/>
          <w:color w:val="auto"/>
        </w:rPr>
        <w:t>, or that the position of Trustee remains vacant for any reason for more than five (5) days, any Stockholder may petition a court of competent jurisdiction to appoint such a successor Trustee.</w:t>
      </w:r>
    </w:p>
    <w:p>
      <w:pPr>
        <w:spacing w:after="0" w:line="168" w:lineRule="exact"/>
        <w:rPr>
          <w:rFonts w:ascii="Times New Roman" w:cs="Times New Roman" w:eastAsia="Times New Roman" w:hAnsi="Times New Roman"/>
          <w:sz w:val="21"/>
          <w:szCs w:val="21"/>
          <w:color w:val="auto"/>
        </w:rPr>
      </w:pPr>
    </w:p>
    <w:p>
      <w:pPr>
        <w:jc w:val="both"/>
        <w:ind w:left="600" w:right="100" w:firstLine="627"/>
        <w:spacing w:after="0" w:line="254" w:lineRule="auto"/>
        <w:tabs>
          <w:tab w:leader="none" w:pos="1859"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Removal; Resignation</w:t>
      </w:r>
      <w:r>
        <w:rPr>
          <w:rFonts w:ascii="Times New Roman" w:cs="Times New Roman" w:eastAsia="Times New Roman" w:hAnsi="Times New Roman"/>
          <w:sz w:val="21"/>
          <w:szCs w:val="21"/>
          <w:color w:val="auto"/>
        </w:rPr>
        <w:t>. A Trustee may be removed by the Stockholders that Beneficially Own more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than fifty (50) percent of the total number of Subject Shares and Other Subject Securities then deposited hereunder only for fraud, willful misconduct or gross negligence or for breach of </w:t>
      </w:r>
      <w:r>
        <w:rPr>
          <w:rFonts w:ascii="Times New Roman" w:cs="Times New Roman" w:eastAsia="Times New Roman" w:hAnsi="Times New Roman"/>
          <w:sz w:val="21"/>
          <w:szCs w:val="21"/>
          <w:u w:val="single" w:color="auto"/>
          <w:color w:val="auto"/>
        </w:rPr>
        <w:t>Section 3(a)</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Section 3(c)</w:t>
      </w:r>
      <w:r>
        <w:rPr>
          <w:rFonts w:ascii="Times New Roman" w:cs="Times New Roman" w:eastAsia="Times New Roman" w:hAnsi="Times New Roman"/>
          <w:sz w:val="21"/>
          <w:szCs w:val="21"/>
          <w:color w:val="auto"/>
        </w:rPr>
        <w:t xml:space="preserve"> with respect to the voting of the Subject Shares. The Trustee may resign from its position as such upon thirty (30) days’ written notice to the Stockholders;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successor Trustee appointed in accordance with </w:t>
      </w:r>
      <w:r>
        <w:rPr>
          <w:rFonts w:ascii="Times New Roman" w:cs="Times New Roman" w:eastAsia="Times New Roman" w:hAnsi="Times New Roman"/>
          <w:sz w:val="21"/>
          <w:szCs w:val="21"/>
          <w:u w:val="single" w:color="auto"/>
          <w:color w:val="auto"/>
        </w:rPr>
        <w:t>Section 1(b)</w:t>
      </w:r>
      <w:r>
        <w:rPr>
          <w:rFonts w:ascii="Times New Roman" w:cs="Times New Roman" w:eastAsia="Times New Roman" w:hAnsi="Times New Roman"/>
          <w:sz w:val="21"/>
          <w:szCs w:val="21"/>
          <w:color w:val="auto"/>
        </w:rPr>
        <w:t xml:space="preserve"> has agreed to serve as Trustee effective upon the resignation of the resigning Trustee. Any successor Trustee, however appointed, shall execute and deliver to the Stockholders an instrument accepting such appointment, on the terms of this Agreement, and thereupon such successor Trustee, without further act, shall become vested with all the rights, powers, and duties of the predecessor Trustee in the Trust hereunder with like effect as if originally named the Trustee herein. Notwithstanding the foregoing, upon the reasonable written request of such successor Trustee, such predecessor Trustee shall, at the sole cost and expense of the Stockholders, execute and deliver (without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0680"/>
          </w:cols>
          <w:pgMar w:left="360" w:top="1388" w:right="859" w:bottom="1440" w:gutter="0" w:footer="0" w:header="0"/>
        </w:sectPr>
      </w:pPr>
    </w:p>
    <w:bookmarkStart w:id="174" w:name="page175"/>
    <w:bookmarkEnd w:id="1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099"/>
          </w:cols>
          <w:pgMar w:left="360" w:top="1440" w:right="1440" w:bottom="1440" w:gutter="0" w:footer="0" w:header="0"/>
        </w:sectPr>
      </w:pPr>
    </w:p>
    <w:bookmarkStart w:id="175" w:name="page176"/>
    <w:bookmarkEnd w:id="175"/>
    <w:p>
      <w:pPr>
        <w:spacing w:after="0" w:line="186" w:lineRule="exact"/>
        <w:rPr>
          <w:sz w:val="20"/>
          <w:szCs w:val="20"/>
          <w:color w:val="auto"/>
        </w:rPr>
      </w:pPr>
    </w:p>
    <w:p>
      <w:pPr>
        <w:jc w:val="both"/>
        <w:ind w:left="600" w:right="20"/>
        <w:spacing w:after="0" w:line="256" w:lineRule="auto"/>
        <w:rPr>
          <w:sz w:val="20"/>
          <w:szCs w:val="20"/>
          <w:color w:val="auto"/>
        </w:rPr>
      </w:pPr>
      <w:r>
        <w:rPr>
          <w:rFonts w:ascii="Times New Roman" w:cs="Times New Roman" w:eastAsia="Times New Roman" w:hAnsi="Times New Roman"/>
          <w:sz w:val="21"/>
          <w:szCs w:val="21"/>
          <w:color w:val="auto"/>
        </w:rPr>
        <w:t xml:space="preserve">recourse, representation or warranty) an instrument transferring to such successor Trustee all the rights, powers, and duties of such predecessor Trustee, and such predecessor Trustee shall duly assign, transfer, deliver and pay over to such successor Trustee all moneys or other property then held or subsequently received by such predecessor Trustee, in each case in its capacity as Trustee of the Trust;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for the avoidance of doubt the predecessor Trustee shall retain its rights under </w:t>
      </w:r>
      <w:r>
        <w:rPr>
          <w:rFonts w:ascii="Times New Roman" w:cs="Times New Roman" w:eastAsia="Times New Roman" w:hAnsi="Times New Roman"/>
          <w:sz w:val="21"/>
          <w:szCs w:val="21"/>
          <w:u w:val="single" w:color="auto"/>
          <w:color w:val="auto"/>
        </w:rPr>
        <w:t>Sections 1(d)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(f)</w:t>
      </w:r>
      <w:r>
        <w:rPr>
          <w:rFonts w:ascii="Times New Roman" w:cs="Times New Roman" w:eastAsia="Times New Roman" w:hAnsi="Times New Roman"/>
          <w:sz w:val="21"/>
          <w:szCs w:val="21"/>
          <w:color w:val="auto"/>
        </w:rPr>
        <w:t xml:space="preserve"> herein.</w:t>
      </w:r>
    </w:p>
    <w:p>
      <w:pPr>
        <w:spacing w:after="0" w:line="171" w:lineRule="exact"/>
        <w:rPr>
          <w:sz w:val="20"/>
          <w:szCs w:val="20"/>
          <w:color w:val="auto"/>
        </w:rPr>
      </w:pPr>
    </w:p>
    <w:p>
      <w:pPr>
        <w:jc w:val="both"/>
        <w:ind w:left="600" w:firstLine="627"/>
        <w:spacing w:after="0" w:line="264" w:lineRule="auto"/>
        <w:tabs>
          <w:tab w:leader="none" w:pos="1858"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Compensation; Expenses</w:t>
      </w:r>
      <w:r>
        <w:rPr>
          <w:rFonts w:ascii="Times New Roman" w:cs="Times New Roman" w:eastAsia="Times New Roman" w:hAnsi="Times New Roman"/>
          <w:sz w:val="21"/>
          <w:szCs w:val="21"/>
          <w:color w:val="auto"/>
        </w:rPr>
        <w:t>. The Stockholders shall pay all reasonable expenses of the Trustee, including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counsel fees and expenses, and shall discharge all liabilities incurred by the Trustee in connection with the exercise of its powers and the performance of its duties under this Agreement in accordance with a separate written fee letter between the Trustee and the Stockholders.</w:t>
      </w:r>
    </w:p>
    <w:p>
      <w:pPr>
        <w:spacing w:after="0" w:line="161" w:lineRule="exact"/>
        <w:rPr>
          <w:rFonts w:ascii="Times New Roman" w:cs="Times New Roman" w:eastAsia="Times New Roman" w:hAnsi="Times New Roman"/>
          <w:sz w:val="21"/>
          <w:szCs w:val="21"/>
          <w:color w:val="auto"/>
        </w:rPr>
      </w:pPr>
    </w:p>
    <w:p>
      <w:pPr>
        <w:ind w:left="1860" w:hanging="632"/>
        <w:spacing w:after="0"/>
        <w:tabs>
          <w:tab w:leader="none" w:pos="1860"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Trustee’s Indemnity</w:t>
      </w:r>
      <w:r>
        <w:rPr>
          <w:rFonts w:ascii="Times New Roman" w:cs="Times New Roman" w:eastAsia="Times New Roman" w:hAnsi="Times New Roman"/>
          <w:sz w:val="21"/>
          <w:szCs w:val="21"/>
          <w:color w:val="auto"/>
        </w:rPr>
        <w:t>.</w:t>
      </w:r>
    </w:p>
    <w:p>
      <w:pPr>
        <w:spacing w:after="0" w:line="221" w:lineRule="exact"/>
        <w:rPr>
          <w:rFonts w:ascii="Times New Roman" w:cs="Times New Roman" w:eastAsia="Times New Roman" w:hAnsi="Times New Roman"/>
          <w:sz w:val="21"/>
          <w:szCs w:val="21"/>
          <w:color w:val="auto"/>
        </w:rPr>
      </w:pPr>
    </w:p>
    <w:p>
      <w:pPr>
        <w:jc w:val="both"/>
        <w:ind w:left="600" w:firstLine="1259"/>
        <w:spacing w:after="0" w:line="258" w:lineRule="auto"/>
        <w:tabs>
          <w:tab w:leader="none" w:pos="2482" w:val="left"/>
        </w:tabs>
        <w:numPr>
          <w:ilvl w:val="2"/>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Stockholders jointly and severally covenant and agree to indemnify and hold harmless the Trustee, without duplication, from and against any and all claims, damages, losses, liabilities, obligations, actions, suits, costs, disbursements and expenses (including reasonable fees and expenses of counsel) incurred by the Trustee arising out of, from, or in conjunction with the Trustee’s execution of or performance or inaction under this Agreement, except to the extent that any such claims, damages, losses, liabilities, obligations, actions, suits, costs, disbursements or expenses are found in a final, non-appealable judgment by a court of competent jurisdiction to have resulted from the Trustee’s fraud, gross negligence or willful misconduct.</w:t>
      </w:r>
    </w:p>
    <w:p>
      <w:pPr>
        <w:spacing w:after="0" w:line="167" w:lineRule="exact"/>
        <w:rPr>
          <w:rFonts w:ascii="Times New Roman" w:cs="Times New Roman" w:eastAsia="Times New Roman" w:hAnsi="Times New Roman"/>
          <w:sz w:val="21"/>
          <w:szCs w:val="21"/>
          <w:color w:val="auto"/>
        </w:rPr>
      </w:pPr>
    </w:p>
    <w:p>
      <w:pPr>
        <w:ind w:left="1860" w:hanging="632"/>
        <w:spacing w:after="0"/>
        <w:tabs>
          <w:tab w:leader="none" w:pos="1860"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Trustee’s Exculpation</w:t>
      </w:r>
      <w:r>
        <w:rPr>
          <w:rFonts w:ascii="Times New Roman" w:cs="Times New Roman" w:eastAsia="Times New Roman" w:hAnsi="Times New Roman"/>
          <w:sz w:val="21"/>
          <w:szCs w:val="21"/>
          <w:color w:val="auto"/>
        </w:rPr>
        <w:t>.</w:t>
      </w:r>
    </w:p>
    <w:p>
      <w:pPr>
        <w:spacing w:after="0" w:line="221" w:lineRule="exact"/>
        <w:rPr>
          <w:rFonts w:ascii="Times New Roman" w:cs="Times New Roman" w:eastAsia="Times New Roman" w:hAnsi="Times New Roman"/>
          <w:sz w:val="21"/>
          <w:szCs w:val="21"/>
          <w:color w:val="auto"/>
        </w:rPr>
      </w:pPr>
    </w:p>
    <w:p>
      <w:pPr>
        <w:jc w:val="both"/>
        <w:ind w:left="600" w:firstLine="1259"/>
        <w:spacing w:after="0" w:line="260" w:lineRule="auto"/>
        <w:tabs>
          <w:tab w:leader="none" w:pos="2482" w:val="left"/>
        </w:tabs>
        <w:numPr>
          <w:ilvl w:val="2"/>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shall not be liable by reason of any matter arising out of or in relation to this Agreement, except for such loss or damage as the Stockholders may suffer by reason of the Trustee’s fraud, gross negligence or willful misconduct (as determined by a final non-appealable judgment issued by a court of competent jurisdiction), and without limiting the foregoing, the Trustee shall not be liable for any action taken, or omitted to be taken, by the Trustee in reliance upon, and in conformity with, the advice of counsel.</w:t>
      </w:r>
    </w:p>
    <w:p>
      <w:pPr>
        <w:spacing w:after="0" w:line="165" w:lineRule="exact"/>
        <w:rPr>
          <w:rFonts w:ascii="Times New Roman" w:cs="Times New Roman" w:eastAsia="Times New Roman" w:hAnsi="Times New Roman"/>
          <w:sz w:val="21"/>
          <w:szCs w:val="21"/>
          <w:color w:val="auto"/>
        </w:rPr>
      </w:pPr>
    </w:p>
    <w:p>
      <w:pPr>
        <w:ind w:left="600" w:firstLine="1259"/>
        <w:spacing w:after="0" w:line="282" w:lineRule="auto"/>
        <w:tabs>
          <w:tab w:leader="none" w:pos="2488" w:val="left"/>
        </w:tabs>
        <w:numPr>
          <w:ilvl w:val="2"/>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fullest extent permitted by law, the Stockholders hereby waive any and all fiduciary duties of the Trustee that, absent such waiver, may be implied by law or equity.</w:t>
      </w:r>
    </w:p>
    <w:p>
      <w:pPr>
        <w:spacing w:after="0" w:line="143" w:lineRule="exact"/>
        <w:rPr>
          <w:rFonts w:ascii="Times New Roman" w:cs="Times New Roman" w:eastAsia="Times New Roman" w:hAnsi="Times New Roman"/>
          <w:sz w:val="21"/>
          <w:szCs w:val="21"/>
          <w:color w:val="auto"/>
        </w:rPr>
      </w:pPr>
    </w:p>
    <w:p>
      <w:pPr>
        <w:ind w:left="2500" w:hanging="641"/>
        <w:spacing w:after="0"/>
        <w:tabs>
          <w:tab w:leader="none" w:pos="2500" w:val="left"/>
        </w:tabs>
        <w:numPr>
          <w:ilvl w:val="2"/>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to the contrary elsewhere in this Agreement, the Trustee shall</w:t>
      </w:r>
    </w:p>
    <w:p>
      <w:pPr>
        <w:spacing w:after="0" w:line="34" w:lineRule="exact"/>
        <w:rPr>
          <w:rFonts w:ascii="Times New Roman" w:cs="Times New Roman" w:eastAsia="Times New Roman" w:hAnsi="Times New Roman"/>
          <w:sz w:val="21"/>
          <w:szCs w:val="21"/>
          <w:color w:val="auto"/>
        </w:rPr>
      </w:pPr>
    </w:p>
    <w:p>
      <w:pPr>
        <w:jc w:val="both"/>
        <w:ind w:left="600" w:hanging="3"/>
        <w:spacing w:after="0" w:line="253" w:lineRule="auto"/>
        <w:tabs>
          <w:tab w:leader="none" w:pos="963"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have any duties or responsibilities except those expressly set forth herein or any fiduciary relationship with any Stockholder, and no implied covenants, functions, responsibilities, duties, obligations or liabilities shall be read into this Agreement or otherwise exist against the Trustee, (B) not have any duty to take any discretionary action or exercise any discretionary powers, and shall not be required to exercise any discretion or take any action, but shall be fully protected in so acting or refraining from acting as directed in writing by Stockholders,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0580"/>
          </w:cols>
          <w:pgMar w:left="360" w:top="1440" w:right="959" w:bottom="1440" w:gutter="0" w:footer="0" w:header="0"/>
        </w:sectPr>
      </w:pPr>
    </w:p>
    <w:bookmarkStart w:id="176" w:name="page177"/>
    <w:bookmarkEnd w:id="176"/>
    <w:p>
      <w:pPr>
        <w:jc w:val="both"/>
        <w:ind w:left="600" w:hanging="3"/>
        <w:spacing w:after="0" w:line="261" w:lineRule="auto"/>
        <w:tabs>
          <w:tab w:leader="none" w:pos="973"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be liable for any indirect, special, punitive or consequential damages (including, without limitation, lost profits) whatsoever, even if it has been informed of the likelihood thereof and regardless of the form of action, and</w:t>
      </w:r>
    </w:p>
    <w:p>
      <w:pPr>
        <w:ind w:left="940" w:hanging="343"/>
        <w:spacing w:after="0"/>
        <w:tabs>
          <w:tab w:leader="none" w:pos="940"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 entitled to conclusively rely upon any instructions set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0580"/>
          </w:cols>
          <w:pgMar w:left="360" w:top="1310" w:right="959" w:bottom="1440" w:gutter="0" w:footer="0" w:header="0"/>
        </w:sectPr>
      </w:pPr>
    </w:p>
    <w:bookmarkStart w:id="177" w:name="page178"/>
    <w:bookmarkEnd w:id="177"/>
    <w:p>
      <w:pPr>
        <w:spacing w:after="0" w:line="186" w:lineRule="exact"/>
        <w:rPr>
          <w:sz w:val="20"/>
          <w:szCs w:val="20"/>
          <w:color w:val="auto"/>
        </w:rPr>
      </w:pPr>
    </w:p>
    <w:p>
      <w:pPr>
        <w:jc w:val="both"/>
        <w:ind w:left="600"/>
        <w:spacing w:after="0" w:line="265" w:lineRule="auto"/>
        <w:rPr>
          <w:sz w:val="20"/>
          <w:szCs w:val="20"/>
          <w:color w:val="auto"/>
        </w:rPr>
      </w:pPr>
      <w:r>
        <w:rPr>
          <w:rFonts w:ascii="Times New Roman" w:cs="Times New Roman" w:eastAsia="Times New Roman" w:hAnsi="Times New Roman"/>
          <w:sz w:val="21"/>
          <w:szCs w:val="21"/>
          <w:color w:val="auto"/>
        </w:rPr>
        <w:t>forth in this Agreement or any notice, request, certificate, order, consent, statement, instrument, document or other writing (including any electronic message) reasonably believed by it in good faith to be genuine and to have been signed, sent or otherwise authenticated by the proper Person.</w:t>
      </w:r>
    </w:p>
    <w:p>
      <w:pPr>
        <w:spacing w:after="0" w:line="161" w:lineRule="exact"/>
        <w:rPr>
          <w:sz w:val="20"/>
          <w:szCs w:val="20"/>
          <w:color w:val="auto"/>
        </w:rPr>
      </w:pPr>
    </w:p>
    <w:p>
      <w:pPr>
        <w:jc w:val="both"/>
        <w:ind w:left="600" w:right="20" w:firstLine="1259"/>
        <w:spacing w:after="0" w:line="265" w:lineRule="auto"/>
        <w:tabs>
          <w:tab w:leader="none" w:pos="2482"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Stockholder acknowledges that it has, independently and without reliance upon the Trustee, and based on such documents and information as it has deemed appropriate, made its own decision to enter into this Agreement.</w:t>
      </w:r>
    </w:p>
    <w:p>
      <w:pPr>
        <w:spacing w:after="0" w:line="173" w:lineRule="exact"/>
        <w:rPr>
          <w:rFonts w:ascii="Times New Roman" w:cs="Times New Roman" w:eastAsia="Times New Roman" w:hAnsi="Times New Roman"/>
          <w:sz w:val="21"/>
          <w:szCs w:val="21"/>
          <w:color w:val="auto"/>
        </w:rPr>
      </w:pPr>
    </w:p>
    <w:p>
      <w:pPr>
        <w:jc w:val="both"/>
        <w:ind w:left="600" w:firstLine="1259"/>
        <w:spacing w:after="0" w:line="253" w:lineRule="auto"/>
        <w:tabs>
          <w:tab w:leader="none" w:pos="2489"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Stockholder hereby agrees that (A) if Trustee notifies such Stockholder that the Trustee has determined in its sole discretion that any funds received by such Stockholder from the Trustee were erroneously transmitted to, or otherwise erroneously or mistakenly received by, such Stockholder (whether or not known to such Stockholder) and demands the return of such erroneous payment, such Stockholder shall promptly, but in no event later than three (3) Business Days thereafter, return to the Trustee the amount of any such erroneous payment (or portion thereof) as to which such a demand was made, in same day funds (in the currency so received), and (B) to the extent permitted by applicable law, such Stockholder shall not assert any right or claim to the erroneous payment, and hereby waives, any claim, counterclaim, defense or right of set-off or recoupment with respect to any demand, claim or counterclaim by the Trustee for the return of any erroneous payments received, including without limitation waiver of any defense based on “discharge for value” or any similar doctrine.</w:t>
      </w:r>
    </w:p>
    <w:p>
      <w:pPr>
        <w:spacing w:after="0" w:line="191" w:lineRule="exact"/>
        <w:rPr>
          <w:rFonts w:ascii="Times New Roman" w:cs="Times New Roman" w:eastAsia="Times New Roman" w:hAnsi="Times New Roman"/>
          <w:sz w:val="21"/>
          <w:szCs w:val="21"/>
          <w:color w:val="auto"/>
        </w:rPr>
      </w:pPr>
    </w:p>
    <w:p>
      <w:pPr>
        <w:ind w:left="600" w:right="20" w:firstLine="1259"/>
        <w:spacing w:after="0" w:line="282" w:lineRule="auto"/>
        <w:tabs>
          <w:tab w:leader="none" w:pos="2482"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no event shall the Trustee be responsible or liable for determining the Trust’s or any Stockholders compliance with any state or federal securities laws in respect of this Agreement or the Subject Shares.</w:t>
      </w:r>
    </w:p>
    <w:p>
      <w:pPr>
        <w:spacing w:after="0" w:line="143" w:lineRule="exact"/>
        <w:rPr>
          <w:rFonts w:ascii="Times New Roman" w:cs="Times New Roman" w:eastAsia="Times New Roman" w:hAnsi="Times New Roman"/>
          <w:sz w:val="21"/>
          <w:szCs w:val="21"/>
          <w:color w:val="auto"/>
        </w:rPr>
      </w:pPr>
    </w:p>
    <w:p>
      <w:pPr>
        <w:jc w:val="both"/>
        <w:ind w:left="600" w:firstLine="1259"/>
        <w:spacing w:after="0" w:line="257" w:lineRule="auto"/>
        <w:tabs>
          <w:tab w:leader="none" w:pos="2488"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provision of this Agreement shall require the Trustee to take any action under or relating to this Agreement that the Trustee reasonably determines may subject it to liability, cost or expense unless the Trustee shall have been indemnified by the Stockholders in a manner and form satisfactory to the Trustee against any liability, cost or expense (including reasonable fees and expenses of counsel), taking into consideration the reimbursement requirements set forth in </w:t>
      </w:r>
      <w:r>
        <w:rPr>
          <w:rFonts w:ascii="Times New Roman" w:cs="Times New Roman" w:eastAsia="Times New Roman" w:hAnsi="Times New Roman"/>
          <w:sz w:val="21"/>
          <w:szCs w:val="21"/>
          <w:u w:val="single" w:color="auto"/>
          <w:color w:val="auto"/>
        </w:rPr>
        <w:t>Section 1(d)</w:t>
      </w:r>
      <w:r>
        <w:rPr>
          <w:rFonts w:ascii="Times New Roman" w:cs="Times New Roman" w:eastAsia="Times New Roman" w:hAnsi="Times New Roman"/>
          <w:sz w:val="21"/>
          <w:szCs w:val="21"/>
          <w:color w:val="auto"/>
        </w:rPr>
        <w:t xml:space="preserve"> and the indemnity set forth in </w:t>
      </w:r>
      <w:r>
        <w:rPr>
          <w:rFonts w:ascii="Times New Roman" w:cs="Times New Roman" w:eastAsia="Times New Roman" w:hAnsi="Times New Roman"/>
          <w:sz w:val="21"/>
          <w:szCs w:val="21"/>
          <w:u w:val="single" w:color="auto"/>
          <w:color w:val="auto"/>
        </w:rPr>
        <w:t>Section 1(e)</w:t>
      </w:r>
      <w:r>
        <w:rPr>
          <w:rFonts w:ascii="Times New Roman" w:cs="Times New Roman" w:eastAsia="Times New Roman" w:hAnsi="Times New Roman"/>
          <w:sz w:val="21"/>
          <w:szCs w:val="21"/>
          <w:color w:val="auto"/>
        </w:rPr>
        <w:t>, which may be incurred in connection therewith.</w:t>
      </w:r>
    </w:p>
    <w:p>
      <w:pPr>
        <w:spacing w:after="0" w:line="172" w:lineRule="exact"/>
        <w:rPr>
          <w:rFonts w:ascii="Times New Roman" w:cs="Times New Roman" w:eastAsia="Times New Roman" w:hAnsi="Times New Roman"/>
          <w:sz w:val="21"/>
          <w:szCs w:val="21"/>
          <w:color w:val="auto"/>
        </w:rPr>
      </w:pPr>
    </w:p>
    <w:p>
      <w:pPr>
        <w:ind w:left="600" w:right="20" w:firstLine="1259"/>
        <w:spacing w:after="0" w:line="282" w:lineRule="auto"/>
        <w:tabs>
          <w:tab w:leader="none" w:pos="2494"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shall not be required to give any bond or surety in respect of the performance of its powers and duties hereunder.</w:t>
      </w:r>
    </w:p>
    <w:p>
      <w:pPr>
        <w:spacing w:after="0" w:line="152" w:lineRule="exact"/>
        <w:rPr>
          <w:sz w:val="20"/>
          <w:szCs w:val="20"/>
          <w:color w:val="auto"/>
        </w:rPr>
      </w:pPr>
    </w:p>
    <w:p>
      <w:pPr>
        <w:ind w:left="1860" w:hanging="632"/>
        <w:spacing w:after="0"/>
        <w:tabs>
          <w:tab w:leader="none" w:pos="1860" w:val="left"/>
        </w:tabs>
        <w:numPr>
          <w:ilvl w:val="0"/>
          <w:numId w:val="1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Deposits, Withdrawals, Transfers and Related Matters.</w:t>
      </w:r>
    </w:p>
    <w:p>
      <w:pPr>
        <w:spacing w:after="0" w:line="221" w:lineRule="exact"/>
        <w:rPr>
          <w:sz w:val="20"/>
          <w:szCs w:val="20"/>
          <w:color w:val="auto"/>
        </w:rPr>
      </w:pPr>
    </w:p>
    <w:p>
      <w:pPr>
        <w:jc w:val="both"/>
        <w:ind w:left="600" w:firstLine="627"/>
        <w:spacing w:after="0" w:line="256" w:lineRule="auto"/>
        <w:tabs>
          <w:tab w:leader="none" w:pos="1859"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Initial Deposit of Subject Shares. </w:t>
      </w:r>
      <w:r>
        <w:rPr>
          <w:rFonts w:ascii="Times New Roman" w:cs="Times New Roman" w:eastAsia="Times New Roman" w:hAnsi="Times New Roman"/>
          <w:sz w:val="21"/>
          <w:szCs w:val="21"/>
          <w:color w:val="auto"/>
        </w:rPr>
        <w:t>On the Effective Date, the number of shares of Common Stock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Company listed opposite each Stockholder’s name on the Trust Register as of the execution of this Agreement shall be transferred to and deposited with the Trustee on behalf of such Stockholder, to be held by the Trustee on the terms and subject to the conditions in this Agreement. Such transferred and deposited shares of Common Stock shall constitute the Subject Shares with respect to each Stockholder as of the Effective Date. Each Stockholder shall take all necessary and advisable steps to effect the transfer and deposit described in this </w:t>
      </w:r>
      <w:r>
        <w:rPr>
          <w:rFonts w:ascii="Times New Roman" w:cs="Times New Roman" w:eastAsia="Times New Roman" w:hAnsi="Times New Roman"/>
          <w:sz w:val="21"/>
          <w:szCs w:val="21"/>
          <w:u w:val="single" w:color="auto"/>
          <w:color w:val="auto"/>
        </w:rPr>
        <w:t>Section 2(a)</w:t>
      </w:r>
      <w:r>
        <w:rPr>
          <w:rFonts w:ascii="Times New Roman" w:cs="Times New Roman" w:eastAsia="Times New Roman" w:hAnsi="Times New Roman"/>
          <w:sz w:val="21"/>
          <w:szCs w:val="21"/>
          <w:color w:val="auto"/>
        </w:rPr>
        <w:t>, including transferring any physical share certificates and other writings and notifying and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0580"/>
          </w:cols>
          <w:pgMar w:left="360" w:top="1440" w:right="959" w:bottom="1440" w:gutter="0" w:footer="0" w:header="0"/>
        </w:sectPr>
      </w:pPr>
    </w:p>
    <w:bookmarkStart w:id="178" w:name="page179"/>
    <w:bookmarkEnd w:id="1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0099"/>
          </w:cols>
          <w:pgMar w:left="360" w:top="1440" w:right="1440" w:bottom="1440" w:gutter="0" w:footer="0" w:header="0"/>
        </w:sectPr>
      </w:pPr>
    </w:p>
    <w:bookmarkStart w:id="179" w:name="page180"/>
    <w:bookmarkEnd w:id="179"/>
    <w:p>
      <w:pPr>
        <w:spacing w:after="0" w:line="186"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21"/>
          <w:szCs w:val="21"/>
          <w:color w:val="auto"/>
        </w:rPr>
        <w:t>providing any authorization required by any broker, depositary or other custodian, the transfer agent of the Company or any other Person with respect to securities held in book entry form.</w:t>
      </w:r>
    </w:p>
    <w:p>
      <w:pPr>
        <w:spacing w:after="0" w:line="141" w:lineRule="exact"/>
        <w:rPr>
          <w:sz w:val="20"/>
          <w:szCs w:val="20"/>
          <w:color w:val="auto"/>
        </w:rPr>
      </w:pPr>
    </w:p>
    <w:p>
      <w:pPr>
        <w:jc w:val="both"/>
        <w:ind w:left="600" w:right="80" w:firstLine="627"/>
        <w:spacing w:after="0" w:line="254" w:lineRule="auto"/>
        <w:tabs>
          <w:tab w:leader="none" w:pos="1858"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Additional Deposits of Common Stock</w:t>
      </w:r>
      <w:r>
        <w:rPr>
          <w:rFonts w:ascii="Times New Roman" w:cs="Times New Roman" w:eastAsia="Times New Roman" w:hAnsi="Times New Roman"/>
          <w:sz w:val="21"/>
          <w:szCs w:val="21"/>
          <w:color w:val="auto"/>
        </w:rPr>
        <w:t>. After the Effective Date, at any time or from time to time,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Stockholder may in its discretion transfer to and deposit with the Trustee certain additional Common Stock of the Company that it Beneficially Owns to be held by the Trustee on the terms and subject to the conditions in this Agreement by providing written notice to the Trustee in accordance with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no later than five (5) Business Days before the proposed effective date of such deposit (each, an “</w:t>
      </w:r>
      <w:r>
        <w:rPr>
          <w:rFonts w:ascii="Times New Roman" w:cs="Times New Roman" w:eastAsia="Times New Roman" w:hAnsi="Times New Roman"/>
          <w:sz w:val="21"/>
          <w:szCs w:val="21"/>
          <w:b w:val="1"/>
          <w:bCs w:val="1"/>
          <w:color w:val="auto"/>
        </w:rPr>
        <w:t>Additional Deposit Date</w:t>
      </w:r>
      <w:r>
        <w:rPr>
          <w:rFonts w:ascii="Times New Roman" w:cs="Times New Roman" w:eastAsia="Times New Roman" w:hAnsi="Times New Roman"/>
          <w:sz w:val="21"/>
          <w:szCs w:val="21"/>
          <w:color w:val="auto"/>
        </w:rPr>
        <w:t xml:space="preserve">”), which notice sets forth the number of shares of Common Stock that the Stockholder proposes to transfer to and deposit with the Trustee and the Additional Deposit Date. Any Common Stock of the Company transferred to and deposited with the Trustee in accordance with this </w:t>
      </w:r>
      <w:r>
        <w:rPr>
          <w:rFonts w:ascii="Times New Roman" w:cs="Times New Roman" w:eastAsia="Times New Roman" w:hAnsi="Times New Roman"/>
          <w:sz w:val="21"/>
          <w:szCs w:val="21"/>
          <w:u w:val="single" w:color="auto"/>
          <w:color w:val="auto"/>
        </w:rPr>
        <w:t>Section 2(b)</w:t>
      </w:r>
      <w:r>
        <w:rPr>
          <w:rFonts w:ascii="Times New Roman" w:cs="Times New Roman" w:eastAsia="Times New Roman" w:hAnsi="Times New Roman"/>
          <w:sz w:val="21"/>
          <w:szCs w:val="21"/>
          <w:color w:val="auto"/>
        </w:rPr>
        <w:t xml:space="preserve"> shall, upon transfer, be deemed to be Subject Shares for the purposes of this Agreement. Each depositing Stockholder shall take all necessary and advisable steps to effect any transfer described in this </w:t>
      </w:r>
      <w:r>
        <w:rPr>
          <w:rFonts w:ascii="Times New Roman" w:cs="Times New Roman" w:eastAsia="Times New Roman" w:hAnsi="Times New Roman"/>
          <w:sz w:val="21"/>
          <w:szCs w:val="21"/>
          <w:u w:val="single" w:color="auto"/>
          <w:color w:val="auto"/>
        </w:rPr>
        <w:t>Section 2(b)</w:t>
      </w:r>
      <w:r>
        <w:rPr>
          <w:rFonts w:ascii="Times New Roman" w:cs="Times New Roman" w:eastAsia="Times New Roman" w:hAnsi="Times New Roman"/>
          <w:sz w:val="21"/>
          <w:szCs w:val="21"/>
          <w:color w:val="auto"/>
        </w:rPr>
        <w:t xml:space="preserve"> on the applicable Additional Deposit Date, including transferring any physical share certificates and other writings and notifying and providing any authorization required by any broker, depositary or other custodian, the transfer agent of the Company or any other Person with respect to securities held in book entry form.</w:t>
      </w:r>
    </w:p>
    <w:p>
      <w:pPr>
        <w:spacing w:after="0" w:line="170" w:lineRule="exact"/>
        <w:rPr>
          <w:rFonts w:ascii="Times New Roman" w:cs="Times New Roman" w:eastAsia="Times New Roman" w:hAnsi="Times New Roman"/>
          <w:sz w:val="21"/>
          <w:szCs w:val="21"/>
          <w:color w:val="auto"/>
        </w:rPr>
      </w:pPr>
    </w:p>
    <w:p>
      <w:pPr>
        <w:jc w:val="both"/>
        <w:ind w:left="600" w:right="80" w:firstLine="627"/>
        <w:spacing w:after="0" w:line="252" w:lineRule="auto"/>
        <w:tabs>
          <w:tab w:leader="none" w:pos="1859"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Withdrawal of Subject Shares from the Trust</w:t>
      </w:r>
      <w:r>
        <w:rPr>
          <w:rFonts w:ascii="Times New Roman" w:cs="Times New Roman" w:eastAsia="Times New Roman" w:hAnsi="Times New Roman"/>
          <w:sz w:val="21"/>
          <w:szCs w:val="21"/>
          <w:color w:val="auto"/>
        </w:rPr>
        <w:t>. After the Effective Date, at any time or from time to time,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Stockholder may request to withdraw any or all of its Beneficially Owned Subject Shares or Other Subject Securities from the Trustee by providing written notice to the Trustee (each, a “</w:t>
      </w:r>
      <w:r>
        <w:rPr>
          <w:rFonts w:ascii="Times New Roman" w:cs="Times New Roman" w:eastAsia="Times New Roman" w:hAnsi="Times New Roman"/>
          <w:sz w:val="21"/>
          <w:szCs w:val="21"/>
          <w:b w:val="1"/>
          <w:bCs w:val="1"/>
          <w:color w:val="auto"/>
        </w:rPr>
        <w:t>Withdrawal Notice</w:t>
      </w:r>
      <w:r>
        <w:rPr>
          <w:rFonts w:ascii="Times New Roman" w:cs="Times New Roman" w:eastAsia="Times New Roman" w:hAnsi="Times New Roman"/>
          <w:sz w:val="21"/>
          <w:szCs w:val="21"/>
          <w:color w:val="auto"/>
        </w:rPr>
        <w:t>”) setting forth (i) the amount and type of securities Beneficially Owned by such requesting Stockholder to be withdrawn from the Trustee; (ii) the proposed effective date of such withdrawal (each, a “</w:t>
      </w:r>
      <w:r>
        <w:rPr>
          <w:rFonts w:ascii="Times New Roman" w:cs="Times New Roman" w:eastAsia="Times New Roman" w:hAnsi="Times New Roman"/>
          <w:sz w:val="21"/>
          <w:szCs w:val="21"/>
          <w:b w:val="1"/>
          <w:bCs w:val="1"/>
          <w:color w:val="auto"/>
        </w:rPr>
        <w:t>Withdrawal Date</w:t>
      </w:r>
      <w:r>
        <w:rPr>
          <w:rFonts w:ascii="Times New Roman" w:cs="Times New Roman" w:eastAsia="Times New Roman" w:hAnsi="Times New Roman"/>
          <w:sz w:val="21"/>
          <w:szCs w:val="21"/>
          <w:color w:val="auto"/>
        </w:rPr>
        <w:t xml:space="preserve">”), which date shall be no earlier than three (3) Business Days after the date that the Withdrawal Notice is delivered to the Trustee in accordance with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and (iii) a representation by the requesting Stockholder that the aggregate percentage ownership of such requesting Stockholder and its Affiliates of the outstanding voting securities of the Company that are entitled to vote (and which such Stockholder and its Affiliates actually have the authority to vote) in the election of the Company’s directors, made to the knowledge of the requesting Stockholder as of the date of the Withdrawal Notice based on the most recent available public disclosure with the U.S. Securities and Exchange Commission of the Company’s issued and outstanding voting securities or information with respect to the aggregate number of outstanding voting securities of the Company that has been provided to such Stockholder by the Company, shall be less than 10% of the outstanding voting securities of the Company after giving effect to the proposed withdrawal and any sale of such Subject Shares or other Beneficially Owned Common Stock or other voting securities of the Company held by such Stockholder outside the Trust that will occur substantially concurrently with such withdrawal (and the withdrawing Stockholder agrees not to exercise any voting right to the extent such aggregate ownership is in excess of 10% of the outstanding voting securities of the Company while such substantially concurrent sale is pending). To the extent known, the Stockholder shall use commercially reasonable efforts to provide to the Trustee notice of any potential withdrawal in advance of submitting a Withdrawal Notice. Following the receipt of a duly delivered and completed Withdrawal Notice, the Trustee shall deliver, or cause to be delivered, to the Stockholder the Subject Shares (or Other Subject Securities) specified in the applicable Withdrawal Notice no later than the Withdrawal Date and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0660"/>
          </w:cols>
          <w:pgMar w:left="360" w:top="1440" w:right="879" w:bottom="1440" w:gutter="0" w:footer="0" w:header="0"/>
        </w:sectPr>
      </w:pPr>
    </w:p>
    <w:bookmarkStart w:id="180" w:name="page181"/>
    <w:bookmarkEnd w:id="180"/>
    <w:p>
      <w:pPr>
        <w:spacing w:after="0" w:line="81"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21"/>
          <w:szCs w:val="21"/>
          <w:color w:val="auto"/>
        </w:rPr>
        <w:t>shall use commercially reasonable efforts to deliver, or cause to be delivered, to the Stockholder such Subject Shares (or Other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0560"/>
          </w:cols>
          <w:pgMar w:left="360" w:top="1440" w:right="979" w:bottom="1440" w:gutter="0" w:footer="0" w:header="0"/>
        </w:sectPr>
      </w:pPr>
    </w:p>
    <w:bookmarkStart w:id="181" w:name="page182"/>
    <w:bookmarkEnd w:id="181"/>
    <w:p>
      <w:pPr>
        <w:spacing w:after="0" w:line="186" w:lineRule="exact"/>
        <w:rPr>
          <w:sz w:val="20"/>
          <w:szCs w:val="20"/>
          <w:color w:val="auto"/>
        </w:rPr>
      </w:pPr>
    </w:p>
    <w:p>
      <w:pPr>
        <w:jc w:val="both"/>
        <w:ind w:left="600"/>
        <w:spacing w:after="0" w:line="254" w:lineRule="auto"/>
        <w:rPr>
          <w:sz w:val="20"/>
          <w:szCs w:val="20"/>
          <w:color w:val="auto"/>
        </w:rPr>
      </w:pPr>
      <w:r>
        <w:rPr>
          <w:rFonts w:ascii="Times New Roman" w:cs="Times New Roman" w:eastAsia="Times New Roman" w:hAnsi="Times New Roman"/>
          <w:sz w:val="21"/>
          <w:szCs w:val="21"/>
          <w:color w:val="auto"/>
        </w:rPr>
        <w:t xml:space="preserve">Securities) as promptly as practicable in advance of the applicable Withdrawal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in no event shall the Trustee be liable for any delay in the delivery of the Subject Shares to any Stockholder to the extent such delay is caused by the Company or its designees. Any securities withdrawn from the Trustee in accordance with this </w:t>
      </w:r>
      <w:r>
        <w:rPr>
          <w:rFonts w:ascii="Times New Roman" w:cs="Times New Roman" w:eastAsia="Times New Roman" w:hAnsi="Times New Roman"/>
          <w:sz w:val="21"/>
          <w:szCs w:val="21"/>
          <w:u w:val="single" w:color="auto"/>
          <w:color w:val="auto"/>
        </w:rPr>
        <w:t>Section 2(c)</w:t>
      </w:r>
      <w:r>
        <w:rPr>
          <w:rFonts w:ascii="Times New Roman" w:cs="Times New Roman" w:eastAsia="Times New Roman" w:hAnsi="Times New Roman"/>
          <w:sz w:val="21"/>
          <w:szCs w:val="21"/>
          <w:color w:val="auto"/>
        </w:rPr>
        <w:t xml:space="preserve"> shall, upon withdrawal, no longer be deemed to be Subject Shares or Other Subject Securities, as applicable, for the purposes of this Agreement. The Trustee shall take all steps reasonably requested by the Stockholder in writing to effect any withdrawal described in this </w:t>
      </w:r>
      <w:r>
        <w:rPr>
          <w:rFonts w:ascii="Times New Roman" w:cs="Times New Roman" w:eastAsia="Times New Roman" w:hAnsi="Times New Roman"/>
          <w:sz w:val="21"/>
          <w:szCs w:val="21"/>
          <w:u w:val="single" w:color="auto"/>
          <w:color w:val="auto"/>
        </w:rPr>
        <w:t>Section 2(c)</w:t>
      </w:r>
      <w:r>
        <w:rPr>
          <w:rFonts w:ascii="Times New Roman" w:cs="Times New Roman" w:eastAsia="Times New Roman" w:hAnsi="Times New Roman"/>
          <w:sz w:val="21"/>
          <w:szCs w:val="21"/>
          <w:color w:val="auto"/>
        </w:rPr>
        <w:t xml:space="preserve"> no later than the applicable Withdrawal Date, including transferring any physical share certificates and other writings and notifying and providing any authorization required by any broker, depositary or other custodian, the transfer agent of the Company or any other Person with respect to securities held in book entry form.</w:t>
      </w:r>
    </w:p>
    <w:p>
      <w:pPr>
        <w:spacing w:after="0" w:line="172" w:lineRule="exact"/>
        <w:rPr>
          <w:sz w:val="20"/>
          <w:szCs w:val="20"/>
          <w:color w:val="auto"/>
        </w:rPr>
      </w:pPr>
    </w:p>
    <w:p>
      <w:pPr>
        <w:ind w:left="1860" w:hanging="632"/>
        <w:spacing w:after="0"/>
        <w:tabs>
          <w:tab w:leader="none" w:pos="1860" w:val="left"/>
        </w:tabs>
        <w:numPr>
          <w:ilvl w:val="1"/>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Transfer of Shares to Affiliates; Pledging</w:t>
      </w:r>
      <w:r>
        <w:rPr>
          <w:rFonts w:ascii="Times New Roman" w:cs="Times New Roman" w:eastAsia="Times New Roman" w:hAnsi="Times New Roman"/>
          <w:sz w:val="21"/>
          <w:szCs w:val="21"/>
          <w:color w:val="auto"/>
        </w:rPr>
        <w:t>.</w:t>
      </w:r>
    </w:p>
    <w:p>
      <w:pPr>
        <w:spacing w:after="0" w:line="221" w:lineRule="exact"/>
        <w:rPr>
          <w:rFonts w:ascii="Times New Roman" w:cs="Times New Roman" w:eastAsia="Times New Roman" w:hAnsi="Times New Roman"/>
          <w:sz w:val="21"/>
          <w:szCs w:val="21"/>
          <w:color w:val="auto"/>
        </w:rPr>
      </w:pPr>
    </w:p>
    <w:p>
      <w:pPr>
        <w:jc w:val="both"/>
        <w:ind w:left="600" w:firstLine="1259"/>
        <w:spacing w:after="0" w:line="255" w:lineRule="auto"/>
        <w:tabs>
          <w:tab w:leader="none" w:pos="2482" w:val="left"/>
        </w:tabs>
        <w:numPr>
          <w:ilvl w:val="2"/>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After the Effective Date, at any time or from time to time and subject to Applicable Law, any Stockholder may transfer to any Affiliate any or all of its Beneficially Owned Subject Shares or Other Subject Securities held by the Trustee;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to the extent such transferee is not already a party to this Agreement, such transfer shall not become effective until such transferee becomes a party hereto by executing and delivering to the Trustee a joinder agreement in the form provided by the Trustee together with its administrative details and applicable tax form;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such Subject Shares and Other Subject Securities (as applicable) shall remain deposited with the Trust and be subject to this Agreement until withdrawn in accordance with </w:t>
      </w:r>
      <w:r>
        <w:rPr>
          <w:rFonts w:ascii="Times New Roman" w:cs="Times New Roman" w:eastAsia="Times New Roman" w:hAnsi="Times New Roman"/>
          <w:sz w:val="21"/>
          <w:szCs w:val="21"/>
          <w:u w:val="single" w:color="auto"/>
          <w:color w:val="auto"/>
        </w:rPr>
        <w:t>Section 2(c)</w:t>
      </w:r>
      <w:r>
        <w:rPr>
          <w:rFonts w:ascii="Times New Roman" w:cs="Times New Roman" w:eastAsia="Times New Roman" w:hAnsi="Times New Roman"/>
          <w:sz w:val="21"/>
          <w:szCs w:val="21"/>
          <w:color w:val="auto"/>
        </w:rPr>
        <w:t>. Any such transferee that executes such a joinder and provides such administrative details and applicable tax form shall be deemed thereafter to be a “Stockholder” hereunder.</w:t>
      </w:r>
    </w:p>
    <w:p>
      <w:pPr>
        <w:spacing w:after="0" w:line="177" w:lineRule="exact"/>
        <w:rPr>
          <w:rFonts w:ascii="Times New Roman" w:cs="Times New Roman" w:eastAsia="Times New Roman" w:hAnsi="Times New Roman"/>
          <w:sz w:val="21"/>
          <w:szCs w:val="21"/>
          <w:color w:val="auto"/>
        </w:rPr>
      </w:pPr>
    </w:p>
    <w:p>
      <w:pPr>
        <w:jc w:val="both"/>
        <w:ind w:left="600" w:firstLine="1259"/>
        <w:spacing w:after="0" w:line="254" w:lineRule="auto"/>
        <w:tabs>
          <w:tab w:leader="none" w:pos="2488" w:val="left"/>
        </w:tabs>
        <w:numPr>
          <w:ilvl w:val="2"/>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Stockholder shall be permitted to pledge or otherwise encumber any or all of its Subject Shares or Other Subject Securities held by the Trustee,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pledge or other encumbrance does not impose on the Trustee any (A) obligation to act at the direction of the pledgee or holder of the encumbrance (each, an “</w:t>
      </w:r>
      <w:r>
        <w:rPr>
          <w:rFonts w:ascii="Times New Roman" w:cs="Times New Roman" w:eastAsia="Times New Roman" w:hAnsi="Times New Roman"/>
          <w:sz w:val="21"/>
          <w:szCs w:val="21"/>
          <w:b w:val="1"/>
          <w:bCs w:val="1"/>
          <w:color w:val="auto"/>
        </w:rPr>
        <w:t>Encumbrance</w:t>
      </w:r>
      <w:r>
        <w:rPr>
          <w:rFonts w:ascii="Times New Roman" w:cs="Times New Roman" w:eastAsia="Times New Roman" w:hAnsi="Times New Roman"/>
          <w:sz w:val="21"/>
          <w:szCs w:val="21"/>
          <w:color w:val="auto"/>
        </w:rPr>
        <w:t>”), (B) obligation to provide notices or other information to the pledgee or holder of the Encumbrance or (C) liability to any such pledgee or holder of the Encumbrance. No Stockholder shall take, or request that the Trustee take, any action under this Agreement contrary to any Encumbrance with respect to its pledged or encumbered Subject Shares or Other Subject Securities, it being understood and agreed that in no event shall the Trustee have any duty or obligation to monitor any Stockholder’s compliance with such requirement. The Trustee agrees to comply with any written instructions from any Stockholder in connection with any Encumbrance on its Subject Shares or Other Subject Securities, including any written instruction to transfer such Subject Shares or Other Subject Securities to a third-party.</w:t>
      </w:r>
    </w:p>
    <w:p>
      <w:pPr>
        <w:spacing w:after="0" w:line="173" w:lineRule="exact"/>
        <w:rPr>
          <w:rFonts w:ascii="Times New Roman" w:cs="Times New Roman" w:eastAsia="Times New Roman" w:hAnsi="Times New Roman"/>
          <w:sz w:val="21"/>
          <w:szCs w:val="21"/>
          <w:color w:val="auto"/>
        </w:rPr>
      </w:pPr>
    </w:p>
    <w:p>
      <w:pPr>
        <w:ind w:left="1860" w:hanging="632"/>
        <w:spacing w:after="0"/>
        <w:tabs>
          <w:tab w:leader="none" w:pos="1860" w:val="left"/>
        </w:tabs>
        <w:numPr>
          <w:ilvl w:val="1"/>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Title</w:t>
      </w:r>
      <w:r>
        <w:rPr>
          <w:rFonts w:ascii="Times New Roman" w:cs="Times New Roman" w:eastAsia="Times New Roman" w:hAnsi="Times New Roman"/>
          <w:sz w:val="21"/>
          <w:szCs w:val="21"/>
          <w:color w:val="auto"/>
        </w:rPr>
        <w:t>. After the Effective Date, the Trustee (solely in its capacity as such) shall have</w:t>
      </w:r>
    </w:p>
    <w:p>
      <w:pPr>
        <w:spacing w:after="0" w:line="36" w:lineRule="exact"/>
        <w:rPr>
          <w:rFonts w:ascii="Times New Roman" w:cs="Times New Roman" w:eastAsia="Times New Roman" w:hAnsi="Times New Roman"/>
          <w:sz w:val="21"/>
          <w:szCs w:val="21"/>
          <w:color w:val="auto"/>
        </w:rPr>
      </w:pPr>
    </w:p>
    <w:p>
      <w:pPr>
        <w:jc w:val="both"/>
        <w:ind w:left="600" w:hanging="3"/>
        <w:spacing w:after="0" w:line="255" w:lineRule="auto"/>
        <w:tabs>
          <w:tab w:leader="none" w:pos="864"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legal title to the Subject Shares and Other Subject Securities deposited hereunder and (ii) no authority to sell, pledge, hypothecate or otherwise dispose of the Subject Shares and Other Subject Securities deposited hereunder, or any interest therein, in each case, other than as specifically provided herein. The Trustee shall treat each Stockholder as the Beneficial Owner of</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0580"/>
          </w:cols>
          <w:pgMar w:left="360" w:top="1440" w:right="959" w:bottom="1440" w:gutter="0" w:footer="0" w:header="0"/>
        </w:sectPr>
      </w:pPr>
    </w:p>
    <w:bookmarkStart w:id="182" w:name="page183"/>
    <w:bookmarkEnd w:id="182"/>
    <w:p>
      <w:pPr>
        <w:ind w:left="600"/>
        <w:spacing w:after="0" w:line="282" w:lineRule="auto"/>
        <w:rPr>
          <w:sz w:val="20"/>
          <w:szCs w:val="20"/>
          <w:color w:val="auto"/>
        </w:rPr>
      </w:pPr>
      <w:r>
        <w:rPr>
          <w:rFonts w:ascii="Times New Roman" w:cs="Times New Roman" w:eastAsia="Times New Roman" w:hAnsi="Times New Roman"/>
          <w:sz w:val="21"/>
          <w:szCs w:val="21"/>
          <w:color w:val="auto"/>
        </w:rPr>
        <w:t>the Subject Shares and the Other Subject Securities deposited in such Stockholder’s name with the Trustee, subject to the Trustee’s rights and interests hereunder, and shall not be obligated to</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0560"/>
          </w:cols>
          <w:pgMar w:left="360" w:top="1310" w:right="979" w:bottom="1440" w:gutter="0" w:footer="0" w:header="0"/>
        </w:sectPr>
      </w:pPr>
    </w:p>
    <w:bookmarkStart w:id="183" w:name="page184"/>
    <w:bookmarkEnd w:id="183"/>
    <w:p>
      <w:pPr>
        <w:spacing w:after="0" w:line="1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recognize any Person as the Beneficial Owner of such Subject Shares and the Other Subject Securities.</w:t>
      </w:r>
    </w:p>
    <w:p>
      <w:pPr>
        <w:spacing w:after="0" w:line="215" w:lineRule="exact"/>
        <w:rPr>
          <w:sz w:val="20"/>
          <w:szCs w:val="20"/>
          <w:color w:val="auto"/>
        </w:rPr>
      </w:pPr>
    </w:p>
    <w:p>
      <w:pPr>
        <w:ind w:left="1860" w:hanging="632"/>
        <w:spacing w:after="0"/>
        <w:tabs>
          <w:tab w:leader="none" w:pos="1860" w:val="left"/>
        </w:tabs>
        <w:numPr>
          <w:ilvl w:val="0"/>
          <w:numId w:val="11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Trustee’s Powers and Duties.</w:t>
      </w:r>
    </w:p>
    <w:p>
      <w:pPr>
        <w:spacing w:after="0" w:line="221" w:lineRule="exact"/>
        <w:rPr>
          <w:sz w:val="20"/>
          <w:szCs w:val="20"/>
          <w:color w:val="auto"/>
        </w:rPr>
      </w:pPr>
    </w:p>
    <w:p>
      <w:pPr>
        <w:jc w:val="both"/>
        <w:ind w:left="600" w:firstLine="627"/>
        <w:spacing w:after="0" w:line="260" w:lineRule="auto"/>
        <w:tabs>
          <w:tab w:leader="none" w:pos="1859" w:val="left"/>
        </w:tabs>
        <w:numPr>
          <w:ilvl w:val="1"/>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Voting Procedures</w:t>
      </w:r>
      <w:r>
        <w:rPr>
          <w:rFonts w:ascii="Times New Roman" w:cs="Times New Roman" w:eastAsia="Times New Roman" w:hAnsi="Times New Roman"/>
          <w:sz w:val="21"/>
          <w:szCs w:val="21"/>
          <w:color w:val="auto"/>
        </w:rPr>
        <w:t>. With respect to each vote of the stockholder of the Company duly notified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Trustee, the Trustee shall (as promptly as practicable after receiving notice of the such stockholder vote from the Company and any recommendation set forth in </w:t>
      </w:r>
      <w:r>
        <w:rPr>
          <w:rFonts w:ascii="Times New Roman" w:cs="Times New Roman" w:eastAsia="Times New Roman" w:hAnsi="Times New Roman"/>
          <w:sz w:val="21"/>
          <w:szCs w:val="21"/>
          <w:u w:val="single" w:color="auto"/>
          <w:color w:val="auto"/>
        </w:rPr>
        <w:t>Sections 3(b)(i)</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(v)</w:t>
      </w:r>
      <w:r>
        <w:rPr>
          <w:rFonts w:ascii="Times New Roman" w:cs="Times New Roman" w:eastAsia="Times New Roman" w:hAnsi="Times New Roman"/>
          <w:sz w:val="21"/>
          <w:szCs w:val="21"/>
          <w:color w:val="auto"/>
        </w:rPr>
        <w:t xml:space="preserve">) notify each Stockholder of its voting intent with respect to such vote, in each case in accordance with the voting recommendations in </w:t>
      </w:r>
      <w:r>
        <w:rPr>
          <w:rFonts w:ascii="Times New Roman" w:cs="Times New Roman" w:eastAsia="Times New Roman" w:hAnsi="Times New Roman"/>
          <w:sz w:val="21"/>
          <w:szCs w:val="21"/>
          <w:u w:val="single" w:color="auto"/>
          <w:color w:val="auto"/>
        </w:rPr>
        <w:t>Sections 3(b)(i)</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(v)</w:t>
      </w:r>
      <w:r>
        <w:rPr>
          <w:rFonts w:ascii="Times New Roman" w:cs="Times New Roman" w:eastAsia="Times New Roman" w:hAnsi="Times New Roman"/>
          <w:sz w:val="21"/>
          <w:szCs w:val="21"/>
          <w:color w:val="auto"/>
        </w:rPr>
        <w:t>.</w:t>
      </w:r>
    </w:p>
    <w:p>
      <w:pPr>
        <w:spacing w:after="0" w:line="165" w:lineRule="exact"/>
        <w:rPr>
          <w:rFonts w:ascii="Times New Roman" w:cs="Times New Roman" w:eastAsia="Times New Roman" w:hAnsi="Times New Roman"/>
          <w:sz w:val="21"/>
          <w:szCs w:val="21"/>
          <w:color w:val="auto"/>
        </w:rPr>
      </w:pPr>
    </w:p>
    <w:p>
      <w:pPr>
        <w:jc w:val="both"/>
        <w:ind w:left="600" w:firstLine="627"/>
        <w:spacing w:after="0" w:line="253" w:lineRule="auto"/>
        <w:tabs>
          <w:tab w:leader="none" w:pos="1858" w:val="left"/>
        </w:tabs>
        <w:numPr>
          <w:ilvl w:val="1"/>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Trustee Voting</w:t>
      </w:r>
      <w:r>
        <w:rPr>
          <w:rFonts w:ascii="Times New Roman" w:cs="Times New Roman" w:eastAsia="Times New Roman" w:hAnsi="Times New Roman"/>
          <w:sz w:val="21"/>
          <w:szCs w:val="21"/>
          <w:color w:val="auto"/>
        </w:rPr>
        <w:t>. Subject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 3(c)</w:t>
      </w:r>
      <w:r>
        <w:rPr>
          <w:rFonts w:ascii="Times New Roman" w:cs="Times New Roman" w:eastAsia="Times New Roman" w:hAnsi="Times New Roman"/>
          <w:sz w:val="21"/>
          <w:szCs w:val="21"/>
          <w:color w:val="auto"/>
        </w:rPr>
        <w:t>, the Trustee shall vote or cause to be voted (in person or by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proxy, in writing or at a meeting of the Company’s stockholders), the Subject Shares and Other Subject Securities held by the Trustee in connection with any matter on which such securities are entitled to vote, provided the Trustee has timely received actual notice of such opportunity to vote, in accordance with the written recommendation of, in order of priority, (i) the board of directors of the Company or a duly organized committee thereof; (ii) in the absence of a recommendation by the board of directors of the Company or a duly organized committee thereof, Institutional Shareholder Services; (iii) in the absence of a recommendation by the board of directors of the Company or a duly organized committee thereof or ISS, Glass, Lewis &amp; Co.; and</w:t>
      </w:r>
    </w:p>
    <w:p>
      <w:pPr>
        <w:spacing w:after="0" w:line="2" w:lineRule="exact"/>
        <w:rPr>
          <w:rFonts w:ascii="Times New Roman" w:cs="Times New Roman" w:eastAsia="Times New Roman" w:hAnsi="Times New Roman"/>
          <w:sz w:val="21"/>
          <w:szCs w:val="21"/>
          <w:color w:val="auto"/>
        </w:rPr>
      </w:pPr>
    </w:p>
    <w:p>
      <w:pPr>
        <w:jc w:val="both"/>
        <w:ind w:left="600" w:hanging="3"/>
        <w:spacing w:after="0" w:line="251" w:lineRule="auto"/>
        <w:tabs>
          <w:tab w:leader="none" w:pos="980"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absence of a recommendation by the board of directors of the Company or a duly organized committee thereof, ISS, or Glass, Lewis &amp; Co., Egan-Jones Proxy Services. Once the Trustee has timely received actual notice of such opportunity to vote the Subject Shares or Other Subject Securities, the Trustee shall use commercially reasonable efforts to identify the foregoing recommendations by reviewing the Company’s contemporaneous press releases about the upcoming shareholder vote and the Company’s filings with respect to same with the Securities and Exchange Commission, which releases and filings shall be deemed to be written recommendations for the purposes of the first sentence of this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xml:space="preserve">. In furtherance of the foregoing and subject thereto, and on the terms and subject to the conditions in this Agreement (including subject to </w:t>
      </w:r>
      <w:r>
        <w:rPr>
          <w:rFonts w:ascii="Times New Roman" w:cs="Times New Roman" w:eastAsia="Times New Roman" w:hAnsi="Times New Roman"/>
          <w:sz w:val="21"/>
          <w:szCs w:val="21"/>
          <w:u w:val="single" w:color="auto"/>
          <w:color w:val="auto"/>
        </w:rPr>
        <w:t>Section 3(c)</w:t>
      </w:r>
      <w:r>
        <w:rPr>
          <w:rFonts w:ascii="Times New Roman" w:cs="Times New Roman" w:eastAsia="Times New Roman" w:hAnsi="Times New Roman"/>
          <w:sz w:val="21"/>
          <w:szCs w:val="21"/>
          <w:color w:val="auto"/>
        </w:rPr>
        <w:t xml:space="preserve">), the Trustee shall have the full, exclusive and unqualified right and power to vote, to execute consents, to enter into voting agreements and to grant proxies with respect to all of the Subject Shares and Other Subject Securities with respect to any lawful corporate action in order to comply with the foregoing sentence, and no Stockholder shall in its capacity as Beneficial Owner have any rights or powers to vote its Subject Shares or Other Subject Securities (or to execute consents, to enter into voting agreements and to grant proxies) with respect thereto. For the avoidance of doubt, subject to </w:t>
      </w:r>
      <w:r>
        <w:rPr>
          <w:rFonts w:ascii="Times New Roman" w:cs="Times New Roman" w:eastAsia="Times New Roman" w:hAnsi="Times New Roman"/>
          <w:sz w:val="21"/>
          <w:szCs w:val="21"/>
          <w:u w:val="single" w:color="auto"/>
          <w:color w:val="auto"/>
        </w:rPr>
        <w:t>Section 3(c)</w:t>
      </w:r>
      <w:r>
        <w:rPr>
          <w:rFonts w:ascii="Times New Roman" w:cs="Times New Roman" w:eastAsia="Times New Roman" w:hAnsi="Times New Roman"/>
          <w:sz w:val="21"/>
          <w:szCs w:val="21"/>
          <w:color w:val="auto"/>
        </w:rPr>
        <w:t xml:space="preserve"> and the foregoing, the Trustee shall cause to be present for the purposes of determining a quorum in any meeting of stockholders of the Company and shall vote, or cause to be voted, all the Subject Shares and Other Subject Securities in every vote in which such securities are entitled to vote, including the election of directors of the Company.</w:t>
      </w:r>
    </w:p>
    <w:p>
      <w:pPr>
        <w:spacing w:after="0" w:line="196" w:lineRule="exact"/>
        <w:rPr>
          <w:rFonts w:ascii="Times New Roman" w:cs="Times New Roman" w:eastAsia="Times New Roman" w:hAnsi="Times New Roman"/>
          <w:sz w:val="21"/>
          <w:szCs w:val="21"/>
          <w:color w:val="auto"/>
        </w:rPr>
      </w:pPr>
    </w:p>
    <w:p>
      <w:pPr>
        <w:ind w:left="1860" w:hanging="632"/>
        <w:spacing w:after="0"/>
        <w:tabs>
          <w:tab w:leader="none" w:pos="1860"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Trustee Voting in connection with Extraordinary Transactions</w:t>
      </w:r>
      <w:r>
        <w:rPr>
          <w:rFonts w:ascii="Times New Roman" w:cs="Times New Roman" w:eastAsia="Times New Roman" w:hAnsi="Times New Roman"/>
          <w:sz w:val="21"/>
          <w:szCs w:val="21"/>
          <w:color w:val="auto"/>
        </w:rPr>
        <w:t>.</w:t>
      </w:r>
    </w:p>
    <w:p>
      <w:pPr>
        <w:spacing w:after="0" w:line="221" w:lineRule="exact"/>
        <w:rPr>
          <w:rFonts w:ascii="Times New Roman" w:cs="Times New Roman" w:eastAsia="Times New Roman" w:hAnsi="Times New Roman"/>
          <w:sz w:val="21"/>
          <w:szCs w:val="21"/>
          <w:color w:val="auto"/>
        </w:rPr>
      </w:pPr>
    </w:p>
    <w:p>
      <w:pPr>
        <w:jc w:val="both"/>
        <w:ind w:left="600" w:right="20" w:firstLine="1259"/>
        <w:spacing w:after="0" w:line="265" w:lineRule="auto"/>
        <w:tabs>
          <w:tab w:leader="none" w:pos="2482" w:val="left"/>
        </w:tabs>
        <w:numPr>
          <w:ilvl w:val="2"/>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Agreement, each Stockholder may in its discretion, by written notice to the Trustee, solely in connection with any lawful corporate actions involving any of the following matters, consent to or veto the intended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0580"/>
          </w:cols>
          <w:pgMar w:left="360" w:top="1440" w:right="959" w:bottom="1440" w:gutter="0" w:footer="0" w:header="0"/>
        </w:sectPr>
      </w:pPr>
    </w:p>
    <w:bookmarkStart w:id="184" w:name="page185"/>
    <w:bookmarkEnd w:id="184"/>
    <w:p>
      <w:pPr>
        <w:spacing w:after="0" w:line="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 xml:space="preserve">vote of the Trustee that the Trustee has notified to such Stockholder in writing in accordance with </w:t>
      </w:r>
      <w:r>
        <w:rPr>
          <w:rFonts w:ascii="Times New Roman" w:cs="Times New Roman" w:eastAsia="Times New Roman" w:hAnsi="Times New Roman"/>
          <w:sz w:val="20"/>
          <w:szCs w:val="20"/>
          <w:u w:val="single" w:color="auto"/>
          <w:color w:val="auto"/>
        </w:rPr>
        <w:t>Section 3(a)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0099"/>
          </w:cols>
          <w:pgMar w:left="360" w:top="1440" w:right="1440" w:bottom="1440" w:gutter="0" w:footer="0" w:header="0"/>
        </w:sectPr>
      </w:pPr>
    </w:p>
    <w:bookmarkStart w:id="185" w:name="page186"/>
    <w:bookmarkEnd w:id="185"/>
    <w:p>
      <w:pPr>
        <w:spacing w:after="0" w:line="186" w:lineRule="exact"/>
        <w:rPr>
          <w:sz w:val="20"/>
          <w:szCs w:val="20"/>
          <w:color w:val="auto"/>
        </w:rPr>
      </w:pPr>
    </w:p>
    <w:p>
      <w:pPr>
        <w:jc w:val="both"/>
        <w:ind w:left="600" w:right="20" w:firstLine="1891"/>
        <w:spacing w:after="0" w:line="265" w:lineRule="auto"/>
        <w:tabs>
          <w:tab w:leader="none" w:pos="3121" w:val="left"/>
        </w:tabs>
        <w:numPr>
          <w:ilvl w:val="2"/>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issuance of equity securities, debt securities convertible into equity securities or interests or other hybrid instruments by the Company that would dilute the economic interest of such Stockholder in the Company;</w:t>
      </w:r>
    </w:p>
    <w:p>
      <w:pPr>
        <w:spacing w:after="0" w:line="160" w:lineRule="exact"/>
        <w:rPr>
          <w:rFonts w:ascii="Times New Roman" w:cs="Times New Roman" w:eastAsia="Times New Roman" w:hAnsi="Times New Roman"/>
          <w:sz w:val="21"/>
          <w:szCs w:val="21"/>
          <w:color w:val="auto"/>
        </w:rPr>
      </w:pPr>
    </w:p>
    <w:p>
      <w:pPr>
        <w:ind w:left="600" w:right="60" w:firstLine="1891"/>
        <w:spacing w:after="0" w:line="282" w:lineRule="auto"/>
        <w:tabs>
          <w:tab w:leader="none" w:pos="3121" w:val="left"/>
        </w:tabs>
        <w:numPr>
          <w:ilvl w:val="2"/>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liquidation or dissolution of the Company, or the waiver of any rights triggered by such liquidation or dissolution;</w:t>
      </w:r>
    </w:p>
    <w:p>
      <w:pPr>
        <w:spacing w:after="0" w:line="143" w:lineRule="exact"/>
        <w:rPr>
          <w:rFonts w:ascii="Times New Roman" w:cs="Times New Roman" w:eastAsia="Times New Roman" w:hAnsi="Times New Roman"/>
          <w:sz w:val="21"/>
          <w:szCs w:val="21"/>
          <w:color w:val="auto"/>
        </w:rPr>
      </w:pPr>
    </w:p>
    <w:p>
      <w:pPr>
        <w:jc w:val="both"/>
        <w:ind w:left="600" w:firstLine="1891"/>
        <w:spacing w:after="0" w:line="271" w:lineRule="auto"/>
        <w:tabs>
          <w:tab w:leader="none" w:pos="3121" w:val="left"/>
        </w:tabs>
        <w:numPr>
          <w:ilvl w:val="2"/>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filing by the Company of a voluntary petition under the United States Bankruptcy Code or other Applicable Law relating to bankruptcy, reorganization, insolvency, moratorium, fraudulent conveyance or preferential transfers;</w:t>
      </w:r>
    </w:p>
    <w:p>
      <w:pPr>
        <w:spacing w:after="0" w:line="155" w:lineRule="exact"/>
        <w:rPr>
          <w:rFonts w:ascii="Times New Roman" w:cs="Times New Roman" w:eastAsia="Times New Roman" w:hAnsi="Times New Roman"/>
          <w:sz w:val="21"/>
          <w:szCs w:val="21"/>
          <w:color w:val="auto"/>
        </w:rPr>
      </w:pPr>
    </w:p>
    <w:p>
      <w:pPr>
        <w:ind w:left="3120" w:hanging="628"/>
        <w:spacing w:after="0"/>
        <w:tabs>
          <w:tab w:leader="none" w:pos="3120" w:val="left"/>
        </w:tabs>
        <w:numPr>
          <w:ilvl w:val="2"/>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change to the Company’s corporate form or tax treatment;</w:t>
      </w:r>
    </w:p>
    <w:p>
      <w:pPr>
        <w:spacing w:after="0" w:line="219" w:lineRule="exact"/>
        <w:rPr>
          <w:rFonts w:ascii="Times New Roman" w:cs="Times New Roman" w:eastAsia="Times New Roman" w:hAnsi="Times New Roman"/>
          <w:sz w:val="21"/>
          <w:szCs w:val="21"/>
          <w:color w:val="auto"/>
        </w:rPr>
      </w:pPr>
    </w:p>
    <w:p>
      <w:pPr>
        <w:ind w:left="600" w:right="20" w:firstLine="1891"/>
        <w:spacing w:after="0" w:line="282" w:lineRule="auto"/>
        <w:tabs>
          <w:tab w:leader="none" w:pos="3121" w:val="left"/>
        </w:tabs>
        <w:numPr>
          <w:ilvl w:val="2"/>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waiver, limitation, forbearance under, change to the Stockholder’s rights under the certificate of incorporation or bylaws of the Company; or</w:t>
      </w:r>
    </w:p>
    <w:p>
      <w:pPr>
        <w:spacing w:after="0" w:line="156" w:lineRule="exact"/>
        <w:rPr>
          <w:rFonts w:ascii="Times New Roman" w:cs="Times New Roman" w:eastAsia="Times New Roman" w:hAnsi="Times New Roman"/>
          <w:sz w:val="21"/>
          <w:szCs w:val="21"/>
          <w:color w:val="auto"/>
        </w:rPr>
      </w:pPr>
    </w:p>
    <w:p>
      <w:pPr>
        <w:jc w:val="both"/>
        <w:ind w:left="600" w:firstLine="1891"/>
        <w:spacing w:after="0" w:line="259" w:lineRule="auto"/>
        <w:tabs>
          <w:tab w:leader="none" w:pos="3121" w:val="left"/>
        </w:tabs>
        <w:numPr>
          <w:ilvl w:val="2"/>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merger, consolidation, business combination, share exchange, restructuring, recapitalization or acquisition involving the Company or any similar transaction involving all or a material portion of the assets of the Company and its subsidiaries, taken as a whole, that is subject to a vote of stockholders under the Delaware General Corporation Law (collectively, the “</w:t>
      </w:r>
      <w:r>
        <w:rPr>
          <w:rFonts w:ascii="Times New Roman" w:cs="Times New Roman" w:eastAsia="Times New Roman" w:hAnsi="Times New Roman"/>
          <w:sz w:val="21"/>
          <w:szCs w:val="21"/>
          <w:b w:val="1"/>
          <w:bCs w:val="1"/>
          <w:color w:val="auto"/>
        </w:rPr>
        <w:t>Investment Protection Matters</w:t>
      </w:r>
      <w:r>
        <w:rPr>
          <w:rFonts w:ascii="Times New Roman" w:cs="Times New Roman" w:eastAsia="Times New Roman" w:hAnsi="Times New Roman"/>
          <w:sz w:val="21"/>
          <w:szCs w:val="21"/>
          <w:color w:val="auto"/>
        </w:rPr>
        <w:t>”).</w:t>
      </w:r>
    </w:p>
    <w:p>
      <w:pPr>
        <w:spacing w:after="0" w:line="168" w:lineRule="exact"/>
        <w:rPr>
          <w:rFonts w:ascii="Times New Roman" w:cs="Times New Roman" w:eastAsia="Times New Roman" w:hAnsi="Times New Roman"/>
          <w:sz w:val="21"/>
          <w:szCs w:val="21"/>
          <w:color w:val="auto"/>
        </w:rPr>
      </w:pPr>
    </w:p>
    <w:p>
      <w:pPr>
        <w:jc w:val="both"/>
        <w:ind w:left="600" w:firstLine="1259"/>
        <w:spacing w:after="0" w:line="257" w:lineRule="auto"/>
        <w:tabs>
          <w:tab w:leader="none" w:pos="2488"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receipt of any Stockholder written notice delivered pursuant to </w:t>
      </w:r>
      <w:r>
        <w:rPr>
          <w:rFonts w:ascii="Times New Roman" w:cs="Times New Roman" w:eastAsia="Times New Roman" w:hAnsi="Times New Roman"/>
          <w:sz w:val="21"/>
          <w:szCs w:val="21"/>
          <w:u w:val="single" w:color="auto"/>
          <w:color w:val="auto"/>
        </w:rPr>
        <w:t>Section 3(c)(i)</w:t>
      </w:r>
      <w:r>
        <w:rPr>
          <w:rFonts w:ascii="Times New Roman" w:cs="Times New Roman" w:eastAsia="Times New Roman" w:hAnsi="Times New Roman"/>
          <w:sz w:val="21"/>
          <w:szCs w:val="21"/>
          <w:color w:val="auto"/>
        </w:rPr>
        <w:t xml:space="preserve">, and solely to the extent such notice is timely received by the Trustee, the Trustee shall act in accordance with such Stockholder’s consent or veto to exercise the voting rights (including the right to vote, to execute consents, to enter into voting agreements and to grant proxies) with respect to some or all of such Stockholder’s Subject Shares and any Other Subject Securities, as may be specified by such Stockholder in such written notice. Notwithstanding </w:t>
      </w:r>
      <w:r>
        <w:rPr>
          <w:rFonts w:ascii="Times New Roman" w:cs="Times New Roman" w:eastAsia="Times New Roman" w:hAnsi="Times New Roman"/>
          <w:sz w:val="21"/>
          <w:szCs w:val="21"/>
          <w:u w:val="single" w:color="auto"/>
          <w:color w:val="auto"/>
        </w:rPr>
        <w:t>Section 3(c)(i)</w:t>
      </w:r>
      <w:r>
        <w:rPr>
          <w:rFonts w:ascii="Times New Roman" w:cs="Times New Roman" w:eastAsia="Times New Roman" w:hAnsi="Times New Roman"/>
          <w:sz w:val="21"/>
          <w:szCs w:val="21"/>
          <w:color w:val="auto"/>
        </w:rPr>
        <w:t xml:space="preserve">, the Trustee shall not be obligated to act in accordance with any Stockholder’s written consent or veto with respect to any Investment Protection Matter unless such consent or veto is received by the Trustee in accordance with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at least five (5) Business Days before any applicable vote.</w:t>
      </w:r>
    </w:p>
    <w:p>
      <w:pPr>
        <w:spacing w:after="0" w:line="166" w:lineRule="exact"/>
        <w:rPr>
          <w:rFonts w:ascii="Times New Roman" w:cs="Times New Roman" w:eastAsia="Times New Roman" w:hAnsi="Times New Roman"/>
          <w:sz w:val="21"/>
          <w:szCs w:val="21"/>
          <w:color w:val="auto"/>
        </w:rPr>
      </w:pPr>
    </w:p>
    <w:p>
      <w:pPr>
        <w:jc w:val="both"/>
        <w:ind w:left="600" w:firstLine="627"/>
        <w:spacing w:after="0" w:line="255" w:lineRule="auto"/>
        <w:tabs>
          <w:tab w:leader="none" w:pos="1858"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Dividends and Distributions</w:t>
      </w:r>
      <w:r>
        <w:rPr>
          <w:rFonts w:ascii="Times New Roman" w:cs="Times New Roman" w:eastAsia="Times New Roman" w:hAnsi="Times New Roman"/>
          <w:sz w:val="21"/>
          <w:szCs w:val="21"/>
          <w:color w:val="auto"/>
        </w:rPr>
        <w:t>. In the event that the Trustee receives any Ordinary Distribution with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respect to any Subject Shares or Other Subject Securities deposited hereunder, the Trustee shall promptly pay or distribute in kind, as applicable, such Ordinary Distribution to the applicable Stockholder;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Trustee may request the Company or any other distributing Person to pay or distribute in kind, as applicable, such Ordinary Distribution directly to the applicable Stockholder. If the Trustee receives any Voting Share Distribution with respect to any Subject Shares or Other Subject Securities deposited hereunder, the Trustee shall hold such Voting Share Distribution as a deposit on behalf of the applicable Stockholder (which securities, if any, are referred to herein as “</w:t>
      </w:r>
      <w:r>
        <w:rPr>
          <w:rFonts w:ascii="Times New Roman" w:cs="Times New Roman" w:eastAsia="Times New Roman" w:hAnsi="Times New Roman"/>
          <w:sz w:val="21"/>
          <w:szCs w:val="21"/>
          <w:b w:val="1"/>
          <w:bCs w:val="1"/>
          <w:color w:val="auto"/>
        </w:rPr>
        <w:t>Other Subject Securities</w:t>
      </w:r>
      <w:r>
        <w:rPr>
          <w:rFonts w:ascii="Times New Roman" w:cs="Times New Roman" w:eastAsia="Times New Roman" w:hAnsi="Times New Roman"/>
          <w:sz w:val="21"/>
          <w:szCs w:val="21"/>
          <w:color w:val="auto"/>
        </w:rPr>
        <w:t>”).</w:t>
      </w:r>
    </w:p>
    <w:p>
      <w:pPr>
        <w:spacing w:after="0" w:line="184" w:lineRule="exact"/>
        <w:rPr>
          <w:rFonts w:ascii="Times New Roman" w:cs="Times New Roman" w:eastAsia="Times New Roman" w:hAnsi="Times New Roman"/>
          <w:sz w:val="21"/>
          <w:szCs w:val="21"/>
          <w:color w:val="auto"/>
        </w:rPr>
      </w:pPr>
    </w:p>
    <w:p>
      <w:pPr>
        <w:jc w:val="both"/>
        <w:ind w:left="600" w:right="20" w:firstLine="627"/>
        <w:spacing w:after="0" w:line="260" w:lineRule="auto"/>
        <w:tabs>
          <w:tab w:leader="none" w:pos="1859"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Updates to Trust Register</w:t>
      </w:r>
      <w:r>
        <w:rPr>
          <w:rFonts w:ascii="Times New Roman" w:cs="Times New Roman" w:eastAsia="Times New Roman" w:hAnsi="Times New Roman"/>
          <w:sz w:val="21"/>
          <w:szCs w:val="21"/>
          <w:color w:val="auto"/>
        </w:rPr>
        <w:t>. The Trustee shall maintain and revise the Trust Register to reflect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amount and type of Subject Shares and Other Subject Securities Beneficially Owned by each Stockholder that are held by the Trustee. Concurrently with any of the transactions described in </w:t>
      </w:r>
      <w:r>
        <w:rPr>
          <w:rFonts w:ascii="Times New Roman" w:cs="Times New Roman" w:eastAsia="Times New Roman" w:hAnsi="Times New Roman"/>
          <w:sz w:val="21"/>
          <w:szCs w:val="21"/>
          <w:u w:val="single" w:color="auto"/>
          <w:color w:val="auto"/>
        </w:rPr>
        <w:t>Section 2(b)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2(d)</w:t>
      </w:r>
      <w:r>
        <w:rPr>
          <w:rFonts w:ascii="Times New Roman" w:cs="Times New Roman" w:eastAsia="Times New Roman" w:hAnsi="Times New Roman"/>
          <w:sz w:val="21"/>
          <w:szCs w:val="21"/>
          <w:color w:val="auto"/>
        </w:rPr>
        <w:t xml:space="preserve"> and, if with respect to a</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0580"/>
          </w:cols>
          <w:pgMar w:left="360" w:top="1440" w:right="959" w:bottom="1440" w:gutter="0" w:footer="0" w:header="0"/>
        </w:sectPr>
      </w:pPr>
    </w:p>
    <w:bookmarkStart w:id="186" w:name="page187"/>
    <w:bookmarkEnd w:id="186"/>
    <w:p>
      <w:pPr>
        <w:spacing w:after="0" w:line="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 xml:space="preserve">Voting Share Distribution, </w:t>
      </w:r>
      <w:r>
        <w:rPr>
          <w:rFonts w:ascii="Times New Roman" w:cs="Times New Roman" w:eastAsia="Times New Roman" w:hAnsi="Times New Roman"/>
          <w:sz w:val="20"/>
          <w:szCs w:val="20"/>
          <w:u w:val="single" w:color="auto"/>
          <w:color w:val="auto"/>
        </w:rPr>
        <w:t>Section 3(d)</w:t>
      </w:r>
      <w:r>
        <w:rPr>
          <w:rFonts w:ascii="Times New Roman" w:cs="Times New Roman" w:eastAsia="Times New Roman" w:hAnsi="Times New Roman"/>
          <w:sz w:val="20"/>
          <w:szCs w:val="20"/>
          <w:color w:val="auto"/>
        </w:rPr>
        <w:t>, or as promptly as practicable thereafter, the Trustee shall issue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0099"/>
          </w:cols>
          <w:pgMar w:left="360" w:top="1440" w:right="1440" w:bottom="1440" w:gutter="0" w:footer="0" w:header="0"/>
        </w:sectPr>
      </w:pPr>
    </w:p>
    <w:bookmarkStart w:id="187" w:name="page188"/>
    <w:bookmarkEnd w:id="187"/>
    <w:p>
      <w:pPr>
        <w:spacing w:after="0" w:line="186"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21"/>
          <w:szCs w:val="21"/>
          <w:color w:val="auto"/>
        </w:rPr>
        <w:t>applicable Stockholder a copy of the revised Trust Register evidencing the aggregate amount and type of securities held by the Trustee on behalf of such Stockholder.</w:t>
      </w:r>
    </w:p>
    <w:p>
      <w:pPr>
        <w:spacing w:after="0" w:line="141" w:lineRule="exact"/>
        <w:rPr>
          <w:sz w:val="20"/>
          <w:szCs w:val="20"/>
          <w:color w:val="auto"/>
        </w:rPr>
      </w:pPr>
    </w:p>
    <w:p>
      <w:pPr>
        <w:jc w:val="both"/>
        <w:ind w:left="600" w:right="100" w:firstLine="627"/>
        <w:spacing w:after="0" w:line="255" w:lineRule="auto"/>
        <w:tabs>
          <w:tab w:leader="none" w:pos="1862"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Reserved Matters</w:t>
      </w:r>
      <w:r>
        <w:rPr>
          <w:rFonts w:ascii="Times New Roman" w:cs="Times New Roman" w:eastAsia="Times New Roman" w:hAnsi="Times New Roman"/>
          <w:sz w:val="21"/>
          <w:szCs w:val="21"/>
          <w:color w:val="auto"/>
        </w:rPr>
        <w:t>. Other than the voting rights to the extent specifically set forth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3(c)</w:t>
      </w:r>
      <w:r>
        <w:rPr>
          <w:rFonts w:ascii="Times New Roman" w:cs="Times New Roman" w:eastAsia="Times New Roman" w:hAnsi="Times New Roman"/>
          <w:sz w:val="21"/>
          <w:szCs w:val="21"/>
          <w:color w:val="auto"/>
        </w:rPr>
        <w:t xml:space="preserve">), notwithstanding anything to the contrary in this Agreement, nothing in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shall be interpreted to afford the Trustee any right to exercise or cause to be exercised any rights and preferences (whether set forth in the Governing Documents, under Applicable Law or otherwise) arising from or related to the Beneficial Ownership of the Subject Shares and the Other Subject Securities, such as, by way of example, the right to tender any securities issued by the Company into or withdraw them from any tender offer, to elect any consideration payable with respect to the Subject Shares or Other Subject Securities, to exercise any appraisal right and any other stockholder right not specifically set forth in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w:t>
      </w:r>
    </w:p>
    <w:p>
      <w:pPr>
        <w:spacing w:after="0" w:line="169" w:lineRule="exact"/>
        <w:rPr>
          <w:sz w:val="20"/>
          <w:szCs w:val="20"/>
          <w:color w:val="auto"/>
        </w:rPr>
      </w:pPr>
    </w:p>
    <w:p>
      <w:pPr>
        <w:ind w:left="1860" w:hanging="632"/>
        <w:spacing w:after="0"/>
        <w:tabs>
          <w:tab w:leader="none" w:pos="1860" w:val="left"/>
        </w:tabs>
        <w:numPr>
          <w:ilvl w:val="0"/>
          <w:numId w:val="12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Certain Representations and Covenants.</w:t>
      </w:r>
    </w:p>
    <w:p>
      <w:pPr>
        <w:spacing w:after="0" w:line="234" w:lineRule="exact"/>
        <w:rPr>
          <w:sz w:val="20"/>
          <w:szCs w:val="20"/>
          <w:color w:val="auto"/>
        </w:rPr>
      </w:pPr>
    </w:p>
    <w:p>
      <w:pPr>
        <w:jc w:val="both"/>
        <w:ind w:left="600" w:right="100" w:firstLine="627"/>
        <w:spacing w:after="0" w:line="254" w:lineRule="auto"/>
        <w:tabs>
          <w:tab w:leader="none" w:pos="1859"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Representations of the Trustee</w:t>
      </w:r>
      <w:r>
        <w:rPr>
          <w:rFonts w:ascii="Times New Roman" w:cs="Times New Roman" w:eastAsia="Times New Roman" w:hAnsi="Times New Roman"/>
          <w:sz w:val="21"/>
          <w:szCs w:val="21"/>
          <w:color w:val="auto"/>
        </w:rPr>
        <w:t>. The Trustee represents and warrants to the Stockholders as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Effective Date that: (i) the Trustee has all requisite power and authority to execute, deliver and perform its obligations under this Agreement, and no other proceedings or actions on the part of the Trustee are necessary therefor; (ii) the Trustee’s execution, delivery and performance of its obligations under this Agreement does not violate any Governing Documents of the Trustee; (iii) this Agreement has been duly and validly executed and delivered by the Trustee and, assuming the due authorization, execution and delivery by the Stockholders, constitutes a legal, valid and binding obligation of the Trustee, enforceable against the Trustee in accordance with its terms, except as may be limited by applicable bankruptcy, insolvency, reorganization, moratorium, fraudulent transfer and similar laws of general applicability relating to or affecting creditors’ rights or by general equity principles; and (iv) except for </w:t>
      </w:r>
      <w:r>
        <w:rPr>
          <w:rFonts w:ascii="Times New Roman" w:cs="Times New Roman" w:eastAsia="Times New Roman" w:hAnsi="Times New Roman"/>
          <w:sz w:val="21"/>
          <w:szCs w:val="21"/>
          <w:i w:val="1"/>
          <w:iCs w:val="1"/>
          <w:color w:val="auto"/>
        </w:rPr>
        <w:t>de minimis</w:t>
      </w:r>
      <w:r>
        <w:rPr>
          <w:rFonts w:ascii="Times New Roman" w:cs="Times New Roman" w:eastAsia="Times New Roman" w:hAnsi="Times New Roman"/>
          <w:sz w:val="21"/>
          <w:szCs w:val="21"/>
          <w:color w:val="auto"/>
        </w:rPr>
        <w:t xml:space="preserve"> amounts, and in no event totaling 10% or more, the Trustee does not own any of the outstanding voting securities of the Company or of any Stockholder, nor does the Trustee hold a seat on the Board of Directors of the Company or of any Stockholder.</w:t>
      </w:r>
    </w:p>
    <w:p>
      <w:pPr>
        <w:spacing w:after="0" w:line="170" w:lineRule="exact"/>
        <w:rPr>
          <w:rFonts w:ascii="Times New Roman" w:cs="Times New Roman" w:eastAsia="Times New Roman" w:hAnsi="Times New Roman"/>
          <w:sz w:val="21"/>
          <w:szCs w:val="21"/>
          <w:color w:val="auto"/>
        </w:rPr>
      </w:pPr>
    </w:p>
    <w:p>
      <w:pPr>
        <w:jc w:val="both"/>
        <w:ind w:left="600" w:right="100" w:firstLine="627"/>
        <w:spacing w:after="0" w:line="255" w:lineRule="auto"/>
        <w:tabs>
          <w:tab w:leader="none" w:pos="1858"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Representations of the Stockholders</w:t>
      </w:r>
      <w:r>
        <w:rPr>
          <w:rFonts w:ascii="Times New Roman" w:cs="Times New Roman" w:eastAsia="Times New Roman" w:hAnsi="Times New Roman"/>
          <w:sz w:val="21"/>
          <w:szCs w:val="21"/>
          <w:color w:val="auto"/>
        </w:rPr>
        <w:t>. Each Stockholder represents and warrants to the Trustee as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Effective Date with respect to such Stockholder that: (i) such Stockholder has all requisite power and authority to execute, deliver and perform its obligations under this Agreement, and no other proceedings or actions on the part of such Stockholder are necessary therefor; (ii) such Stockholder’s execution, delivery and performance of its obligations under this Agreement does not violate any Governing Documents of such Stockholder or any Applicable Law; and (iii) this Agreement has been duly and validly executed and delivered by such Stockholder and, assuming the due authorization, execution and delivery by the Trustee and the other Stockholders, constitutes a legal, valid and binding obligation of such Stockholder, enforceable against such Stockholder in accordance with its terms, except as may be limited by applicable bankruptcy, insolvency, reorganization, moratorium, fraudulent transfer and similar laws of general applicability relating to or affecting creditors’ rights or by general equity principles.</w:t>
      </w:r>
    </w:p>
    <w:p>
      <w:pPr>
        <w:spacing w:after="0" w:line="171" w:lineRule="exact"/>
        <w:rPr>
          <w:rFonts w:ascii="Times New Roman" w:cs="Times New Roman" w:eastAsia="Times New Roman" w:hAnsi="Times New Roman"/>
          <w:sz w:val="21"/>
          <w:szCs w:val="21"/>
          <w:color w:val="auto"/>
        </w:rPr>
      </w:pPr>
    </w:p>
    <w:p>
      <w:pPr>
        <w:ind w:left="1860" w:hanging="632"/>
        <w:spacing w:after="0"/>
        <w:tabs>
          <w:tab w:leader="none" w:pos="1860"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Covenants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0680"/>
          </w:cols>
          <w:pgMar w:left="360" w:top="1440" w:right="859" w:bottom="1440" w:gutter="0" w:footer="0" w:header="0"/>
        </w:sectPr>
      </w:pPr>
    </w:p>
    <w:bookmarkStart w:id="188" w:name="page189"/>
    <w:bookmarkEnd w:id="188"/>
    <w:p>
      <w:pPr>
        <w:spacing w:after="0" w:line="81" w:lineRule="exact"/>
        <w:rPr>
          <w:sz w:val="20"/>
          <w:szCs w:val="20"/>
          <w:color w:val="auto"/>
        </w:rPr>
      </w:pPr>
    </w:p>
    <w:p>
      <w:pPr>
        <w:ind w:left="600" w:firstLine="1259"/>
        <w:spacing w:after="0" w:line="282" w:lineRule="auto"/>
        <w:tabs>
          <w:tab w:leader="none" w:pos="2482"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shall notify the Stockholders in writing within five (5) Business Days of receipt from the Company or any other Person of any written notification of any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0560"/>
          </w:cols>
          <w:pgMar w:left="360" w:top="1440" w:right="979" w:bottom="1440" w:gutter="0" w:footer="0" w:header="0"/>
        </w:sectPr>
      </w:pPr>
    </w:p>
    <w:bookmarkStart w:id="189" w:name="page190"/>
    <w:bookmarkEnd w:id="189"/>
    <w:p>
      <w:pPr>
        <w:spacing w:after="0" w:line="186" w:lineRule="exact"/>
        <w:rPr>
          <w:sz w:val="20"/>
          <w:szCs w:val="20"/>
          <w:color w:val="auto"/>
        </w:rPr>
      </w:pPr>
    </w:p>
    <w:p>
      <w:pPr>
        <w:jc w:val="both"/>
        <w:ind w:left="600"/>
        <w:spacing w:after="0" w:line="256" w:lineRule="auto"/>
        <w:rPr>
          <w:sz w:val="20"/>
          <w:szCs w:val="20"/>
          <w:color w:val="auto"/>
        </w:rPr>
      </w:pPr>
      <w:r>
        <w:rPr>
          <w:rFonts w:ascii="Times New Roman" w:cs="Times New Roman" w:eastAsia="Times New Roman" w:hAnsi="Times New Roman"/>
          <w:sz w:val="21"/>
          <w:szCs w:val="21"/>
          <w:color w:val="auto"/>
        </w:rPr>
        <w:t>or special meeting or other vote of the stockholders of the Company involving any vote on any of the Investment Protection Matters or any other writings or communications of any kind that the Trustee receives on behalf of, or that are directed to, the Beneficial Owners of the Subject Shares or Other Subject Securities. Upon the issuance of any notice, order, or decision by the Federal Energy Regulatory Commission finding that the Trustee shall be treated as an affiliate of the Company or of any Stockholder, then the Trustee, at the sole cost and expense of the Stockholders, shall reasonably cooperate with the Stockholders to take all steps reasonably requested by the Stockholders and necessary to ensure that the Trustee is no longer treated as an affiliate of the Company or of any Stockholder.</w:t>
      </w:r>
    </w:p>
    <w:p>
      <w:pPr>
        <w:spacing w:after="0" w:line="171" w:lineRule="exact"/>
        <w:rPr>
          <w:sz w:val="20"/>
          <w:szCs w:val="20"/>
          <w:color w:val="auto"/>
        </w:rPr>
      </w:pPr>
    </w:p>
    <w:p>
      <w:pPr>
        <w:jc w:val="both"/>
        <w:ind w:left="600" w:firstLine="1259"/>
        <w:spacing w:after="0" w:line="253" w:lineRule="auto"/>
        <w:tabs>
          <w:tab w:leader="none" w:pos="2488" w:val="left"/>
        </w:tabs>
        <w:numPr>
          <w:ilvl w:val="2"/>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Stockholder shall limit the securities of the Company that it holds outside the Trust that are entitled to vote (and which such Stockholder actually has the authority to vote) in the election of the Company’s directors such that the aggregate percentage ownership of such Stockholder’s and its Affiliates of the outstanding voting securities of the Company is less than 10% of the outstanding voting securities of the Company based on the most recent available public disclosure with the U.S. Securities and Exchange Commission of the Company’s issued and outstanding securities or information with respect to the aggregate number of outstanding voting securities of the Company that has been provided to such Stockholder by the Company. Each Stockholder agrees to promptly notify the Trustee upon learning that its and its Affiliates’ aggregate percentage ownership of voting securities described in the first sentence of this </w:t>
      </w:r>
      <w:r>
        <w:rPr>
          <w:rFonts w:ascii="Times New Roman" w:cs="Times New Roman" w:eastAsia="Times New Roman" w:hAnsi="Times New Roman"/>
          <w:sz w:val="21"/>
          <w:szCs w:val="21"/>
          <w:u w:val="single" w:color="auto"/>
          <w:color w:val="auto"/>
        </w:rPr>
        <w:t>Section 4(c)(ii)</w:t>
      </w:r>
      <w:r>
        <w:rPr>
          <w:rFonts w:ascii="Times New Roman" w:cs="Times New Roman" w:eastAsia="Times New Roman" w:hAnsi="Times New Roman"/>
          <w:sz w:val="21"/>
          <w:szCs w:val="21"/>
          <w:color w:val="auto"/>
        </w:rPr>
        <w:t xml:space="preserve"> at any time exceeds 10% of the outstanding voting securities of the Company and to promptly deposit such voting securities as is necessary with the Trustee in accordance with </w:t>
      </w:r>
      <w:r>
        <w:rPr>
          <w:rFonts w:ascii="Times New Roman" w:cs="Times New Roman" w:eastAsia="Times New Roman" w:hAnsi="Times New Roman"/>
          <w:sz w:val="21"/>
          <w:szCs w:val="21"/>
          <w:u w:val="single" w:color="auto"/>
          <w:color w:val="auto"/>
        </w:rPr>
        <w:t>Section 2(b)</w:t>
      </w:r>
      <w:r>
        <w:rPr>
          <w:rFonts w:ascii="Times New Roman" w:cs="Times New Roman" w:eastAsia="Times New Roman" w:hAnsi="Times New Roman"/>
          <w:sz w:val="21"/>
          <w:szCs w:val="21"/>
          <w:color w:val="auto"/>
        </w:rPr>
        <w:t xml:space="preserve"> such that such Stockholder’s and its Affiliates’ aggregate percentage ownership of outstanding voting securities of the Company will be less than 10% of the outstanding voting securities of the Company.</w:t>
      </w:r>
    </w:p>
    <w:p>
      <w:pPr>
        <w:spacing w:after="0" w:line="178" w:lineRule="exact"/>
        <w:rPr>
          <w:rFonts w:ascii="Times New Roman" w:cs="Times New Roman" w:eastAsia="Times New Roman" w:hAnsi="Times New Roman"/>
          <w:sz w:val="21"/>
          <w:szCs w:val="21"/>
          <w:color w:val="auto"/>
        </w:rPr>
      </w:pPr>
    </w:p>
    <w:p>
      <w:pPr>
        <w:jc w:val="both"/>
        <w:ind w:left="600" w:firstLine="627"/>
        <w:spacing w:after="0" w:line="255" w:lineRule="auto"/>
        <w:tabs>
          <w:tab w:leader="none" w:pos="1862" w:val="left"/>
        </w:tabs>
        <w:numPr>
          <w:ilvl w:val="1"/>
          <w:numId w:val="12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Term; Termination</w:t>
      </w:r>
      <w:r>
        <w:rPr>
          <w:rFonts w:ascii="Times New Roman" w:cs="Times New Roman" w:eastAsia="Times New Roman" w:hAnsi="Times New Roman"/>
          <w:sz w:val="21"/>
          <w:szCs w:val="21"/>
          <w:color w:val="auto"/>
        </w:rPr>
        <w:t>. The Trust created by this Agreement shall be irrevocable and survive indefinitely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until termination as provided in this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Except for </w:t>
      </w:r>
      <w:r>
        <w:rPr>
          <w:rFonts w:ascii="Times New Roman" w:cs="Times New Roman" w:eastAsia="Times New Roman" w:hAnsi="Times New Roman"/>
          <w:sz w:val="21"/>
          <w:szCs w:val="21"/>
          <w:u w:val="single" w:color="auto"/>
          <w:color w:val="auto"/>
        </w:rPr>
        <w:t>Sections 1(e)</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15</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Section 19</w:t>
      </w:r>
      <w:r>
        <w:rPr>
          <w:rFonts w:ascii="Times New Roman" w:cs="Times New Roman" w:eastAsia="Times New Roman" w:hAnsi="Times New Roman"/>
          <w:sz w:val="21"/>
          <w:szCs w:val="21"/>
          <w:color w:val="auto"/>
        </w:rPr>
        <w:t xml:space="preserve">, each of which shall survive the termination of this Agreement, no provision of this Agreement shall survive or have any force and effect upon termination of this Agreement pursuant to its terms. Subject to the foregoing sentence, this Agreement shall terminate automatically and have no further force and effect in its entirety on the day immediately following the date on which the Trust no longer holds any Subject Shares or Other Subject Securities on behalf of any Stockholder;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Agreement shall terminate solely as to any Stockholder on the day immediately following the date on which either</w:t>
      </w:r>
    </w:p>
    <w:p>
      <w:pPr>
        <w:spacing w:after="0" w:line="1" w:lineRule="exact"/>
        <w:rPr>
          <w:rFonts w:ascii="Times New Roman" w:cs="Times New Roman" w:eastAsia="Times New Roman" w:hAnsi="Times New Roman"/>
          <w:sz w:val="21"/>
          <w:szCs w:val="21"/>
          <w:b w:val="1"/>
          <w:bCs w:val="1"/>
          <w:color w:val="auto"/>
        </w:rPr>
      </w:pPr>
    </w:p>
    <w:p>
      <w:pPr>
        <w:jc w:val="both"/>
        <w:ind w:left="600" w:hanging="3"/>
        <w:spacing w:after="0" w:line="253" w:lineRule="auto"/>
        <w:tabs>
          <w:tab w:leader="none" w:pos="898"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has received written notice that such Stockholder no longer Beneficially Owns any Subject Shares or Other Subject Securities that are held by the Trust or (b) the Trustee no longer holds any Subject Shares or Other Subject Securities that are Beneficially Owned by such Stockholder on its behalf.</w:t>
      </w:r>
    </w:p>
    <w:p>
      <w:pPr>
        <w:spacing w:after="0" w:line="168" w:lineRule="exact"/>
        <w:rPr>
          <w:rFonts w:ascii="Times New Roman" w:cs="Times New Roman" w:eastAsia="Times New Roman" w:hAnsi="Times New Roman"/>
          <w:sz w:val="21"/>
          <w:szCs w:val="21"/>
          <w:color w:val="auto"/>
        </w:rPr>
      </w:pPr>
    </w:p>
    <w:p>
      <w:pPr>
        <w:jc w:val="both"/>
        <w:ind w:left="600" w:right="20" w:firstLine="627"/>
        <w:spacing w:after="0" w:line="261" w:lineRule="auto"/>
        <w:tabs>
          <w:tab w:leader="none" w:pos="1862" w:val="left"/>
        </w:tabs>
        <w:numPr>
          <w:ilvl w:val="1"/>
          <w:numId w:val="12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Tax Matters. </w:t>
      </w:r>
      <w:r>
        <w:rPr>
          <w:rFonts w:ascii="Times New Roman" w:cs="Times New Roman" w:eastAsia="Times New Roman" w:hAnsi="Times New Roman"/>
          <w:sz w:val="21"/>
          <w:szCs w:val="21"/>
          <w:color w:val="auto"/>
        </w:rPr>
        <w:t>This Trust shall not constitute a partnership, joint venture, or an association for federal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income tax purposes. The parties hereto instead intend that the Trust be treated for federal income tax purposes as an investment trust described in Treasury Regulations Section 301.7701-4(c), whereby each Stockholder is treated as a grantor under the grantor trust rules described in Internal Revenue Code Section 671,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 Each Stockholder shall report its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0580"/>
          </w:cols>
          <w:pgMar w:left="360" w:top="1440" w:right="959" w:bottom="1440" w:gutter="0" w:footer="0" w:header="0"/>
        </w:sectPr>
      </w:pPr>
    </w:p>
    <w:bookmarkStart w:id="190" w:name="page191"/>
    <w:bookmarkEnd w:id="190"/>
    <w:p>
      <w:pPr>
        <w:spacing w:after="0" w:line="81"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21"/>
          <w:szCs w:val="21"/>
          <w:color w:val="auto"/>
        </w:rPr>
        <w:t>interest in the Trust in a manner consistent with the foregoing and shall not take any action that would be inconsistent with the foregoing. The Stockholders and the Trustee agree that the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0580"/>
          </w:cols>
          <w:pgMar w:left="360" w:top="1440" w:right="959" w:bottom="1440" w:gutter="0" w:footer="0" w:header="0"/>
        </w:sectPr>
      </w:pPr>
    </w:p>
    <w:bookmarkStart w:id="191" w:name="page192"/>
    <w:bookmarkEnd w:id="191"/>
    <w:p>
      <w:pPr>
        <w:spacing w:after="0" w:line="186" w:lineRule="exact"/>
        <w:rPr>
          <w:sz w:val="20"/>
          <w:szCs w:val="20"/>
          <w:color w:val="auto"/>
        </w:rPr>
      </w:pPr>
    </w:p>
    <w:p>
      <w:pPr>
        <w:ind w:left="600" w:right="600"/>
        <w:spacing w:after="0" w:line="282" w:lineRule="auto"/>
        <w:rPr>
          <w:sz w:val="20"/>
          <w:szCs w:val="20"/>
          <w:color w:val="auto"/>
        </w:rPr>
      </w:pPr>
      <w:r>
        <w:rPr>
          <w:rFonts w:ascii="Times New Roman" w:cs="Times New Roman" w:eastAsia="Times New Roman" w:hAnsi="Times New Roman"/>
          <w:sz w:val="21"/>
          <w:szCs w:val="21"/>
          <w:color w:val="auto"/>
        </w:rPr>
        <w:t>shall not undertake any business activities other than the matters set forth in this Agreement and other activities incidental thereto.</w:t>
      </w:r>
    </w:p>
    <w:p>
      <w:pPr>
        <w:spacing w:after="0" w:line="139" w:lineRule="exact"/>
        <w:rPr>
          <w:sz w:val="20"/>
          <w:szCs w:val="20"/>
          <w:color w:val="auto"/>
        </w:rPr>
      </w:pPr>
    </w:p>
    <w:p>
      <w:pPr>
        <w:ind w:left="1860" w:hanging="632"/>
        <w:spacing w:after="0"/>
        <w:tabs>
          <w:tab w:leader="none" w:pos="1860" w:val="left"/>
        </w:tabs>
        <w:numPr>
          <w:ilvl w:val="0"/>
          <w:numId w:val="1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Notices</w:t>
      </w:r>
      <w:r>
        <w:rPr>
          <w:rFonts w:ascii="Times New Roman" w:cs="Times New Roman" w:eastAsia="Times New Roman" w:hAnsi="Times New Roman"/>
          <w:sz w:val="21"/>
          <w:szCs w:val="21"/>
          <w:color w:val="auto"/>
        </w:rPr>
        <w:t>.</w:t>
      </w:r>
    </w:p>
    <w:p>
      <w:pPr>
        <w:spacing w:after="0" w:line="221" w:lineRule="exact"/>
        <w:rPr>
          <w:sz w:val="20"/>
          <w:szCs w:val="20"/>
          <w:color w:val="auto"/>
        </w:rPr>
      </w:pPr>
    </w:p>
    <w:p>
      <w:pPr>
        <w:jc w:val="both"/>
        <w:ind w:left="600" w:right="20" w:firstLine="627"/>
        <w:spacing w:after="0" w:line="264" w:lineRule="auto"/>
        <w:tabs>
          <w:tab w:leader="none" w:pos="1859"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General</w:t>
      </w:r>
      <w:r>
        <w:rPr>
          <w:rFonts w:ascii="Times New Roman" w:cs="Times New Roman" w:eastAsia="Times New Roman" w:hAnsi="Times New Roman"/>
          <w:sz w:val="21"/>
          <w:szCs w:val="21"/>
          <w:color w:val="auto"/>
        </w:rPr>
        <w:t>. A notice given under this Agreement shall be sent to the attention of the Person, and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physical address or email address, set forth in this </w:t>
      </w:r>
      <w:r>
        <w:rPr>
          <w:rFonts w:ascii="Times New Roman" w:cs="Times New Roman" w:eastAsia="Times New Roman" w:hAnsi="Times New Roman"/>
          <w:sz w:val="21"/>
          <w:szCs w:val="21"/>
          <w:u w:val="single" w:color="auto"/>
          <w:color w:val="auto"/>
        </w:rPr>
        <w:t>Section 7(a)</w:t>
      </w:r>
      <w:r>
        <w:rPr>
          <w:rFonts w:ascii="Times New Roman" w:cs="Times New Roman" w:eastAsia="Times New Roman" w:hAnsi="Times New Roman"/>
          <w:sz w:val="21"/>
          <w:szCs w:val="21"/>
          <w:color w:val="auto"/>
        </w:rPr>
        <w:t xml:space="preserve"> (or such other physical address or email address or Person as the party may notify to the other in accordance with the provisions of this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and shall be delivered personally, sent by email or sent by reputable overnight courier. The addresses for service of notice are:</w:t>
      </w:r>
    </w:p>
    <w:p>
      <w:pPr>
        <w:spacing w:after="0" w:line="16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1"/>
          <w:szCs w:val="21"/>
          <w:color w:val="auto"/>
        </w:rPr>
        <w:t>If to the Stockholders:</w:t>
      </w:r>
    </w:p>
    <w:p>
      <w:pPr>
        <w:spacing w:after="0" w:line="183"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1"/>
          <w:szCs w:val="21"/>
          <w:color w:val="auto"/>
        </w:rPr>
        <w:t>c/o LS Power Equity Advisors, LLC 250 West 55</w:t>
      </w:r>
      <w:r>
        <w:rPr>
          <w:rFonts w:ascii="Times New Roman" w:cs="Times New Roman" w:eastAsia="Times New Roman" w:hAnsi="Times New Roman"/>
          <w:sz w:val="27"/>
          <w:szCs w:val="27"/>
          <w:color w:val="auto"/>
          <w:vertAlign w:val="superscript"/>
        </w:rPr>
        <w:t>th</w:t>
      </w:r>
    </w:p>
    <w:p>
      <w:pPr>
        <w:ind w:left="2500"/>
        <w:spacing w:after="0" w:line="193" w:lineRule="auto"/>
        <w:rPr>
          <w:sz w:val="20"/>
          <w:szCs w:val="20"/>
          <w:color w:val="auto"/>
        </w:rPr>
      </w:pPr>
      <w:r>
        <w:rPr>
          <w:rFonts w:ascii="Times New Roman" w:cs="Times New Roman" w:eastAsia="Times New Roman" w:hAnsi="Times New Roman"/>
          <w:sz w:val="21"/>
          <w:szCs w:val="21"/>
          <w:color w:val="auto"/>
        </w:rPr>
        <w:t>Street, 31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New York, NY 10019</w:t>
      </w:r>
    </w:p>
    <w:p>
      <w:pPr>
        <w:ind w:left="2500"/>
        <w:spacing w:after="0"/>
        <w:rPr>
          <w:sz w:val="20"/>
          <w:szCs w:val="20"/>
          <w:color w:val="auto"/>
        </w:rPr>
      </w:pPr>
      <w:r>
        <w:rPr>
          <w:rFonts w:ascii="Times New Roman" w:cs="Times New Roman" w:eastAsia="Times New Roman" w:hAnsi="Times New Roman"/>
          <w:sz w:val="21"/>
          <w:szCs w:val="21"/>
          <w:color w:val="auto"/>
        </w:rPr>
        <w:t>Attention: General Counsel</w:t>
      </w:r>
    </w:p>
    <w:p>
      <w:pPr>
        <w:spacing w:after="0" w:line="11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1"/>
          <w:szCs w:val="21"/>
          <w:color w:val="auto"/>
        </w:rPr>
        <w:t>Email:</w:t>
      </w:r>
    </w:p>
    <w:p>
      <w:pPr>
        <w:spacing w:after="0" w:line="24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1"/>
          <w:szCs w:val="21"/>
          <w:color w:val="auto"/>
        </w:rPr>
        <w:t>With a copy to:</w:t>
      </w:r>
    </w:p>
    <w:p>
      <w:pPr>
        <w:spacing w:after="0" w:line="12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1"/>
          <w:szCs w:val="21"/>
          <w:color w:val="auto"/>
        </w:rPr>
        <w:t>Milbank LLP</w:t>
      </w:r>
    </w:p>
    <w:p>
      <w:pPr>
        <w:spacing w:after="0" w:line="33"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1"/>
          <w:szCs w:val="21"/>
          <w:color w:val="auto"/>
        </w:rPr>
        <w:t>55 Hudson Yards</w:t>
      </w:r>
    </w:p>
    <w:p>
      <w:pPr>
        <w:spacing w:after="0" w:line="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1"/>
          <w:szCs w:val="21"/>
          <w:color w:val="auto"/>
        </w:rPr>
        <w:t>New York, NY 10001-2163</w:t>
      </w:r>
    </w:p>
    <w:p>
      <w:pPr>
        <w:spacing w:after="0" w:line="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1"/>
          <w:szCs w:val="21"/>
          <w:color w:val="auto"/>
        </w:rPr>
        <w:t>Attention: William Bice; Scott Golenbock</w:t>
      </w:r>
    </w:p>
    <w:p>
      <w:pPr>
        <w:spacing w:after="0" w:line="11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1"/>
          <w:szCs w:val="21"/>
          <w:color w:val="auto"/>
        </w:rPr>
        <w:t>Email:</w:t>
      </w:r>
    </w:p>
    <w:p>
      <w:pPr>
        <w:spacing w:after="0" w:line="24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1"/>
          <w:szCs w:val="21"/>
          <w:color w:val="auto"/>
        </w:rPr>
        <w:t>If to the Trustee:</w:t>
      </w:r>
    </w:p>
    <w:p>
      <w:pPr>
        <w:spacing w:after="0" w:line="10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1"/>
          <w:szCs w:val="21"/>
          <w:color w:val="auto"/>
        </w:rPr>
        <w:t>Wilmington Savings Fund Society, FSB</w:t>
      </w:r>
    </w:p>
    <w:p>
      <w:pPr>
        <w:spacing w:after="0" w:line="1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1"/>
          <w:szCs w:val="21"/>
          <w:color w:val="auto"/>
        </w:rPr>
        <w:t>300 Bellevue Parkway, Suite 300</w:t>
      </w:r>
    </w:p>
    <w:p>
      <w:pPr>
        <w:spacing w:after="0" w:line="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1"/>
          <w:szCs w:val="21"/>
          <w:color w:val="auto"/>
        </w:rPr>
        <w:t>Wilmington, DE 19809</w:t>
      </w:r>
    </w:p>
    <w:p>
      <w:pPr>
        <w:spacing w:after="0" w:line="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1"/>
          <w:szCs w:val="21"/>
          <w:color w:val="auto"/>
        </w:rPr>
        <w:t>Attention: Anita Woolery; Patrick J. Healy</w:t>
      </w:r>
    </w:p>
    <w:p>
      <w:pPr>
        <w:spacing w:after="0" w:line="11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1"/>
          <w:szCs w:val="21"/>
          <w:color w:val="auto"/>
        </w:rPr>
        <w:t>Email:</w:t>
      </w:r>
    </w:p>
    <w:p>
      <w:pPr>
        <w:spacing w:after="0" w:line="24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1"/>
          <w:szCs w:val="21"/>
          <w:color w:val="auto"/>
        </w:rPr>
        <w:t>With a copy to:</w:t>
      </w:r>
    </w:p>
    <w:p>
      <w:pPr>
        <w:spacing w:after="0" w:line="12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1"/>
          <w:szCs w:val="21"/>
          <w:color w:val="auto"/>
        </w:rPr>
        <w:t>Seward &amp; Kissel LLP One Battery Park Plaza</w:t>
      </w:r>
    </w:p>
    <w:p>
      <w:pPr>
        <w:spacing w:after="0" w:line="33"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1"/>
          <w:szCs w:val="21"/>
          <w:color w:val="auto"/>
        </w:rPr>
        <w:t>New York, NY 10004</w:t>
      </w:r>
    </w:p>
    <w:p>
      <w:pPr>
        <w:spacing w:after="0" w:line="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1"/>
          <w:szCs w:val="21"/>
          <w:color w:val="auto"/>
        </w:rPr>
        <w:t>Attention: John R. Asmead Email:</w:t>
      </w:r>
    </w:p>
    <w:p>
      <w:pPr>
        <w:spacing w:after="0" w:line="233" w:lineRule="exact"/>
        <w:rPr>
          <w:sz w:val="20"/>
          <w:szCs w:val="20"/>
          <w:color w:val="auto"/>
        </w:rPr>
      </w:pPr>
    </w:p>
    <w:p>
      <w:pPr>
        <w:jc w:val="both"/>
        <w:ind w:left="600" w:firstLine="627"/>
        <w:spacing w:after="0" w:line="266" w:lineRule="auto"/>
        <w:tabs>
          <w:tab w:leader="none" w:pos="1858"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Delivery</w:t>
      </w:r>
      <w:r>
        <w:rPr>
          <w:rFonts w:ascii="Times New Roman" w:cs="Times New Roman" w:eastAsia="Times New Roman" w:hAnsi="Times New Roman"/>
          <w:sz w:val="21"/>
          <w:szCs w:val="21"/>
          <w:color w:val="auto"/>
        </w:rPr>
        <w:t>. A notice delivered pursuant to this Agreement shall be effective upon receipt and shall be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deemed to have been received if delivered personally or by courier, at the time of delivery; or if sent by email, at the time of transmission,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either case, where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0580"/>
          </w:cols>
          <w:pgMar w:left="360" w:top="1440" w:right="959" w:bottom="1440" w:gutter="0" w:footer="0" w:header="0"/>
        </w:sectPr>
      </w:pPr>
    </w:p>
    <w:bookmarkStart w:id="192" w:name="page193"/>
    <w:bookmarkEnd w:id="19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0099"/>
          </w:cols>
          <w:pgMar w:left="360" w:top="1440" w:right="1440" w:bottom="1440" w:gutter="0" w:footer="0" w:header="0"/>
        </w:sectPr>
      </w:pPr>
    </w:p>
    <w:bookmarkStart w:id="193" w:name="page194"/>
    <w:bookmarkEnd w:id="193"/>
    <w:p>
      <w:pPr>
        <w:spacing w:after="0" w:line="186"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21"/>
          <w:szCs w:val="21"/>
          <w:color w:val="auto"/>
        </w:rPr>
        <w:t>delivery is not within working hours in the place of receipt, then the notice shall be deemed to have been received when business next starts in the place of receipt.</w:t>
      </w:r>
    </w:p>
    <w:p>
      <w:pPr>
        <w:spacing w:after="0" w:line="139" w:lineRule="exact"/>
        <w:rPr>
          <w:sz w:val="20"/>
          <w:szCs w:val="20"/>
          <w:color w:val="auto"/>
        </w:rPr>
      </w:pPr>
    </w:p>
    <w:p>
      <w:pPr>
        <w:jc w:val="both"/>
        <w:ind w:left="600" w:right="100" w:firstLine="627"/>
        <w:spacing w:after="0" w:line="261" w:lineRule="auto"/>
        <w:tabs>
          <w:tab w:leader="none" w:pos="1862" w:val="left"/>
        </w:tabs>
        <w:numPr>
          <w:ilvl w:val="0"/>
          <w:numId w:val="13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Successors and Assigns. </w:t>
      </w:r>
      <w:r>
        <w:rPr>
          <w:rFonts w:ascii="Times New Roman" w:cs="Times New Roman" w:eastAsia="Times New Roman" w:hAnsi="Times New Roman"/>
          <w:sz w:val="21"/>
          <w:szCs w:val="21"/>
          <w:color w:val="auto"/>
        </w:rPr>
        <w:t>The provisions of this Agreement shall be binding upon and inure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benefit of the parties hereto and their respective successors and assigns;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party may assign, delegate or otherwise transfer any of its rights or obligations under this Agreement without the consent of the other parties hereto. Nothing express or implied in this Agreement is intended or shall be construed to confer upon or to provide any Person other than the parties hereto any rights or remedies hereunder or by reason hereof.</w:t>
      </w:r>
    </w:p>
    <w:p>
      <w:pPr>
        <w:spacing w:after="0" w:line="160" w:lineRule="exact"/>
        <w:rPr>
          <w:rFonts w:ascii="Times New Roman" w:cs="Times New Roman" w:eastAsia="Times New Roman" w:hAnsi="Times New Roman"/>
          <w:sz w:val="21"/>
          <w:szCs w:val="21"/>
          <w:b w:val="1"/>
          <w:bCs w:val="1"/>
          <w:color w:val="auto"/>
        </w:rPr>
      </w:pPr>
    </w:p>
    <w:p>
      <w:pPr>
        <w:jc w:val="both"/>
        <w:ind w:left="600" w:right="120" w:firstLine="627"/>
        <w:spacing w:after="0" w:line="267" w:lineRule="auto"/>
        <w:tabs>
          <w:tab w:leader="none" w:pos="1862" w:val="left"/>
        </w:tabs>
        <w:numPr>
          <w:ilvl w:val="0"/>
          <w:numId w:val="13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Entire Agreement. </w:t>
      </w:r>
      <w:r>
        <w:rPr>
          <w:rFonts w:ascii="Times New Roman" w:cs="Times New Roman" w:eastAsia="Times New Roman" w:hAnsi="Times New Roman"/>
          <w:sz w:val="21"/>
          <w:szCs w:val="21"/>
          <w:color w:val="auto"/>
        </w:rPr>
        <w:t>This Agreement constitutes the entire agreement between the parties hereto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pertaining to the subject matter hereof and fully supersedes all prior agreements and understandings, both oral and written, between the parties hereto pertaining to the subject matter hereof.</w:t>
      </w:r>
    </w:p>
    <w:p>
      <w:pPr>
        <w:spacing w:after="0" w:line="154" w:lineRule="exact"/>
        <w:rPr>
          <w:rFonts w:ascii="Times New Roman" w:cs="Times New Roman" w:eastAsia="Times New Roman" w:hAnsi="Times New Roman"/>
          <w:sz w:val="21"/>
          <w:szCs w:val="21"/>
          <w:b w:val="1"/>
          <w:bCs w:val="1"/>
          <w:color w:val="auto"/>
        </w:rPr>
      </w:pPr>
    </w:p>
    <w:p>
      <w:pPr>
        <w:jc w:val="both"/>
        <w:ind w:left="600" w:right="100" w:firstLine="627"/>
        <w:spacing w:after="0" w:line="254" w:lineRule="auto"/>
        <w:tabs>
          <w:tab w:leader="none" w:pos="1862" w:val="left"/>
        </w:tabs>
        <w:numPr>
          <w:ilvl w:val="0"/>
          <w:numId w:val="13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Amendment and Waiver. </w:t>
      </w:r>
      <w:r>
        <w:rPr>
          <w:rFonts w:ascii="Times New Roman" w:cs="Times New Roman" w:eastAsia="Times New Roman" w:hAnsi="Times New Roman"/>
          <w:sz w:val="21"/>
          <w:szCs w:val="21"/>
          <w:color w:val="auto"/>
        </w:rPr>
        <w:t>Any provision of this Agreement may be amended or waived if, but only if,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such amendment or waiver is in writing and is signed, in the case of an amendment, by the Stockholders and the Trustee, or in the case of a waiver, by the party hereto against which the waiver is to be effective. No failure or delay by any party hereto in exercising any right, power or privilege hereunder shall impair such right or remedy or operate or be construed as a waiver or variation thereof or preclude its exercise at any subsequent time nor shall any single or partial exercise of any such right, power or privilege preclude any other or further exercise thereof or the exercise of any other right, power or privilege. The rights and remedies herein provided shall be cumulative and not exclusive of any rights or remedies provided by Applicable Law. The failure of any party hereto at any time to insist upon strict performance of any condition, promise, agreement or understanding set forth in this Agreement shall not be construed as a waiver or relinquishment of the right to insist upon strict performance of the same or any other condition, promise, agreement or understanding at a future time.</w:t>
      </w:r>
    </w:p>
    <w:p>
      <w:pPr>
        <w:spacing w:after="0" w:line="188" w:lineRule="exact"/>
        <w:rPr>
          <w:rFonts w:ascii="Times New Roman" w:cs="Times New Roman" w:eastAsia="Times New Roman" w:hAnsi="Times New Roman"/>
          <w:sz w:val="21"/>
          <w:szCs w:val="21"/>
          <w:b w:val="1"/>
          <w:bCs w:val="1"/>
          <w:color w:val="auto"/>
        </w:rPr>
      </w:pPr>
    </w:p>
    <w:p>
      <w:pPr>
        <w:jc w:val="both"/>
        <w:ind w:left="600" w:right="100" w:firstLine="627"/>
        <w:spacing w:after="0" w:line="255" w:lineRule="auto"/>
        <w:tabs>
          <w:tab w:leader="none" w:pos="1851" w:val="left"/>
        </w:tabs>
        <w:numPr>
          <w:ilvl w:val="0"/>
          <w:numId w:val="13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Severability. </w:t>
      </w:r>
      <w:r>
        <w:rPr>
          <w:rFonts w:ascii="Times New Roman" w:cs="Times New Roman" w:eastAsia="Times New Roman" w:hAnsi="Times New Roman"/>
          <w:sz w:val="21"/>
          <w:szCs w:val="21"/>
          <w:color w:val="auto"/>
        </w:rPr>
        <w:t>Each term, provision, covenant and restriction of this Agreement is severable. If any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 provision, covenant or restriction is held by a court of competent jurisdiction to be invalid, void or unenforceable, (a) it shall have no effect in that respect and the parties hereto shall use commercially reasonable efforts to replace it in that respect with a valid and enforceable substitute term, provision, covenant or restriction (as applicable), the effect of which is as close to its intended effect as possible; and (b)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hereto.</w:t>
      </w:r>
    </w:p>
    <w:p>
      <w:pPr>
        <w:spacing w:after="0" w:line="171" w:lineRule="exact"/>
        <w:rPr>
          <w:rFonts w:ascii="Times New Roman" w:cs="Times New Roman" w:eastAsia="Times New Roman" w:hAnsi="Times New Roman"/>
          <w:sz w:val="21"/>
          <w:szCs w:val="21"/>
          <w:b w:val="1"/>
          <w:bCs w:val="1"/>
          <w:color w:val="auto"/>
        </w:rPr>
      </w:pPr>
    </w:p>
    <w:p>
      <w:pPr>
        <w:ind w:left="600" w:right="120" w:firstLine="627"/>
        <w:spacing w:after="0" w:line="286" w:lineRule="auto"/>
        <w:tabs>
          <w:tab w:leader="none" w:pos="1862" w:val="left"/>
        </w:tabs>
        <w:numPr>
          <w:ilvl w:val="0"/>
          <w:numId w:val="13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Third-Party Rights. </w:t>
      </w:r>
      <w:r>
        <w:rPr>
          <w:rFonts w:ascii="Times New Roman" w:cs="Times New Roman" w:eastAsia="Times New Roman" w:hAnsi="Times New Roman"/>
          <w:sz w:val="21"/>
          <w:szCs w:val="21"/>
          <w:color w:val="auto"/>
        </w:rPr>
        <w:t>Except as otherwise specifically provided herein, no provision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is intended to confer any rights, benefits, remedies, obligations,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0680"/>
          </w:cols>
          <w:pgMar w:left="360" w:top="1440" w:right="859" w:bottom="1440" w:gutter="0" w:footer="0" w:header="0"/>
        </w:sectPr>
      </w:pPr>
    </w:p>
    <w:bookmarkStart w:id="194" w:name="page195"/>
    <w:bookmarkEnd w:id="194"/>
    <w:p>
      <w:pPr>
        <w:spacing w:after="0" w:line="1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liabilities hereunder upon any Person, other than the parties hereto and their respective successors and assigns.</w:t>
      </w:r>
    </w:p>
    <w:p>
      <w:pPr>
        <w:spacing w:after="0" w:line="215" w:lineRule="exact"/>
        <w:rPr>
          <w:sz w:val="20"/>
          <w:szCs w:val="20"/>
          <w:color w:val="auto"/>
        </w:rPr>
      </w:pPr>
    </w:p>
    <w:p>
      <w:pPr>
        <w:jc w:val="both"/>
        <w:ind w:left="600" w:right="20" w:firstLine="627"/>
        <w:spacing w:after="0" w:line="267" w:lineRule="auto"/>
        <w:tabs>
          <w:tab w:leader="none" w:pos="1862" w:val="left"/>
        </w:tabs>
        <w:numPr>
          <w:ilvl w:val="0"/>
          <w:numId w:val="13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Further Assurances. </w:t>
      </w:r>
      <w:r>
        <w:rPr>
          <w:rFonts w:ascii="Times New Roman" w:cs="Times New Roman" w:eastAsia="Times New Roman" w:hAnsi="Times New Roman"/>
          <w:sz w:val="21"/>
          <w:szCs w:val="21"/>
          <w:color w:val="auto"/>
        </w:rPr>
        <w:t>Each Stockholder agrees to provide any further information or take any further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action reasonably requested by the Trustee in order to effect the transactions contemplated hereby in a manner that complies with laws.</w:t>
      </w:r>
    </w:p>
    <w:p>
      <w:pPr>
        <w:spacing w:after="0" w:line="154" w:lineRule="exact"/>
        <w:rPr>
          <w:rFonts w:ascii="Times New Roman" w:cs="Times New Roman" w:eastAsia="Times New Roman" w:hAnsi="Times New Roman"/>
          <w:sz w:val="21"/>
          <w:szCs w:val="21"/>
          <w:b w:val="1"/>
          <w:bCs w:val="1"/>
          <w:color w:val="auto"/>
        </w:rPr>
      </w:pPr>
    </w:p>
    <w:p>
      <w:pPr>
        <w:jc w:val="both"/>
        <w:ind w:left="600" w:right="20" w:firstLine="627"/>
        <w:spacing w:after="0" w:line="273" w:lineRule="auto"/>
        <w:tabs>
          <w:tab w:leader="none" w:pos="1862" w:val="left"/>
        </w:tabs>
        <w:numPr>
          <w:ilvl w:val="0"/>
          <w:numId w:val="13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Counterparts. </w:t>
      </w:r>
      <w:r>
        <w:rPr>
          <w:rFonts w:ascii="Times New Roman" w:cs="Times New Roman" w:eastAsia="Times New Roman" w:hAnsi="Times New Roman"/>
          <w:sz w:val="21"/>
          <w:szCs w:val="21"/>
          <w:color w:val="auto"/>
        </w:rPr>
        <w:t>This Agreement may be executed in any number of multiple counterparts, each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which shall be deemed to be an original copy and all of which shall constitute one agreement, binding on all parties hereto.</w:t>
      </w:r>
    </w:p>
    <w:p>
      <w:pPr>
        <w:spacing w:after="0" w:line="149" w:lineRule="exact"/>
        <w:rPr>
          <w:rFonts w:ascii="Times New Roman" w:cs="Times New Roman" w:eastAsia="Times New Roman" w:hAnsi="Times New Roman"/>
          <w:sz w:val="21"/>
          <w:szCs w:val="21"/>
          <w:b w:val="1"/>
          <w:bCs w:val="1"/>
          <w:color w:val="auto"/>
        </w:rPr>
      </w:pPr>
    </w:p>
    <w:p>
      <w:pPr>
        <w:jc w:val="both"/>
        <w:ind w:left="600" w:right="80" w:firstLine="627"/>
        <w:spacing w:after="0" w:line="261" w:lineRule="auto"/>
        <w:tabs>
          <w:tab w:leader="none" w:pos="1862" w:val="left"/>
        </w:tabs>
        <w:numPr>
          <w:ilvl w:val="0"/>
          <w:numId w:val="13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Governing Law. </w:t>
      </w:r>
      <w:r>
        <w:rPr>
          <w:rFonts w:ascii="Times New Roman" w:cs="Times New Roman" w:eastAsia="Times New Roman" w:hAnsi="Times New Roman"/>
          <w:sz w:val="21"/>
          <w:szCs w:val="21"/>
          <w:color w:val="auto"/>
        </w:rPr>
        <w:t>This Agreement shall be governed by and construed in accordance with the laws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State of Delaware, without regard to the conflicts of law rules of such state (whether of the State of Delaware or any other jurisdiction) that would cause the application of the laws of any jurisdiction other than the State of Delaware.</w:t>
      </w:r>
    </w:p>
    <w:p>
      <w:pPr>
        <w:spacing w:after="0" w:line="173" w:lineRule="exact"/>
        <w:rPr>
          <w:rFonts w:ascii="Times New Roman" w:cs="Times New Roman" w:eastAsia="Times New Roman" w:hAnsi="Times New Roman"/>
          <w:sz w:val="21"/>
          <w:szCs w:val="21"/>
          <w:b w:val="1"/>
          <w:bCs w:val="1"/>
          <w:color w:val="auto"/>
        </w:rPr>
      </w:pPr>
    </w:p>
    <w:p>
      <w:pPr>
        <w:jc w:val="both"/>
        <w:ind w:left="600" w:firstLine="627"/>
        <w:spacing w:after="0" w:line="254" w:lineRule="auto"/>
        <w:tabs>
          <w:tab w:leader="none" w:pos="1862" w:val="left"/>
        </w:tabs>
        <w:numPr>
          <w:ilvl w:val="0"/>
          <w:numId w:val="13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Jurisdiction; Venue. </w:t>
      </w:r>
      <w:r>
        <w:rPr>
          <w:rFonts w:ascii="Times New Roman" w:cs="Times New Roman" w:eastAsia="Times New Roman" w:hAnsi="Times New Roman"/>
          <w:sz w:val="21"/>
          <w:szCs w:val="21"/>
          <w:color w:val="auto"/>
        </w:rPr>
        <w:t>Each party hereto irrevocably submits to the personal jurisdiction of, and agrees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to bring any suit, action or proceeding seeking to enforce any provision of, or based on any matter arising out of or in connection with, this Agreement or the transactions contemplated hereby in the Delaware Court of Chancery in and for New Castle County, or in the event (but only in the event) that such Delaware Court of Chancery does not have subject matter jurisdiction over such dispute, the United States District Court for the District of Delaware, or in the event (but only in the event) that such United States District Court also does not have jurisdiction over such dispute, the Superior Court for New Castle County Delaware (and not to bring any such action in any other court), and further agrees to waive any objection to the laying of venue of any such action in such court and agrees not to plead or claim in any such court that such action brought in any such court has been brought in an inconvenient forum. Process in any such suit, action or proceeding may be served on any party anywhere in the world, whether within or without the jurisdiction of any such court. Without limiting the foregoing, each party hereto agrees that service of process on such party by the notice measures set forth in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shall be deemed effective service of process on such party.</w:t>
      </w:r>
    </w:p>
    <w:p>
      <w:pPr>
        <w:spacing w:after="0" w:line="170" w:lineRule="exact"/>
        <w:rPr>
          <w:rFonts w:ascii="Times New Roman" w:cs="Times New Roman" w:eastAsia="Times New Roman" w:hAnsi="Times New Roman"/>
          <w:sz w:val="21"/>
          <w:szCs w:val="21"/>
          <w:b w:val="1"/>
          <w:bCs w:val="1"/>
          <w:color w:val="auto"/>
        </w:rPr>
      </w:pPr>
    </w:p>
    <w:p>
      <w:pPr>
        <w:jc w:val="both"/>
        <w:ind w:left="600" w:firstLine="627"/>
        <w:spacing w:after="0" w:line="256" w:lineRule="auto"/>
        <w:tabs>
          <w:tab w:leader="none" w:pos="1862" w:val="left"/>
        </w:tabs>
        <w:numPr>
          <w:ilvl w:val="0"/>
          <w:numId w:val="13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Specific Performance. </w:t>
      </w:r>
      <w:r>
        <w:rPr>
          <w:rFonts w:ascii="Times New Roman" w:cs="Times New Roman" w:eastAsia="Times New Roman" w:hAnsi="Times New Roman"/>
          <w:sz w:val="21"/>
          <w:szCs w:val="21"/>
          <w:color w:val="auto"/>
        </w:rPr>
        <w:t>The parties hereto agree that the failure of any party hereto to perform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obligation provided for by this Agreement could result in irreparable damage to the other parties hereto, and that monetary damages alone would not be adequate to compensate the non-defaulting party for its injury. Any party hereto shall therefore be entitled, in addition to any other remedy that may be available, including monetary damages, to obtain specific performance of the terms of this Agreement. If any action is brought by any party hereto to enforce this Agreement, any party hereto against which the action is brought shall waive the defense that there is an adequate remedy at Applicable Law.</w:t>
      </w:r>
    </w:p>
    <w:p>
      <w:pPr>
        <w:spacing w:after="0" w:line="170" w:lineRule="exact"/>
        <w:rPr>
          <w:rFonts w:ascii="Times New Roman" w:cs="Times New Roman" w:eastAsia="Times New Roman" w:hAnsi="Times New Roman"/>
          <w:sz w:val="21"/>
          <w:szCs w:val="21"/>
          <w:b w:val="1"/>
          <w:bCs w:val="1"/>
          <w:color w:val="auto"/>
        </w:rPr>
      </w:pPr>
    </w:p>
    <w:p>
      <w:pPr>
        <w:jc w:val="both"/>
        <w:ind w:left="600" w:firstLine="627"/>
        <w:spacing w:after="0" w:line="261" w:lineRule="auto"/>
        <w:tabs>
          <w:tab w:leader="none" w:pos="1862" w:val="left"/>
        </w:tabs>
        <w:numPr>
          <w:ilvl w:val="0"/>
          <w:numId w:val="13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Certain Rules of Construction. </w:t>
      </w:r>
      <w:r>
        <w:rPr>
          <w:rFonts w:ascii="Times New Roman" w:cs="Times New Roman" w:eastAsia="Times New Roman" w:hAnsi="Times New Roman"/>
          <w:sz w:val="21"/>
          <w:szCs w:val="21"/>
          <w:color w:val="auto"/>
        </w:rPr>
        <w:t>To the fullest extent permitted by law, the parties hereto intend that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ambiguities shall be resolved without reference to which party may have drafted this Agreement. All Section or subsection titles or other captions in this Agreement are for convenience only, and they shall not be deemed part of this Agreement and in no way define, limit, extend or describe the scope or intent of any provisions hereof. All Attachments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0580"/>
          </w:cols>
          <w:pgMar w:left="360" w:top="1440" w:right="959" w:bottom="1440" w:gutter="0" w:footer="0" w:header="0"/>
        </w:sectPr>
      </w:pPr>
    </w:p>
    <w:bookmarkStart w:id="195" w:name="page196"/>
    <w:bookmarkEnd w:id="195"/>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hereto or referred to herein are hereby incorporated in and made a part of this Agreement as if set forth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0099"/>
          </w:cols>
          <w:pgMar w:left="360" w:top="1440" w:right="1440" w:bottom="1440" w:gutter="0" w:footer="0" w:header="0"/>
        </w:sectPr>
      </w:pPr>
    </w:p>
    <w:bookmarkStart w:id="196" w:name="page197"/>
    <w:bookmarkEnd w:id="196"/>
    <w:p>
      <w:pPr>
        <w:spacing w:after="0" w:line="1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full herein. Unless the context otherwise requires: (a) a term has the meaning assigned to it; (b) “or” is not exclusive;</w:t>
      </w:r>
    </w:p>
    <w:p>
      <w:pPr>
        <w:spacing w:after="0" w:line="33" w:lineRule="exact"/>
        <w:rPr>
          <w:sz w:val="20"/>
          <w:szCs w:val="20"/>
          <w:color w:val="auto"/>
        </w:rPr>
      </w:pPr>
    </w:p>
    <w:p>
      <w:pPr>
        <w:jc w:val="both"/>
        <w:ind w:left="600" w:hanging="3"/>
        <w:spacing w:after="0" w:line="251" w:lineRule="auto"/>
        <w:tabs>
          <w:tab w:leader="none" w:pos="918"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words in the singular include the plural, and words in the plural include the singular; (d) provisions apply to successive events and transactions; (e) “herein,” “hereof” and other words of similar import refer to this Agreement as a whole and not to any particular Section, subsection or other subdivision; (f) “include” or “including” shall be deemed to be followed by “without limitation” or “but not limited to” whether or not they are followed by such phrases or words of like import; (g) all references to “Sections” or “subsections” refer to Sections or subsections of this Agreement; (h) any pronoun used in this Agreement shall include the corresponding masculine, feminine or neuter forms; (i) any reference to the discretion of any Person shall be deemed to refer to such Person’s sole and absolute discretion; (j) the word “extent” in the phrase “to the extent” shall mean the degree to which a subject or other theory extends and such phrase shall not mean “if”; (k) references to any statute, law or regulation shall be deemed to refer to such statute, law or regulation as amended from time to time and to any rules or regulations promulgated thereunder; (l) references to any agreement or contract are to that agreement or contract as amended, modified or supplemented from time to time in accordance with the terms thereof; (m) references to any Person include the successors and permitted assigns of that Person, unless context otherwise requires; and (n) whenever this Agreement refers to a number of days, such number shall refer to calendar days unless Business Days are specified. 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by virtue of the authorship of any provision of this Agreement.</w:t>
      </w:r>
    </w:p>
    <w:p>
      <w:pPr>
        <w:spacing w:after="0" w:line="176" w:lineRule="exact"/>
        <w:rPr>
          <w:rFonts w:ascii="Times New Roman" w:cs="Times New Roman" w:eastAsia="Times New Roman" w:hAnsi="Times New Roman"/>
          <w:sz w:val="21"/>
          <w:szCs w:val="21"/>
          <w:color w:val="auto"/>
        </w:rPr>
      </w:pPr>
    </w:p>
    <w:p>
      <w:pPr>
        <w:ind w:left="600" w:right="20" w:firstLine="627"/>
        <w:spacing w:after="0" w:line="286" w:lineRule="auto"/>
        <w:tabs>
          <w:tab w:leader="none" w:pos="1862" w:val="left"/>
        </w:tabs>
        <w:numPr>
          <w:ilvl w:val="1"/>
          <w:numId w:val="13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Definitions. </w:t>
      </w:r>
      <w:r>
        <w:rPr>
          <w:rFonts w:ascii="Times New Roman" w:cs="Times New Roman" w:eastAsia="Times New Roman" w:hAnsi="Times New Roman"/>
          <w:sz w:val="21"/>
          <w:szCs w:val="21"/>
          <w:color w:val="auto"/>
        </w:rPr>
        <w:t>Capitalized words and phrases used and not otherwise defined elsewhere in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shall have the following meanings:</w:t>
      </w:r>
    </w:p>
    <w:p>
      <w:pPr>
        <w:spacing w:after="0" w:line="14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Additional Deposit Date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2(b)</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jc w:val="both"/>
        <w:ind w:left="600" w:firstLine="631"/>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Affiliate</w:t>
      </w:r>
      <w:r>
        <w:rPr>
          <w:rFonts w:ascii="Times New Roman" w:cs="Times New Roman" w:eastAsia="Times New Roman" w:hAnsi="Times New Roman"/>
          <w:sz w:val="21"/>
          <w:szCs w:val="21"/>
          <w:color w:val="auto"/>
        </w:rPr>
        <w:t>” means, with respect to any Person, any other Person directly or indirectly controlling, controlled by, or under common control with such Person, which, for the avoidance of doubt, shall include any Person that would be deemed an “Affiliate” under 18 C.F.R.</w:t>
      </w:r>
    </w:p>
    <w:p>
      <w:pPr>
        <w:spacing w:after="0" w:line="2" w:lineRule="exact"/>
        <w:rPr>
          <w:sz w:val="20"/>
          <w:szCs w:val="20"/>
          <w:color w:val="auto"/>
        </w:rPr>
      </w:pPr>
    </w:p>
    <w:p>
      <w:pPr>
        <w:jc w:val="both"/>
        <w:ind w:left="600" w:hanging="3"/>
        <w:spacing w:after="0" w:line="260" w:lineRule="auto"/>
        <w:tabs>
          <w:tab w:leader="none" w:pos="781"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35.36(a)(9). For purposes of this definition, “control” when used with respect to any Person means the power to direct the management and policies of such Person, directly or indirectly, whether through the ownership of voting securities, by contract or otherwise, and the terms “</w:t>
      </w:r>
      <w:r>
        <w:rPr>
          <w:rFonts w:ascii="Times New Roman" w:cs="Times New Roman" w:eastAsia="Times New Roman" w:hAnsi="Times New Roman"/>
          <w:sz w:val="21"/>
          <w:szCs w:val="21"/>
          <w:b w:val="1"/>
          <w:bCs w:val="1"/>
          <w:color w:val="auto"/>
        </w:rPr>
        <w:t>controlling</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controlled</w:t>
      </w:r>
      <w:r>
        <w:rPr>
          <w:rFonts w:ascii="Times New Roman" w:cs="Times New Roman" w:eastAsia="Times New Roman" w:hAnsi="Times New Roman"/>
          <w:sz w:val="21"/>
          <w:szCs w:val="21"/>
          <w:color w:val="auto"/>
        </w:rPr>
        <w:t>” shall have correlative meanings.</w:t>
      </w:r>
    </w:p>
    <w:p>
      <w:pPr>
        <w:spacing w:after="0" w:line="161" w:lineRule="exact"/>
        <w:rPr>
          <w:sz w:val="20"/>
          <w:szCs w:val="20"/>
          <w:color w:val="auto"/>
        </w:rPr>
      </w:pPr>
    </w:p>
    <w:p>
      <w:pPr>
        <w:jc w:val="both"/>
        <w:ind w:left="600" w:firstLine="631"/>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Applicable Law</w:t>
      </w:r>
      <w:r>
        <w:rPr>
          <w:rFonts w:ascii="Times New Roman" w:cs="Times New Roman" w:eastAsia="Times New Roman" w:hAnsi="Times New Roman"/>
          <w:sz w:val="21"/>
          <w:szCs w:val="21"/>
          <w:color w:val="auto"/>
        </w:rPr>
        <w:t>” means, with respect to any Person, all applicable transnational, domestic or foreign, federal, state or local laws, rules, regulations, ordinances, directives, statutes, treaties, conventions and other agreements between states, or between states and other supranational bodies, rules of common law, and all other laws of, or having an effect in, any jurisdiction from time to time, and any binding injunction, order, decree, judgment or ruling of any Governmental Authority having jurisdiction with respect to such Person, in each case, to the extent that it has the force of law.</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0580"/>
          </w:cols>
          <w:pgMar w:left="360" w:top="1440" w:right="959" w:bottom="1440" w:gutter="0" w:footer="0" w:header="0"/>
        </w:sectPr>
      </w:pPr>
    </w:p>
    <w:bookmarkStart w:id="197" w:name="page198"/>
    <w:bookmarkEnd w:id="197"/>
    <w:p>
      <w:pPr>
        <w:spacing w:after="0" w:line="77" w:lineRule="exact"/>
        <w:rPr>
          <w:sz w:val="20"/>
          <w:szCs w:val="20"/>
          <w:color w:val="auto"/>
        </w:rPr>
      </w:pPr>
    </w:p>
    <w:p>
      <w:pPr>
        <w:jc w:val="both"/>
        <w:ind w:left="600" w:firstLine="631"/>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Beneficial Owner</w:t>
      </w:r>
      <w:r>
        <w:rPr>
          <w:rFonts w:ascii="Times New Roman" w:cs="Times New Roman" w:eastAsia="Times New Roman" w:hAnsi="Times New Roman"/>
          <w:sz w:val="21"/>
          <w:szCs w:val="21"/>
          <w:color w:val="auto"/>
        </w:rPr>
        <w:t>” has the meaning set forth in Rule 13d-3(a) and (b) of the rules and regulations of the Securities Exchange Act of 1934. The term “</w:t>
      </w:r>
      <w:r>
        <w:rPr>
          <w:rFonts w:ascii="Times New Roman" w:cs="Times New Roman" w:eastAsia="Times New Roman" w:hAnsi="Times New Roman"/>
          <w:sz w:val="21"/>
          <w:szCs w:val="21"/>
          <w:b w:val="1"/>
          <w:bCs w:val="1"/>
          <w:color w:val="auto"/>
        </w:rPr>
        <w:t>Beneficially Own</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Beneficially Owned</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Beneficial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Ownership</w:t>
      </w:r>
      <w:r>
        <w:rPr>
          <w:rFonts w:ascii="Times New Roman" w:cs="Times New Roman" w:eastAsia="Times New Roman" w:hAnsi="Times New Roman"/>
          <w:sz w:val="21"/>
          <w:szCs w:val="21"/>
          <w:color w:val="auto"/>
        </w:rPr>
        <w:t>” shall have a correlative meaning.</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0580"/>
          </w:cols>
          <w:pgMar w:left="360" w:top="1440" w:right="959" w:bottom="1440" w:gutter="0" w:footer="0" w:header="0"/>
        </w:sectPr>
      </w:pPr>
    </w:p>
    <w:bookmarkStart w:id="198" w:name="page199"/>
    <w:bookmarkEnd w:id="198"/>
    <w:p>
      <w:pPr>
        <w:spacing w:after="0" w:line="182" w:lineRule="exact"/>
        <w:rPr>
          <w:sz w:val="20"/>
          <w:szCs w:val="20"/>
          <w:color w:val="auto"/>
        </w:rPr>
      </w:pPr>
    </w:p>
    <w:p>
      <w:pPr>
        <w:ind w:left="600" w:right="20" w:firstLine="631"/>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Business Day</w:t>
      </w:r>
      <w:r>
        <w:rPr>
          <w:rFonts w:ascii="Times New Roman" w:cs="Times New Roman" w:eastAsia="Times New Roman" w:hAnsi="Times New Roman"/>
          <w:sz w:val="21"/>
          <w:szCs w:val="21"/>
          <w:color w:val="auto"/>
        </w:rPr>
        <w:t>” means a day, other than a Saturday or Sunday or public holiday in New York, New York, on which banks are open in New York, New York for general commercial business.</w:t>
      </w:r>
    </w:p>
    <w:p>
      <w:pPr>
        <w:spacing w:after="0" w:line="227" w:lineRule="exact"/>
        <w:rPr>
          <w:sz w:val="20"/>
          <w:szCs w:val="20"/>
          <w:color w:val="auto"/>
        </w:rPr>
      </w:pPr>
    </w:p>
    <w:p>
      <w:pPr>
        <w:ind w:left="1220" w:right="2680"/>
        <w:spacing w:after="0" w:line="42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CCS PH Seller</w:t>
      </w:r>
      <w:r>
        <w:rPr>
          <w:rFonts w:ascii="Times New Roman" w:cs="Times New Roman" w:eastAsia="Times New Roman" w:hAnsi="Times New Roman"/>
          <w:sz w:val="21"/>
          <w:szCs w:val="21"/>
          <w:color w:val="auto"/>
        </w:rPr>
        <w:t>” has the meaning set forth in the preamble. “</w:t>
      </w:r>
      <w:r>
        <w:rPr>
          <w:rFonts w:ascii="Times New Roman" w:cs="Times New Roman" w:eastAsia="Times New Roman" w:hAnsi="Times New Roman"/>
          <w:sz w:val="21"/>
          <w:szCs w:val="21"/>
          <w:b w:val="1"/>
          <w:bCs w:val="1"/>
          <w:color w:val="auto"/>
        </w:rPr>
        <w:t>Closing</w:t>
      </w:r>
      <w:r>
        <w:rPr>
          <w:rFonts w:ascii="Times New Roman" w:cs="Times New Roman" w:eastAsia="Times New Roman" w:hAnsi="Times New Roman"/>
          <w:sz w:val="21"/>
          <w:szCs w:val="21"/>
          <w:color w:val="auto"/>
        </w:rPr>
        <w:t>” has the meaning set forth in the recitals.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has the meaning set forth in the preamble.</w:t>
      </w:r>
    </w:p>
    <w:p>
      <w:pPr>
        <w:spacing w:after="0" w:line="3" w:lineRule="exact"/>
        <w:rPr>
          <w:sz w:val="20"/>
          <w:szCs w:val="20"/>
          <w:color w:val="auto"/>
        </w:rPr>
      </w:pPr>
    </w:p>
    <w:p>
      <w:pPr>
        <w:ind w:left="600" w:right="20" w:firstLine="631"/>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Governing Documents</w:t>
      </w:r>
      <w:r>
        <w:rPr>
          <w:rFonts w:ascii="Times New Roman" w:cs="Times New Roman" w:eastAsia="Times New Roman" w:hAnsi="Times New Roman"/>
          <w:sz w:val="21"/>
          <w:szCs w:val="21"/>
          <w:color w:val="auto"/>
        </w:rPr>
        <w:t>” means, as applicable, (a) the articles of association, certificate of formation or incorporation and the bylaws of a corporation, company or other corporate entity,</w:t>
      </w:r>
    </w:p>
    <w:p>
      <w:pPr>
        <w:spacing w:after="0" w:line="1" w:lineRule="exact"/>
        <w:rPr>
          <w:sz w:val="20"/>
          <w:szCs w:val="20"/>
          <w:color w:val="auto"/>
        </w:rPr>
      </w:pPr>
    </w:p>
    <w:p>
      <w:pPr>
        <w:jc w:val="both"/>
        <w:ind w:left="600" w:right="20" w:hanging="3"/>
        <w:spacing w:after="0" w:line="254" w:lineRule="auto"/>
        <w:tabs>
          <w:tab w:leader="none" w:pos="920"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partnership agreement and any statement of partnership of a general partnership, (c) the limited partnership agreement and the certificate or articles of limited partnership of a limited partnership, (d) the operating agreement, limited liability company agreement and the certificate or articles of organization or formation of a limited liability company, and (e) any charter or similar formation document adopted or filed in connection with the creation, formation or organization of any other Person.</w:t>
      </w:r>
    </w:p>
    <w:p>
      <w:pPr>
        <w:spacing w:after="0" w:line="168" w:lineRule="exact"/>
        <w:rPr>
          <w:sz w:val="20"/>
          <w:szCs w:val="20"/>
          <w:color w:val="auto"/>
        </w:rPr>
      </w:pPr>
    </w:p>
    <w:p>
      <w:pPr>
        <w:jc w:val="both"/>
        <w:ind w:left="600" w:firstLine="631"/>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Governmental Authority</w:t>
      </w:r>
      <w:r>
        <w:rPr>
          <w:rFonts w:ascii="Times New Roman" w:cs="Times New Roman" w:eastAsia="Times New Roman" w:hAnsi="Times New Roman"/>
          <w:sz w:val="21"/>
          <w:szCs w:val="21"/>
          <w:color w:val="auto"/>
        </w:rPr>
        <w:t>” means any transnational, national or foreign federal, state, municipal or local government (including any subdivision, court, tribunal, administrative agency, regulatory body or commission, institution or other authority thereof), or any quasi-governmental or private body exercising any regulatory, importing or other governmental or quasi-governmental authority.</w:t>
      </w:r>
    </w:p>
    <w:p>
      <w:pPr>
        <w:spacing w:after="0" w:line="24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Investment Protection Matters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3(c)(i)(6)</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Lightning PH</w:t>
      </w:r>
    </w:p>
    <w:p>
      <w:pPr>
        <w:spacing w:after="0" w:line="21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1"/>
          <w:szCs w:val="21"/>
          <w:b w:val="1"/>
          <w:bCs w:val="1"/>
          <w:color w:val="auto"/>
        </w:rPr>
        <w:t>Seller</w:t>
      </w:r>
      <w:r>
        <w:rPr>
          <w:rFonts w:ascii="Times New Roman" w:cs="Times New Roman" w:eastAsia="Times New Roman" w:hAnsi="Times New Roman"/>
          <w:sz w:val="21"/>
          <w:szCs w:val="21"/>
          <w:color w:val="auto"/>
        </w:rPr>
        <w:t>” has the meaning set forth in the preamble.</w:t>
      </w:r>
    </w:p>
    <w:p>
      <w:pPr>
        <w:spacing w:after="0" w:line="12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Linebacker PH Seller</w:t>
      </w:r>
      <w:r>
        <w:rPr>
          <w:rFonts w:ascii="Times New Roman" w:cs="Times New Roman" w:eastAsia="Times New Roman" w:hAnsi="Times New Roman"/>
          <w:sz w:val="21"/>
          <w:szCs w:val="21"/>
          <w:color w:val="auto"/>
        </w:rPr>
        <w:t>” has the meaning set forth in the preamble.</w:t>
      </w:r>
    </w:p>
    <w:p>
      <w:pPr>
        <w:spacing w:after="0" w:line="219" w:lineRule="exact"/>
        <w:rPr>
          <w:sz w:val="20"/>
          <w:szCs w:val="20"/>
          <w:color w:val="auto"/>
        </w:rPr>
      </w:pPr>
    </w:p>
    <w:p>
      <w:pPr>
        <w:jc w:val="both"/>
        <w:ind w:left="600" w:firstLine="631"/>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Ordinary Distribution</w:t>
      </w:r>
      <w:r>
        <w:rPr>
          <w:rFonts w:ascii="Times New Roman" w:cs="Times New Roman" w:eastAsia="Times New Roman" w:hAnsi="Times New Roman"/>
          <w:sz w:val="21"/>
          <w:szCs w:val="21"/>
          <w:color w:val="auto"/>
        </w:rPr>
        <w:t>” means, with respect to any security, other than a Voting Share Distribution, any dividend or other distribution or any right to receive any dividend or distribution, as a result of any action of the Company, operation of Applicable Law, conversion or exchange of such security or otherwise.</w:t>
      </w:r>
    </w:p>
    <w:p>
      <w:pPr>
        <w:spacing w:after="0" w:line="247" w:lineRule="exact"/>
        <w:rPr>
          <w:sz w:val="20"/>
          <w:szCs w:val="20"/>
          <w:color w:val="auto"/>
        </w:rPr>
      </w:pPr>
    </w:p>
    <w:p>
      <w:pPr>
        <w:ind w:left="1220" w:right="1680"/>
        <w:spacing w:after="0" w:line="41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Original Agreement</w:t>
      </w:r>
      <w:r>
        <w:rPr>
          <w:rFonts w:ascii="Times New Roman" w:cs="Times New Roman" w:eastAsia="Times New Roman" w:hAnsi="Times New Roman"/>
          <w:sz w:val="21"/>
          <w:szCs w:val="21"/>
          <w:color w:val="auto"/>
        </w:rPr>
        <w:t>” has the meaning set forth in the recitals. “</w:t>
      </w:r>
      <w:r>
        <w:rPr>
          <w:rFonts w:ascii="Times New Roman" w:cs="Times New Roman" w:eastAsia="Times New Roman" w:hAnsi="Times New Roman"/>
          <w:sz w:val="21"/>
          <w:szCs w:val="21"/>
          <w:b w:val="1"/>
          <w:bCs w:val="1"/>
          <w:color w:val="auto"/>
        </w:rPr>
        <w:t>Other Subject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Securities</w:t>
      </w:r>
      <w:r>
        <w:rPr>
          <w:rFonts w:ascii="Times New Roman" w:cs="Times New Roman" w:eastAsia="Times New Roman" w:hAnsi="Times New Roman"/>
          <w:sz w:val="21"/>
          <w:szCs w:val="21"/>
          <w:color w:val="auto"/>
        </w:rPr>
        <w:t>” has the meaning set forth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3(d)</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ind w:left="600" w:firstLine="631"/>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means an individual, firm, corporate body (wherever incorporated), partnership, limited liability company, association, joint venture, trust, works council or employee representative body (whether or not having separate legal personality) or other entity or organization, including a government, state or agency of a state or a Governmental Authority.</w:t>
      </w:r>
    </w:p>
    <w:p>
      <w:pPr>
        <w:spacing w:after="0" w:line="265" w:lineRule="exact"/>
        <w:rPr>
          <w:sz w:val="20"/>
          <w:szCs w:val="20"/>
          <w:color w:val="auto"/>
        </w:rPr>
      </w:pPr>
    </w:p>
    <w:p>
      <w:pPr>
        <w:ind w:left="1220" w:right="2720"/>
        <w:spacing w:after="0" w:line="4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PSA</w:t>
      </w:r>
      <w:r>
        <w:rPr>
          <w:rFonts w:ascii="Times New Roman" w:cs="Times New Roman" w:eastAsia="Times New Roman" w:hAnsi="Times New Roman"/>
          <w:sz w:val="21"/>
          <w:szCs w:val="21"/>
          <w:color w:val="auto"/>
        </w:rPr>
        <w:t>” has the meaning set forth in the recitals. “</w:t>
      </w:r>
      <w:r>
        <w:rPr>
          <w:rFonts w:ascii="Times New Roman" w:cs="Times New Roman" w:eastAsia="Times New Roman" w:hAnsi="Times New Roman"/>
          <w:sz w:val="21"/>
          <w:szCs w:val="21"/>
          <w:b w:val="1"/>
          <w:bCs w:val="1"/>
          <w:color w:val="auto"/>
        </w:rPr>
        <w:t>Stockholder</w:t>
      </w:r>
      <w:r>
        <w:rPr>
          <w:rFonts w:ascii="Times New Roman" w:cs="Times New Roman" w:eastAsia="Times New Roman" w:hAnsi="Times New Roman"/>
          <w:sz w:val="21"/>
          <w:szCs w:val="21"/>
          <w:color w:val="auto"/>
        </w:rPr>
        <w:t>” has the meaning set forth in the preamble.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0580"/>
          </w:cols>
          <w:pgMar w:left="360" w:top="1440" w:right="959" w:bottom="1440" w:gutter="0" w:footer="0" w:header="0"/>
        </w:sectPr>
      </w:pPr>
    </w:p>
    <w:bookmarkStart w:id="199" w:name="page200"/>
    <w:bookmarkEnd w:id="199"/>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0099"/>
          </w:cols>
          <w:pgMar w:left="360" w:top="1440" w:right="1440" w:bottom="1440" w:gutter="0" w:footer="0" w:header="0"/>
        </w:sectPr>
      </w:pPr>
    </w:p>
    <w:bookmarkStart w:id="200" w:name="page201"/>
    <w:bookmarkEnd w:id="200"/>
    <w:p>
      <w:pPr>
        <w:spacing w:after="0" w:line="274" w:lineRule="exact"/>
        <w:rPr>
          <w:sz w:val="20"/>
          <w:szCs w:val="20"/>
          <w:color w:val="auto"/>
        </w:rPr>
      </w:pPr>
    </w:p>
    <w:p>
      <w:pPr>
        <w:ind w:left="1220" w:right="2920"/>
        <w:spacing w:after="0" w:line="42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Trust</w:t>
      </w:r>
      <w:r>
        <w:rPr>
          <w:rFonts w:ascii="Times New Roman" w:cs="Times New Roman" w:eastAsia="Times New Roman" w:hAnsi="Times New Roman"/>
          <w:sz w:val="21"/>
          <w:szCs w:val="21"/>
          <w:color w:val="auto"/>
        </w:rPr>
        <w:t>” has the meaning set forth in the preamble. “</w:t>
      </w:r>
      <w:r>
        <w:rPr>
          <w:rFonts w:ascii="Times New Roman" w:cs="Times New Roman" w:eastAsia="Times New Roman" w:hAnsi="Times New Roman"/>
          <w:sz w:val="21"/>
          <w:szCs w:val="21"/>
          <w:b w:val="1"/>
          <w:bCs w:val="1"/>
          <w:color w:val="auto"/>
        </w:rPr>
        <w:t>Trust Register</w:t>
      </w:r>
      <w:r>
        <w:rPr>
          <w:rFonts w:ascii="Times New Roman" w:cs="Times New Roman" w:eastAsia="Times New Roman" w:hAnsi="Times New Roman"/>
          <w:sz w:val="21"/>
          <w:szCs w:val="21"/>
          <w:color w:val="auto"/>
        </w:rPr>
        <w:t>” has the meaning set forth in the recitals. “</w:t>
      </w:r>
      <w:r>
        <w:rPr>
          <w:rFonts w:ascii="Times New Roman" w:cs="Times New Roman" w:eastAsia="Times New Roman" w:hAnsi="Times New Roman"/>
          <w:sz w:val="21"/>
          <w:szCs w:val="21"/>
          <w:b w:val="1"/>
          <w:bCs w:val="1"/>
          <w:color w:val="auto"/>
        </w:rPr>
        <w:t>Trustee</w:t>
      </w:r>
      <w:r>
        <w:rPr>
          <w:rFonts w:ascii="Times New Roman" w:cs="Times New Roman" w:eastAsia="Times New Roman" w:hAnsi="Times New Roman"/>
          <w:sz w:val="21"/>
          <w:szCs w:val="21"/>
          <w:color w:val="auto"/>
        </w:rPr>
        <w:t>” has the meaning set forth in the preamble.</w:t>
      </w:r>
    </w:p>
    <w:p>
      <w:pPr>
        <w:spacing w:after="0" w:line="3" w:lineRule="exact"/>
        <w:rPr>
          <w:sz w:val="20"/>
          <w:szCs w:val="20"/>
          <w:color w:val="auto"/>
        </w:rPr>
      </w:pPr>
    </w:p>
    <w:p>
      <w:pPr>
        <w:jc w:val="both"/>
        <w:ind w:left="600" w:firstLine="631"/>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Voting Share Distribution</w:t>
      </w:r>
      <w:r>
        <w:rPr>
          <w:rFonts w:ascii="Times New Roman" w:cs="Times New Roman" w:eastAsia="Times New Roman" w:hAnsi="Times New Roman"/>
          <w:sz w:val="21"/>
          <w:szCs w:val="21"/>
          <w:color w:val="auto"/>
        </w:rPr>
        <w:t>” means, with respect to any security, any dividend or other distribution or any right to receive any dividend or distribution, as a result of any action of the Company, operation of Applicable Law, conversion or exchange of such security or otherwise, of any Common Stock or other voting securities of the Company or any securities of the Company that are exchangeable or convertible into voting securities of the Company or right to receive any of the foregoing.</w:t>
      </w:r>
    </w:p>
    <w:p>
      <w:pPr>
        <w:spacing w:after="0" w:line="27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Withdrawal Date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2(c)</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Withdrawal</w:t>
      </w:r>
    </w:p>
    <w:p>
      <w:pPr>
        <w:spacing w:after="0" w:line="20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1"/>
          <w:szCs w:val="21"/>
          <w:b w:val="1"/>
          <w:bCs w:val="1"/>
          <w:color w:val="auto"/>
        </w:rPr>
        <w:t>Notice</w:t>
      </w:r>
      <w:r>
        <w:rPr>
          <w:rFonts w:ascii="Times New Roman" w:cs="Times New Roman" w:eastAsia="Times New Roman" w:hAnsi="Times New Roman"/>
          <w:sz w:val="21"/>
          <w:szCs w:val="21"/>
          <w:color w:val="auto"/>
        </w:rPr>
        <w:t>” has the meaning set forth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2(c)</w:t>
      </w:r>
      <w:r>
        <w:rPr>
          <w:rFonts w:ascii="Times New Roman" w:cs="Times New Roman" w:eastAsia="Times New Roman" w:hAnsi="Times New Roman"/>
          <w:sz w:val="21"/>
          <w:szCs w:val="21"/>
          <w:color w:val="auto"/>
        </w:rPr>
        <w:t>.</w:t>
      </w:r>
    </w:p>
    <w:p>
      <w:pPr>
        <w:spacing w:after="0" w:line="12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Remainder of page intentionally blank</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0580"/>
          </w:cols>
          <w:pgMar w:left="360" w:top="1440" w:right="959" w:bottom="1440" w:gutter="0" w:footer="0" w:header="0"/>
        </w:sectPr>
      </w:pPr>
    </w:p>
    <w:bookmarkStart w:id="201" w:name="page202"/>
    <w:bookmarkEnd w:id="201"/>
    <w:p>
      <w:pPr>
        <w:jc w:val="center"/>
        <w:ind w:left="800" w:right="819"/>
        <w:spacing w:after="0" w:line="282" w:lineRule="auto"/>
        <w:rPr>
          <w:sz w:val="20"/>
          <w:szCs w:val="20"/>
          <w:color w:val="auto"/>
        </w:rPr>
      </w:pPr>
      <w:r>
        <w:rPr>
          <w:rFonts w:ascii="Times New Roman" w:cs="Times New Roman" w:eastAsia="Times New Roman" w:hAnsi="Times New Roman"/>
          <w:sz w:val="21"/>
          <w:szCs w:val="21"/>
          <w:color w:val="auto"/>
        </w:rPr>
        <w:t>IN WITNESS WHEREOF, the parties hereto have executed this Amended and Restated Voting Trust Agreement as of the date first above written.</w:t>
      </w:r>
    </w:p>
    <w:p>
      <w:pPr>
        <w:spacing w:after="0" w:line="21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b w:val="1"/>
          <w:bCs w:val="1"/>
          <w:color w:val="auto"/>
        </w:rPr>
        <w:t>Lightning Power Holdings, LLC</w:t>
      </w:r>
    </w:p>
    <w:p>
      <w:pPr>
        <w:spacing w:after="0" w:line="170" w:lineRule="exact"/>
        <w:rPr>
          <w:sz w:val="20"/>
          <w:szCs w:val="20"/>
          <w:color w:val="auto"/>
        </w:rPr>
      </w:pPr>
    </w:p>
    <w:p>
      <w:pPr>
        <w:ind w:left="3380"/>
        <w:spacing w:after="0"/>
        <w:tabs>
          <w:tab w:leader="none" w:pos="396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u w:val="single" w:color="auto"/>
          <w:color w:val="auto"/>
        </w:rPr>
        <w:t>/s/ Darpan Kapadia</w:t>
      </w:r>
    </w:p>
    <w:p>
      <w:pPr>
        <w:ind w:left="3380"/>
        <w:spacing w:after="0" w:line="233" w:lineRule="auto"/>
        <w:rPr>
          <w:sz w:val="20"/>
          <w:szCs w:val="20"/>
          <w:color w:val="auto"/>
        </w:rPr>
      </w:pPr>
      <w:r>
        <w:rPr>
          <w:rFonts w:ascii="Times New Roman" w:cs="Times New Roman" w:eastAsia="Times New Roman" w:hAnsi="Times New Roman"/>
          <w:sz w:val="42"/>
          <w:szCs w:val="42"/>
          <w:color w:val="auto"/>
          <w:vertAlign w:val="superscript"/>
        </w:rPr>
        <w:t>Name:</w:t>
      </w:r>
      <w:r>
        <w:rPr>
          <w:rFonts w:ascii="Times New Roman" w:cs="Times New Roman" w:eastAsia="Times New Roman" w:hAnsi="Times New Roman"/>
          <w:sz w:val="21"/>
          <w:szCs w:val="21"/>
          <w:color w:val="auto"/>
        </w:rPr>
        <w:t xml:space="preserve"> Darpan Kapadia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2531110</wp:posOffset>
            </wp:positionH>
            <wp:positionV relativeFrom="paragraph">
              <wp:posOffset>-57150</wp:posOffset>
            </wp:positionV>
            <wp:extent cx="98361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18">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3380"/>
        <w:spacing w:after="0"/>
        <w:tabs>
          <w:tab w:leader="none" w:pos="40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18"/>
          <w:szCs w:val="18"/>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2531110</wp:posOffset>
            </wp:positionH>
            <wp:positionV relativeFrom="paragraph">
              <wp:posOffset>-36195</wp:posOffset>
            </wp:positionV>
            <wp:extent cx="137033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9">
                      <a:extLst>
                        <a:ext uri="{28A0092B-C50C-407E-A947-70E740481C1C}"/>
                      </a:extLst>
                    </a:blip>
                    <a:srcRect/>
                    <a:stretch>
                      <a:fillRect/>
                    </a:stretch>
                  </pic:blipFill>
                  <pic:spPr bwMode="auto">
                    <a:xfrm>
                      <a:off x="0" y="0"/>
                      <a:ext cx="1370330" cy="8255"/>
                    </a:xfrm>
                    <a:prstGeom prst="rect">
                      <a:avLst/>
                    </a:prstGeom>
                    <a:noFill/>
                  </pic:spPr>
                </pic:pic>
              </a:graphicData>
            </a:graphic>
          </wp:anchor>
        </w:drawing>
      </w:r>
    </w:p>
    <w:p>
      <w:pPr>
        <w:spacing w:after="0" w:line="1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b w:val="1"/>
          <w:bCs w:val="1"/>
          <w:color w:val="auto"/>
        </w:rPr>
        <w:t>Thunder Generation, LLC</w:t>
      </w:r>
    </w:p>
    <w:p>
      <w:pPr>
        <w:spacing w:after="0" w:line="170" w:lineRule="exact"/>
        <w:rPr>
          <w:sz w:val="20"/>
          <w:szCs w:val="20"/>
          <w:color w:val="auto"/>
        </w:rPr>
      </w:pPr>
    </w:p>
    <w:p>
      <w:pPr>
        <w:ind w:left="3380"/>
        <w:spacing w:after="0"/>
        <w:tabs>
          <w:tab w:leader="none" w:pos="3960" w:val="left"/>
        </w:tabs>
        <w:rPr>
          <w:sz w:val="20"/>
          <w:szCs w:val="20"/>
          <w:color w:val="auto"/>
        </w:rPr>
      </w:pPr>
      <w:r>
        <w:rPr>
          <w:rFonts w:ascii="Times New Roman" w:cs="Times New Roman" w:eastAsia="Times New Roman" w:hAnsi="Times New Roman"/>
          <w:sz w:val="21"/>
          <w:szCs w:val="21"/>
          <w:color w:val="auto"/>
        </w:rPr>
        <w:t>By:</w:t>
        <w:tab/>
        <w:t>/s/ Darpan Kapadia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2531110</wp:posOffset>
            </wp:positionH>
            <wp:positionV relativeFrom="paragraph">
              <wp:posOffset>-10160</wp:posOffset>
            </wp:positionV>
            <wp:extent cx="11988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0">
                      <a:extLst>
                        <a:ext uri="{28A0092B-C50C-407E-A947-70E740481C1C}"/>
                      </a:extLst>
                    </a:blip>
                    <a:srcRect/>
                    <a:stretch>
                      <a:fillRect/>
                    </a:stretch>
                  </pic:blipFill>
                  <pic:spPr bwMode="auto">
                    <a:xfrm>
                      <a:off x="0" y="0"/>
                      <a:ext cx="1198880" cy="8255"/>
                    </a:xfrm>
                    <a:prstGeom prst="rect">
                      <a:avLst/>
                    </a:prstGeom>
                    <a:noFill/>
                  </pic:spPr>
                </pic:pic>
              </a:graphicData>
            </a:graphic>
          </wp:anchor>
        </w:drawing>
      </w:r>
    </w:p>
    <w:p>
      <w:pPr>
        <w:spacing w:after="0" w:line="1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 xml:space="preserve">Name: </w:t>
      </w:r>
      <w:r>
        <w:rPr>
          <w:rFonts w:ascii="Times New Roman" w:cs="Times New Roman" w:eastAsia="Times New Roman" w:hAnsi="Times New Roman"/>
          <w:sz w:val="19"/>
          <w:szCs w:val="19"/>
          <w:color w:val="auto"/>
        </w:rPr>
        <w:t>Darpan Kapadia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2531110</wp:posOffset>
            </wp:positionH>
            <wp:positionV relativeFrom="paragraph">
              <wp:posOffset>-9525</wp:posOffset>
            </wp:positionV>
            <wp:extent cx="9067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1">
                      <a:extLst>
                        <a:ext uri="{28A0092B-C50C-407E-A947-70E740481C1C}"/>
                      </a:extLst>
                    </a:blip>
                    <a:srcRect/>
                    <a:stretch>
                      <a:fillRect/>
                    </a:stretch>
                  </pic:blipFill>
                  <pic:spPr bwMode="auto">
                    <a:xfrm>
                      <a:off x="0" y="0"/>
                      <a:ext cx="906780" cy="8255"/>
                    </a:xfrm>
                    <a:prstGeom prst="rect">
                      <a:avLst/>
                    </a:prstGeom>
                    <a:noFill/>
                  </pic:spPr>
                </pic:pic>
              </a:graphicData>
            </a:graphic>
          </wp:anchor>
        </w:drawing>
      </w:r>
    </w:p>
    <w:p>
      <w:pPr>
        <w:spacing w:after="0" w:line="9" w:lineRule="exact"/>
        <w:rPr>
          <w:sz w:val="20"/>
          <w:szCs w:val="20"/>
          <w:color w:val="auto"/>
        </w:rPr>
      </w:pPr>
    </w:p>
    <w:p>
      <w:pPr>
        <w:ind w:left="3380"/>
        <w:spacing w:after="0"/>
        <w:tabs>
          <w:tab w:leader="none" w:pos="40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18"/>
          <w:szCs w:val="18"/>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2531110</wp:posOffset>
            </wp:positionH>
            <wp:positionV relativeFrom="paragraph">
              <wp:posOffset>-22225</wp:posOffset>
            </wp:positionV>
            <wp:extent cx="137033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22">
                      <a:extLst>
                        <a:ext uri="{28A0092B-C50C-407E-A947-70E740481C1C}"/>
                      </a:extLst>
                    </a:blip>
                    <a:srcRect/>
                    <a:stretch>
                      <a:fillRect/>
                    </a:stretch>
                  </pic:blipFill>
                  <pic:spPr bwMode="auto">
                    <a:xfrm>
                      <a:off x="0" y="0"/>
                      <a:ext cx="1370330" cy="8255"/>
                    </a:xfrm>
                    <a:prstGeom prst="rect">
                      <a:avLst/>
                    </a:prstGeom>
                    <a:noFill/>
                  </pic:spPr>
                </pic:pic>
              </a:graphicData>
            </a:graphic>
          </wp:anchor>
        </w:drawing>
      </w:r>
    </w:p>
    <w:p>
      <w:pPr>
        <w:spacing w:after="0" w:line="13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b w:val="1"/>
          <w:bCs w:val="1"/>
          <w:color w:val="auto"/>
        </w:rPr>
        <w:t>CCS Power Holdings, LLC</w:t>
      </w:r>
    </w:p>
    <w:p>
      <w:pPr>
        <w:spacing w:after="0" w:line="170" w:lineRule="exact"/>
        <w:rPr>
          <w:sz w:val="20"/>
          <w:szCs w:val="20"/>
          <w:color w:val="auto"/>
        </w:rPr>
      </w:pPr>
    </w:p>
    <w:p>
      <w:pPr>
        <w:ind w:left="3380"/>
        <w:spacing w:after="0"/>
        <w:tabs>
          <w:tab w:leader="none" w:pos="3960" w:val="left"/>
        </w:tabs>
        <w:rPr>
          <w:sz w:val="20"/>
          <w:szCs w:val="20"/>
          <w:color w:val="auto"/>
        </w:rPr>
      </w:pPr>
      <w:r>
        <w:rPr>
          <w:rFonts w:ascii="Times New Roman" w:cs="Times New Roman" w:eastAsia="Times New Roman" w:hAnsi="Times New Roman"/>
          <w:sz w:val="21"/>
          <w:szCs w:val="21"/>
          <w:color w:val="auto"/>
        </w:rPr>
        <w:t>By:</w:t>
        <w:tab/>
        <w:t>/s/ Alex Staehely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2531110</wp:posOffset>
            </wp:positionH>
            <wp:positionV relativeFrom="paragraph">
              <wp:posOffset>-10160</wp:posOffset>
            </wp:positionV>
            <wp:extent cx="10807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3">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spacing w:after="0" w:line="1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 xml:space="preserve">Name: </w:t>
      </w:r>
      <w:r>
        <w:rPr>
          <w:rFonts w:ascii="Times New Roman" w:cs="Times New Roman" w:eastAsia="Times New Roman" w:hAnsi="Times New Roman"/>
          <w:sz w:val="16"/>
          <w:szCs w:val="16"/>
          <w:color w:val="auto"/>
        </w:rPr>
        <w:t>Alex Staehely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2531110</wp:posOffset>
            </wp:positionH>
            <wp:positionV relativeFrom="paragraph">
              <wp:posOffset>-1905</wp:posOffset>
            </wp:positionV>
            <wp:extent cx="6946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4">
                      <a:extLst>
                        <a:ext uri="{28A0092B-C50C-407E-A947-70E740481C1C}"/>
                      </a:extLst>
                    </a:blip>
                    <a:srcRect/>
                    <a:stretch>
                      <a:fillRect/>
                    </a:stretch>
                  </pic:blipFill>
                  <pic:spPr bwMode="auto">
                    <a:xfrm>
                      <a:off x="0" y="0"/>
                      <a:ext cx="694690" cy="8255"/>
                    </a:xfrm>
                    <a:prstGeom prst="rect">
                      <a:avLst/>
                    </a:prstGeom>
                    <a:noFill/>
                  </pic:spPr>
                </pic:pic>
              </a:graphicData>
            </a:graphic>
          </wp:anchor>
        </w:drawing>
      </w:r>
    </w:p>
    <w:p>
      <w:pPr>
        <w:spacing w:after="0" w:line="14" w:lineRule="exact"/>
        <w:rPr>
          <w:sz w:val="20"/>
          <w:szCs w:val="20"/>
          <w:color w:val="auto"/>
        </w:rPr>
      </w:pPr>
    </w:p>
    <w:p>
      <w:pPr>
        <w:ind w:left="3380"/>
        <w:spacing w:after="0"/>
        <w:tabs>
          <w:tab w:leader="none" w:pos="40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19"/>
          <w:szCs w:val="19"/>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2531110</wp:posOffset>
            </wp:positionH>
            <wp:positionV relativeFrom="paragraph">
              <wp:posOffset>-26035</wp:posOffset>
            </wp:positionV>
            <wp:extent cx="107759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5">
                      <a:extLst>
                        <a:ext uri="{28A0092B-C50C-407E-A947-70E740481C1C}"/>
                      </a:extLst>
                    </a:blip>
                    <a:srcRect/>
                    <a:stretch>
                      <a:fillRect/>
                    </a:stretch>
                  </pic:blipFill>
                  <pic:spPr bwMode="auto">
                    <a:xfrm>
                      <a:off x="0" y="0"/>
                      <a:ext cx="1077595" cy="8255"/>
                    </a:xfrm>
                    <a:prstGeom prst="rect">
                      <a:avLst/>
                    </a:prstGeom>
                    <a:noFill/>
                  </pic:spPr>
                </pic:pic>
              </a:graphicData>
            </a:graphic>
          </wp:anchor>
        </w:drawing>
      </w:r>
    </w:p>
    <w:p>
      <w:pPr>
        <w:spacing w:after="0" w:line="14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b w:val="1"/>
          <w:bCs w:val="1"/>
          <w:color w:val="auto"/>
        </w:rPr>
        <w:t>Wilmington Savings Fund Society,</w:t>
      </w:r>
    </w:p>
    <w:p>
      <w:pPr>
        <w:spacing w:after="0" w:line="3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b w:val="1"/>
          <w:bCs w:val="1"/>
          <w:color w:val="auto"/>
        </w:rPr>
        <w:t xml:space="preserve">FSB, </w:t>
      </w:r>
      <w:r>
        <w:rPr>
          <w:rFonts w:ascii="Times New Roman" w:cs="Times New Roman" w:eastAsia="Times New Roman" w:hAnsi="Times New Roman"/>
          <w:sz w:val="21"/>
          <w:szCs w:val="21"/>
          <w:color w:val="auto"/>
        </w:rPr>
        <w:t>as Trustee</w:t>
      </w:r>
    </w:p>
    <w:p>
      <w:pPr>
        <w:spacing w:after="0" w:line="7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2531110</wp:posOffset>
            </wp:positionH>
            <wp:positionV relativeFrom="paragraph">
              <wp:posOffset>-10160</wp:posOffset>
            </wp:positionV>
            <wp:extent cx="16700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6">
                      <a:extLst>
                        <a:ext uri="{28A0092B-C50C-407E-A947-70E740481C1C}"/>
                      </a:extLst>
                    </a:blip>
                    <a:srcRect/>
                    <a:stretch>
                      <a:fillRect/>
                    </a:stretch>
                  </pic:blipFill>
                  <pic:spPr bwMode="auto">
                    <a:xfrm>
                      <a:off x="0" y="0"/>
                      <a:ext cx="167005" cy="8255"/>
                    </a:xfrm>
                    <a:prstGeom prst="rect">
                      <a:avLst/>
                    </a:prstGeom>
                    <a:noFill/>
                  </pic:spPr>
                </pic:pic>
              </a:graphicData>
            </a:graphic>
          </wp:anchor>
        </w:drawing>
      </w:r>
    </w:p>
    <w:p>
      <w:pPr>
        <w:spacing w:after="0" w:line="1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2531110</wp:posOffset>
            </wp:positionH>
            <wp:positionV relativeFrom="paragraph">
              <wp:posOffset>-10160</wp:posOffset>
            </wp:positionV>
            <wp:extent cx="16700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27">
                      <a:extLst>
                        <a:ext uri="{28A0092B-C50C-407E-A947-70E740481C1C}"/>
                      </a:extLst>
                    </a:blip>
                    <a:srcRect/>
                    <a:stretch>
                      <a:fillRect/>
                    </a:stretch>
                  </pic:blipFill>
                  <pic:spPr bwMode="auto">
                    <a:xfrm>
                      <a:off x="0" y="0"/>
                      <a:ext cx="167005" cy="8255"/>
                    </a:xfrm>
                    <a:prstGeom prst="rect">
                      <a:avLst/>
                    </a:prstGeom>
                    <a:noFill/>
                  </pic:spPr>
                </pic:pic>
              </a:graphicData>
            </a:graphic>
          </wp:anchor>
        </w:drawing>
      </w:r>
    </w:p>
    <w:p>
      <w:pPr>
        <w:spacing w:after="0" w:line="1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2531110</wp:posOffset>
            </wp:positionH>
            <wp:positionV relativeFrom="paragraph">
              <wp:posOffset>-17780</wp:posOffset>
            </wp:positionV>
            <wp:extent cx="16700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8">
                      <a:extLst>
                        <a:ext uri="{28A0092B-C50C-407E-A947-70E740481C1C}"/>
                      </a:extLst>
                    </a:blip>
                    <a:srcRect/>
                    <a:stretch>
                      <a:fillRect/>
                    </a:stretch>
                  </pic:blipFill>
                  <pic:spPr bwMode="auto">
                    <a:xfrm>
                      <a:off x="0" y="0"/>
                      <a:ext cx="167005" cy="8255"/>
                    </a:xfrm>
                    <a:prstGeom prst="rect">
                      <a:avLst/>
                    </a:prstGeom>
                    <a:noFill/>
                  </pic:spPr>
                </pic:pic>
              </a:graphicData>
            </a:graphic>
          </wp:anchor>
        </w:drawing>
      </w:r>
    </w:p>
    <w:p>
      <w:pPr>
        <w:sectPr>
          <w:pgSz w:w="11900" w:h="16838" w:orient="portrait"/>
          <w:cols w:equalWidth="0" w:num="1">
            <w:col w:w="9019"/>
          </w:cols>
          <w:pgMar w:left="1440" w:top="1389" w:right="1440" w:bottom="1440" w:gutter="0" w:footer="0" w:header="0"/>
        </w:sectPr>
      </w:pPr>
    </w:p>
    <w:bookmarkStart w:id="202" w:name="page203"/>
    <w:bookmarkEnd w:id="202"/>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to Amended and Restated Voting Trust Agreement]</w:t>
      </w:r>
    </w:p>
    <w:p>
      <w:pPr>
        <w:sectPr>
          <w:pgSz w:w="11900" w:h="16838" w:orient="portrait"/>
          <w:cols w:equalWidth="0" w:num="1">
            <w:col w:w="9019"/>
          </w:cols>
          <w:pgMar w:left="1440" w:top="1440" w:right="1440" w:bottom="1440" w:gutter="0" w:footer="0" w:header="0"/>
        </w:sectPr>
      </w:pPr>
    </w:p>
    <w:bookmarkStart w:id="203" w:name="page204"/>
    <w:bookmarkEnd w:id="203"/>
    <w:p>
      <w:pPr>
        <w:jc w:val="center"/>
        <w:ind w:left="800" w:right="819"/>
        <w:spacing w:after="0" w:line="282" w:lineRule="auto"/>
        <w:rPr>
          <w:sz w:val="20"/>
          <w:szCs w:val="20"/>
          <w:color w:val="auto"/>
        </w:rPr>
      </w:pPr>
      <w:r>
        <w:rPr>
          <w:rFonts w:ascii="Times New Roman" w:cs="Times New Roman" w:eastAsia="Times New Roman" w:hAnsi="Times New Roman"/>
          <w:sz w:val="21"/>
          <w:szCs w:val="21"/>
          <w:color w:val="auto"/>
        </w:rPr>
        <w:t>IN WITNESS WHEREOF, the parties hereto have executed this Amended and Restated Voting Trust Agreement as of the date first above written.</w:t>
      </w:r>
    </w:p>
    <w:p>
      <w:pPr>
        <w:spacing w:after="0" w:line="218" w:lineRule="exact"/>
        <w:rPr>
          <w:sz w:val="20"/>
          <w:szCs w:val="20"/>
          <w:color w:val="auto"/>
        </w:rPr>
      </w:pPr>
    </w:p>
    <w:p>
      <w:pPr>
        <w:ind w:left="3380"/>
        <w:spacing w:after="0"/>
        <w:tabs>
          <w:tab w:leader="none" w:pos="4460" w:val="left"/>
          <w:tab w:leader="none" w:pos="5220" w:val="left"/>
        </w:tabs>
        <w:rPr>
          <w:sz w:val="20"/>
          <w:szCs w:val="20"/>
          <w:color w:val="auto"/>
        </w:rPr>
      </w:pPr>
      <w:r>
        <w:rPr>
          <w:rFonts w:ascii="Times New Roman" w:cs="Times New Roman" w:eastAsia="Times New Roman" w:hAnsi="Times New Roman"/>
          <w:sz w:val="21"/>
          <w:szCs w:val="21"/>
          <w:b w:val="1"/>
          <w:bCs w:val="1"/>
          <w:color w:val="auto"/>
        </w:rPr>
        <w:t>Lightning</w:t>
        <w:tab/>
        <w:t>Power</w:t>
        <w:tab/>
        <w:t>Holdings,</w:t>
      </w:r>
    </w:p>
    <w:p>
      <w:pPr>
        <w:spacing w:after="0" w:line="2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b w:val="1"/>
          <w:bCs w:val="1"/>
          <w:color w:val="auto"/>
        </w:rPr>
        <w:t>LLC</w:t>
      </w:r>
    </w:p>
    <w:p>
      <w:pPr>
        <w:spacing w:after="0" w:line="11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-10160</wp:posOffset>
            </wp:positionV>
            <wp:extent cx="16700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9">
                      <a:extLst>
                        <a:ext uri="{28A0092B-C50C-407E-A947-70E740481C1C}"/>
                      </a:extLst>
                    </a:blip>
                    <a:srcRect/>
                    <a:stretch>
                      <a:fillRect/>
                    </a:stretch>
                  </pic:blipFill>
                  <pic:spPr bwMode="auto">
                    <a:xfrm>
                      <a:off x="0" y="0"/>
                      <a:ext cx="167005" cy="8255"/>
                    </a:xfrm>
                    <a:prstGeom prst="rect">
                      <a:avLst/>
                    </a:prstGeom>
                    <a:noFill/>
                  </pic:spPr>
                </pic:pic>
              </a:graphicData>
            </a:graphic>
          </wp:anchor>
        </w:drawing>
      </w:r>
    </w:p>
    <w:p>
      <w:pPr>
        <w:spacing w:after="0" w:line="2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-10160</wp:posOffset>
            </wp:positionV>
            <wp:extent cx="16700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30">
                      <a:extLst>
                        <a:ext uri="{28A0092B-C50C-407E-A947-70E740481C1C}"/>
                      </a:extLst>
                    </a:blip>
                    <a:srcRect/>
                    <a:stretch>
                      <a:fillRect/>
                    </a:stretch>
                  </pic:blipFill>
                  <pic:spPr bwMode="auto">
                    <a:xfrm>
                      <a:off x="0" y="0"/>
                      <a:ext cx="167005" cy="8255"/>
                    </a:xfrm>
                    <a:prstGeom prst="rect">
                      <a:avLst/>
                    </a:prstGeom>
                    <a:noFill/>
                  </pic:spPr>
                </pic:pic>
              </a:graphicData>
            </a:graphic>
          </wp:anchor>
        </w:drawing>
      </w:r>
    </w:p>
    <w:p>
      <w:pPr>
        <w:spacing w:after="0" w:line="1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-10160</wp:posOffset>
            </wp:positionV>
            <wp:extent cx="16700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31">
                      <a:extLst>
                        <a:ext uri="{28A0092B-C50C-407E-A947-70E740481C1C}"/>
                      </a:extLst>
                    </a:blip>
                    <a:srcRect/>
                    <a:stretch>
                      <a:fillRect/>
                    </a:stretch>
                  </pic:blipFill>
                  <pic:spPr bwMode="auto">
                    <a:xfrm>
                      <a:off x="0" y="0"/>
                      <a:ext cx="167005" cy="8255"/>
                    </a:xfrm>
                    <a:prstGeom prst="rect">
                      <a:avLst/>
                    </a:prstGeom>
                    <a:noFill/>
                  </pic:spPr>
                </pic:pic>
              </a:graphicData>
            </a:graphic>
          </wp:anchor>
        </w:drawing>
      </w:r>
    </w:p>
    <w:p>
      <w:pPr>
        <w:spacing w:after="0" w:line="15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b w:val="1"/>
          <w:bCs w:val="1"/>
          <w:color w:val="auto"/>
        </w:rPr>
        <w:t>Linebacker Power Holdings,</w:t>
      </w:r>
    </w:p>
    <w:p>
      <w:pPr>
        <w:spacing w:after="0" w:line="3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b w:val="1"/>
          <w:bCs w:val="1"/>
          <w:color w:val="auto"/>
        </w:rPr>
        <w:t>LLC</w:t>
      </w:r>
    </w:p>
    <w:p>
      <w:pPr>
        <w:spacing w:after="0" w:line="14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-10160</wp:posOffset>
            </wp:positionV>
            <wp:extent cx="16700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32">
                      <a:extLst>
                        <a:ext uri="{28A0092B-C50C-407E-A947-70E740481C1C}"/>
                      </a:extLst>
                    </a:blip>
                    <a:srcRect/>
                    <a:stretch>
                      <a:fillRect/>
                    </a:stretch>
                  </pic:blipFill>
                  <pic:spPr bwMode="auto">
                    <a:xfrm>
                      <a:off x="0" y="0"/>
                      <a:ext cx="167005" cy="8255"/>
                    </a:xfrm>
                    <a:prstGeom prst="rect">
                      <a:avLst/>
                    </a:prstGeom>
                    <a:noFill/>
                  </pic:spPr>
                </pic:pic>
              </a:graphicData>
            </a:graphic>
          </wp:anchor>
        </w:drawing>
      </w:r>
    </w:p>
    <w:p>
      <w:pPr>
        <w:spacing w:after="0" w:line="1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-10160</wp:posOffset>
            </wp:positionV>
            <wp:extent cx="16700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33">
                      <a:extLst>
                        <a:ext uri="{28A0092B-C50C-407E-A947-70E740481C1C}"/>
                      </a:extLst>
                    </a:blip>
                    <a:srcRect/>
                    <a:stretch>
                      <a:fillRect/>
                    </a:stretch>
                  </pic:blipFill>
                  <pic:spPr bwMode="auto">
                    <a:xfrm>
                      <a:off x="0" y="0"/>
                      <a:ext cx="167005" cy="8255"/>
                    </a:xfrm>
                    <a:prstGeom prst="rect">
                      <a:avLst/>
                    </a:prstGeom>
                    <a:noFill/>
                  </pic:spPr>
                </pic:pic>
              </a:graphicData>
            </a:graphic>
          </wp:anchor>
        </w:drawing>
      </w:r>
    </w:p>
    <w:p>
      <w:pPr>
        <w:spacing w:after="0" w:line="1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-10160</wp:posOffset>
            </wp:positionV>
            <wp:extent cx="16700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34">
                      <a:extLst>
                        <a:ext uri="{28A0092B-C50C-407E-A947-70E740481C1C}"/>
                      </a:extLst>
                    </a:blip>
                    <a:srcRect/>
                    <a:stretch>
                      <a:fillRect/>
                    </a:stretch>
                  </pic:blipFill>
                  <pic:spPr bwMode="auto">
                    <a:xfrm>
                      <a:off x="0" y="0"/>
                      <a:ext cx="167005" cy="8255"/>
                    </a:xfrm>
                    <a:prstGeom prst="rect">
                      <a:avLst/>
                    </a:prstGeom>
                    <a:noFill/>
                  </pic:spPr>
                </pic:pic>
              </a:graphicData>
            </a:graphic>
          </wp:anchor>
        </w:drawing>
      </w:r>
    </w:p>
    <w:p>
      <w:pPr>
        <w:spacing w:after="0" w:line="15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b w:val="1"/>
          <w:bCs w:val="1"/>
          <w:color w:val="auto"/>
        </w:rPr>
        <w:t>CCS Power Holdings, LLC</w:t>
      </w:r>
    </w:p>
    <w:p>
      <w:pPr>
        <w:spacing w:after="0" w:line="17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-10160</wp:posOffset>
            </wp:positionV>
            <wp:extent cx="16700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35">
                      <a:extLst>
                        <a:ext uri="{28A0092B-C50C-407E-A947-70E740481C1C}"/>
                      </a:extLst>
                    </a:blip>
                    <a:srcRect/>
                    <a:stretch>
                      <a:fillRect/>
                    </a:stretch>
                  </pic:blipFill>
                  <pic:spPr bwMode="auto">
                    <a:xfrm>
                      <a:off x="0" y="0"/>
                      <a:ext cx="167005" cy="8255"/>
                    </a:xfrm>
                    <a:prstGeom prst="rect">
                      <a:avLst/>
                    </a:prstGeom>
                    <a:noFill/>
                  </pic:spPr>
                </pic:pic>
              </a:graphicData>
            </a:graphic>
          </wp:anchor>
        </w:drawing>
      </w:r>
    </w:p>
    <w:p>
      <w:pPr>
        <w:spacing w:after="0" w:line="1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-10160</wp:posOffset>
            </wp:positionV>
            <wp:extent cx="16700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36">
                      <a:extLst>
                        <a:ext uri="{28A0092B-C50C-407E-A947-70E740481C1C}"/>
                      </a:extLst>
                    </a:blip>
                    <a:srcRect/>
                    <a:stretch>
                      <a:fillRect/>
                    </a:stretch>
                  </pic:blipFill>
                  <pic:spPr bwMode="auto">
                    <a:xfrm>
                      <a:off x="0" y="0"/>
                      <a:ext cx="167005" cy="8255"/>
                    </a:xfrm>
                    <a:prstGeom prst="rect">
                      <a:avLst/>
                    </a:prstGeom>
                    <a:noFill/>
                  </pic:spPr>
                </pic:pic>
              </a:graphicData>
            </a:graphic>
          </wp:anchor>
        </w:drawing>
      </w:r>
    </w:p>
    <w:p>
      <w:pPr>
        <w:spacing w:after="0" w:line="1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-10160</wp:posOffset>
            </wp:positionV>
            <wp:extent cx="16700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37">
                      <a:extLst>
                        <a:ext uri="{28A0092B-C50C-407E-A947-70E740481C1C}"/>
                      </a:extLst>
                    </a:blip>
                    <a:srcRect/>
                    <a:stretch>
                      <a:fillRect/>
                    </a:stretch>
                  </pic:blipFill>
                  <pic:spPr bwMode="auto">
                    <a:xfrm>
                      <a:off x="0" y="0"/>
                      <a:ext cx="167005" cy="8255"/>
                    </a:xfrm>
                    <a:prstGeom prst="rect">
                      <a:avLst/>
                    </a:prstGeom>
                    <a:noFill/>
                  </pic:spPr>
                </pic:pic>
              </a:graphicData>
            </a:graphic>
          </wp:anchor>
        </w:drawing>
      </w:r>
    </w:p>
    <w:p>
      <w:pPr>
        <w:spacing w:after="0" w:line="142" w:lineRule="exact"/>
        <w:rPr>
          <w:sz w:val="20"/>
          <w:szCs w:val="20"/>
          <w:color w:val="auto"/>
        </w:rPr>
      </w:pPr>
    </w:p>
    <w:p>
      <w:pPr>
        <w:ind w:left="3380"/>
        <w:spacing w:after="0"/>
        <w:tabs>
          <w:tab w:leader="none" w:pos="4680" w:val="left"/>
          <w:tab w:leader="none" w:pos="5600" w:val="left"/>
        </w:tabs>
        <w:rPr>
          <w:sz w:val="20"/>
          <w:szCs w:val="20"/>
          <w:color w:val="auto"/>
        </w:rPr>
      </w:pPr>
      <w:r>
        <w:rPr>
          <w:rFonts w:ascii="Times New Roman" w:cs="Times New Roman" w:eastAsia="Times New Roman" w:hAnsi="Times New Roman"/>
          <w:sz w:val="21"/>
          <w:szCs w:val="21"/>
          <w:b w:val="1"/>
          <w:bCs w:val="1"/>
          <w:color w:val="auto"/>
        </w:rPr>
        <w:t>Wilmington</w:t>
        <w:tab/>
        <w:t>Savings</w:t>
        <w:tab/>
        <w:t>Fund</w:t>
      </w:r>
    </w:p>
    <w:p>
      <w:pPr>
        <w:spacing w:after="0" w:line="3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b w:val="1"/>
          <w:bCs w:val="1"/>
          <w:color w:val="auto"/>
        </w:rPr>
        <w:t xml:space="preserve">Society, FSB, </w:t>
      </w:r>
      <w:r>
        <w:rPr>
          <w:rFonts w:ascii="Times New Roman" w:cs="Times New Roman" w:eastAsia="Times New Roman" w:hAnsi="Times New Roman"/>
          <w:sz w:val="21"/>
          <w:szCs w:val="21"/>
          <w:color w:val="auto"/>
        </w:rPr>
        <w:t>as Trustee</w:t>
      </w:r>
    </w:p>
    <w:p>
      <w:pPr>
        <w:spacing w:after="0" w:line="45" w:lineRule="exact"/>
        <w:rPr>
          <w:sz w:val="20"/>
          <w:szCs w:val="20"/>
          <w:color w:val="auto"/>
        </w:rPr>
      </w:pPr>
    </w:p>
    <w:tbl>
      <w:tblPr>
        <w:tblLayout w:type="fixed"/>
        <w:tblInd w:w="3380" w:type="dxa"/>
        <w:tblCellMar>
          <w:top w:w="0" w:type="dxa"/>
          <w:left w:w="0" w:type="dxa"/>
          <w:bottom w:w="0" w:type="dxa"/>
          <w:right w:w="0" w:type="dxa"/>
        </w:tblCellMar>
      </w:tblPr>
      <w:tr>
        <w:trPr>
          <w:trHeight w:val="241"/>
        </w:trPr>
        <w:tc>
          <w:tcPr>
            <w:tcW w:w="62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17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/s/ Anita Woolery</w:t>
            </w:r>
          </w:p>
        </w:tc>
      </w:tr>
      <w:tr>
        <w:trPr>
          <w:trHeight w:val="243"/>
        </w:trPr>
        <w:tc>
          <w:tcPr>
            <w:tcW w:w="238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Name: Anita Woolery</w:t>
            </w:r>
          </w:p>
        </w:tc>
      </w:tr>
      <w:tr>
        <w:trPr>
          <w:trHeight w:val="256"/>
        </w:trPr>
        <w:tc>
          <w:tcPr>
            <w:tcW w:w="62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14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Vice President</w:t>
            </w:r>
          </w:p>
        </w:tc>
        <w:tc>
          <w:tcPr>
            <w:tcW w:w="2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r>
    </w:tbl>
    <w:p>
      <w:pPr>
        <w:sectPr>
          <w:pgSz w:w="11900" w:h="16838" w:orient="portrait"/>
          <w:cols w:equalWidth="0" w:num="1">
            <w:col w:w="9019"/>
          </w:cols>
          <w:pgMar w:left="1440" w:top="1389" w:right="1440" w:bottom="1440" w:gutter="0" w:footer="0" w:header="0"/>
        </w:sectPr>
      </w:pPr>
    </w:p>
    <w:bookmarkStart w:id="204" w:name="page205"/>
    <w:bookmarkEnd w:id="204"/>
    <w:p>
      <w:pPr>
        <w:ind w:left="1080"/>
        <w:spacing w:after="0"/>
        <w:rPr>
          <w:sz w:val="20"/>
          <w:szCs w:val="20"/>
          <w:color w:val="auto"/>
        </w:rPr>
      </w:pPr>
      <w:r>
        <w:rPr>
          <w:rFonts w:ascii="Times New Roman" w:cs="Times New Roman" w:eastAsia="Times New Roman" w:hAnsi="Times New Roman"/>
          <w:sz w:val="20"/>
          <w:szCs w:val="20"/>
          <w:i w:val="1"/>
          <w:iCs w:val="1"/>
          <w:color w:val="auto"/>
        </w:rPr>
        <w:t>[Signature Page to Amended and Restated Voting Trust Agreement]</w:t>
      </w:r>
    </w:p>
    <w:p>
      <w:pPr>
        <w:sectPr>
          <w:pgSz w:w="11900" w:h="16838" w:orient="portrait"/>
          <w:cols w:equalWidth="0" w:num="1">
            <w:col w:w="9019"/>
          </w:cols>
          <w:pgMar w:left="1440" w:top="1308" w:right="1440" w:bottom="1440" w:gutter="0" w:footer="0" w:header="0"/>
        </w:sectPr>
      </w:pPr>
    </w:p>
    <w:bookmarkStart w:id="205" w:name="page206"/>
    <w:bookmarkEnd w:id="20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06" w:name="page207"/>
    <w:bookmarkEnd w:id="206"/>
    <w:p>
      <w:pPr>
        <w:ind w:left="1760" w:right="500"/>
        <w:spacing w:after="0" w:line="321" w:lineRule="auto"/>
        <w:rPr>
          <w:sz w:val="20"/>
          <w:szCs w:val="20"/>
          <w:color w:val="auto"/>
        </w:rPr>
      </w:pPr>
      <w:r>
        <w:rPr>
          <w:rFonts w:ascii="Verdana" w:cs="Verdana" w:eastAsia="Verdana" w:hAnsi="Verdana"/>
          <w:sz w:val="26"/>
          <w:szCs w:val="26"/>
          <w:b w:val="1"/>
          <w:bCs w:val="1"/>
          <w:color w:val="auto"/>
        </w:rPr>
        <w:drawing>
          <wp:anchor simplePos="0" relativeHeight="251657728" behindDoc="1" locked="0" layoutInCell="0" allowOverlap="1">
            <wp:simplePos x="0" y="0"/>
            <wp:positionH relativeFrom="page">
              <wp:posOffset>214630</wp:posOffset>
            </wp:positionH>
            <wp:positionV relativeFrom="page">
              <wp:posOffset>106045</wp:posOffset>
            </wp:positionV>
            <wp:extent cx="793750" cy="5346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38">
                      <a:clrChange>
                        <a:clrFrom>
                          <a:srgbClr val="FFFFFF"/>
                        </a:clrFrom>
                        <a:clrTo>
                          <a:srgbClr val="FFFFFF">
                            <a:alpha val="0"/>
                          </a:srgbClr>
                        </a:clrTo>
                      </a:clrChange>
                      <a:extLst>
                        <a:ext uri="{28A0092B-C50C-407E-A947-70E740481C1C}"/>
                      </a:extLst>
                    </a:blip>
                    <a:srcRect/>
                    <a:stretch>
                      <a:fillRect/>
                    </a:stretch>
                  </pic:blipFill>
                  <pic:spPr bwMode="auto">
                    <a:xfrm>
                      <a:off x="0" y="0"/>
                      <a:ext cx="793750" cy="534670"/>
                    </a:xfrm>
                    <a:prstGeom prst="rect">
                      <a:avLst/>
                    </a:prstGeom>
                    <a:noFill/>
                  </pic:spPr>
                </pic:pic>
              </a:graphicData>
            </a:graphic>
          </wp:anchor>
        </w:drawing>
        <w:t>NRG ENERGY, INC. LONG-TERM INCENTIVE PLAN NOTICE OF RESTRICTED STOCK UNIT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-41275</wp:posOffset>
            </wp:positionV>
            <wp:extent cx="713549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3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Exhibit 10.3</w:t>
      </w:r>
    </w:p>
    <w:p>
      <w:pPr>
        <w:spacing w:after="0" w:line="19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%%FIRST_NAME_LAST_NAME%-%</w:t>
      </w:r>
    </w:p>
    <w:p>
      <w:pPr>
        <w:spacing w:after="0" w:line="18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%%ADDRESS_LINE_1%-%</w:t>
      </w:r>
    </w:p>
    <w:p>
      <w:pPr>
        <w:spacing w:after="0" w:line="230" w:lineRule="auto"/>
        <w:rPr>
          <w:sz w:val="20"/>
          <w:szCs w:val="20"/>
          <w:color w:val="auto"/>
        </w:rPr>
      </w:pPr>
      <w:r>
        <w:rPr>
          <w:rFonts w:ascii="Verdana" w:cs="Verdana" w:eastAsia="Verdana" w:hAnsi="Verdana"/>
          <w:sz w:val="18"/>
          <w:szCs w:val="18"/>
          <w:b w:val="1"/>
          <w:bCs w:val="1"/>
          <w:color w:val="auto"/>
        </w:rPr>
        <w:t>%%ADDRESS_LINE_2%-%</w:t>
      </w:r>
    </w:p>
    <w:p>
      <w:pPr>
        <w:spacing w:after="0" w:line="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%%CITY_STATE_ZIPCODE%-%</w:t>
      </w:r>
    </w:p>
    <w:p>
      <w:pPr>
        <w:spacing w:after="0" w:line="202" w:lineRule="exact"/>
        <w:rPr>
          <w:sz w:val="20"/>
          <w:szCs w:val="20"/>
          <w:color w:val="auto"/>
        </w:rPr>
      </w:pPr>
    </w:p>
    <w:p>
      <w:pPr>
        <w:jc w:val="both"/>
        <w:spacing w:after="0" w:line="233" w:lineRule="auto"/>
        <w:rPr>
          <w:sz w:val="20"/>
          <w:szCs w:val="20"/>
          <w:color w:val="auto"/>
        </w:rPr>
      </w:pPr>
      <w:r>
        <w:rPr>
          <w:rFonts w:ascii="Verdana" w:cs="Verdana" w:eastAsia="Verdana" w:hAnsi="Verdana"/>
          <w:sz w:val="18"/>
          <w:szCs w:val="18"/>
          <w:color w:val="auto"/>
        </w:rPr>
        <w:t>Congratulations on your selection as a Participant under the NRG Energy, Inc. Amended and Restated Long-Term Incentive Plan, as amended from time to time</w:t>
      </w:r>
      <w:r>
        <w:rPr>
          <w:rFonts w:ascii="Verdana" w:cs="Verdana" w:eastAsia="Verdana" w:hAnsi="Verdana"/>
          <w:sz w:val="11"/>
          <w:szCs w:val="11"/>
          <w:color w:val="auto"/>
        </w:rPr>
        <w:t>1</w:t>
      </w:r>
      <w:r>
        <w:rPr>
          <w:rFonts w:ascii="Verdana" w:cs="Verdana" w:eastAsia="Verdana" w:hAnsi="Verdana"/>
          <w:sz w:val="18"/>
          <w:szCs w:val="18"/>
          <w:color w:val="auto"/>
        </w:rPr>
        <w:t xml:space="preserve"> (the “</w:t>
      </w:r>
      <w:r>
        <w:rPr>
          <w:rFonts w:ascii="Verdana" w:cs="Verdana" w:eastAsia="Verdana" w:hAnsi="Verdana"/>
          <w:sz w:val="18"/>
          <w:szCs w:val="18"/>
          <w:u w:val="single" w:color="auto"/>
          <w:color w:val="auto"/>
        </w:rPr>
        <w:t>Plan</w:t>
      </w:r>
      <w:r>
        <w:rPr>
          <w:rFonts w:ascii="Verdana" w:cs="Verdana" w:eastAsia="Verdana" w:hAnsi="Verdana"/>
          <w:sz w:val="18"/>
          <w:szCs w:val="18"/>
          <w:color w:val="auto"/>
        </w:rPr>
        <w:t>”). You have been chosen to receive Restricted Stock Units (“</w:t>
      </w:r>
      <w:r>
        <w:rPr>
          <w:rFonts w:ascii="Verdana" w:cs="Verdana" w:eastAsia="Verdana" w:hAnsi="Verdana"/>
          <w:sz w:val="18"/>
          <w:szCs w:val="18"/>
          <w:u w:val="single" w:color="auto"/>
          <w:color w:val="auto"/>
        </w:rPr>
        <w:t>RSUs</w:t>
      </w:r>
      <w:r>
        <w:rPr>
          <w:rFonts w:ascii="Verdana" w:cs="Verdana" w:eastAsia="Verdana" w:hAnsi="Verdana"/>
          <w:sz w:val="18"/>
          <w:szCs w:val="18"/>
          <w:color w:val="auto"/>
        </w:rPr>
        <w:t>”) under the Plan. This Notice of Restricted Stock Unit Grant (the “</w:t>
      </w:r>
      <w:r>
        <w:rPr>
          <w:rFonts w:ascii="Verdana" w:cs="Verdana" w:eastAsia="Verdana" w:hAnsi="Verdana"/>
          <w:sz w:val="18"/>
          <w:szCs w:val="18"/>
          <w:u w:val="single" w:color="auto"/>
          <w:color w:val="auto"/>
        </w:rPr>
        <w:t>Grant Notice</w:t>
      </w:r>
      <w:r>
        <w:rPr>
          <w:rFonts w:ascii="Verdana" w:cs="Verdana" w:eastAsia="Verdana" w:hAnsi="Verdana"/>
          <w:sz w:val="18"/>
          <w:szCs w:val="18"/>
          <w:color w:val="auto"/>
        </w:rPr>
        <w:t>”) and the attached Restricted Stock Unit Agreement (collectively referred to as the “</w:t>
      </w:r>
      <w:r>
        <w:rPr>
          <w:rFonts w:ascii="Verdana" w:cs="Verdana" w:eastAsia="Verdana" w:hAnsi="Verdana"/>
          <w:sz w:val="18"/>
          <w:szCs w:val="18"/>
          <w:u w:val="single" w:color="auto"/>
          <w:color w:val="auto"/>
        </w:rPr>
        <w:t>Agreement</w:t>
      </w:r>
      <w:r>
        <w:rPr>
          <w:rFonts w:ascii="Verdana" w:cs="Verdana" w:eastAsia="Verdana" w:hAnsi="Verdana"/>
          <w:sz w:val="18"/>
          <w:szCs w:val="18"/>
          <w:color w:val="auto"/>
        </w:rPr>
        <w:t>”) constitute an agreement between you and NRG Energy, Inc. (the “</w:t>
      </w:r>
      <w:r>
        <w:rPr>
          <w:rFonts w:ascii="Verdana" w:cs="Verdana" w:eastAsia="Verdana" w:hAnsi="Verdana"/>
          <w:sz w:val="18"/>
          <w:szCs w:val="18"/>
          <w:u w:val="single" w:color="auto"/>
          <w:color w:val="auto"/>
        </w:rPr>
        <w:t>Company</w:t>
      </w:r>
      <w:r>
        <w:rPr>
          <w:rFonts w:ascii="Verdana" w:cs="Verdana" w:eastAsia="Verdana" w:hAnsi="Verdana"/>
          <w:sz w:val="18"/>
          <w:szCs w:val="18"/>
          <w:color w:val="auto"/>
        </w:rPr>
        <w:t>”) pursuant to Section 8 of the Plan. In the event of any inconsistency between the terms of this Agreement and the terms of the Plan, the Plan’s terms shall supersede and replace the conflicting terms of this Agreement. Capitalized terms used but not defined in this Agreement shall have the meaning assigned to them in the Plan. You are sometimes referred to as the “</w:t>
      </w:r>
      <w:r>
        <w:rPr>
          <w:rFonts w:ascii="Verdana" w:cs="Verdana" w:eastAsia="Verdana" w:hAnsi="Verdana"/>
          <w:sz w:val="18"/>
          <w:szCs w:val="18"/>
          <w:u w:val="single" w:color="auto"/>
          <w:color w:val="auto"/>
        </w:rPr>
        <w:t>Participant</w:t>
      </w:r>
      <w:r>
        <w:rPr>
          <w:rFonts w:ascii="Verdana" w:cs="Verdana" w:eastAsia="Verdana" w:hAnsi="Verdana"/>
          <w:sz w:val="18"/>
          <w:szCs w:val="18"/>
          <w:color w:val="auto"/>
        </w:rPr>
        <w:t>” in this Agreement.</w:t>
      </w:r>
    </w:p>
    <w:p>
      <w:pPr>
        <w:spacing w:after="0" w:line="196"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 xml:space="preserve">%%FIRST_NAME_LAST_NAME%-% </w:t>
      </w:r>
      <w:r>
        <w:rPr>
          <w:rFonts w:ascii="Verdana" w:cs="Verdana" w:eastAsia="Verdana" w:hAnsi="Verdana"/>
          <w:sz w:val="18"/>
          <w:szCs w:val="18"/>
          <w:color w:val="auto"/>
        </w:rPr>
        <w:t>is hereby granted RSUs as follows:</w:t>
      </w:r>
    </w:p>
    <w:p>
      <w:pPr>
        <w:spacing w:after="0" w:line="229" w:lineRule="exact"/>
        <w:rPr>
          <w:sz w:val="20"/>
          <w:szCs w:val="20"/>
          <w:color w:val="auto"/>
        </w:rPr>
      </w:pPr>
    </w:p>
    <w:tbl>
      <w:tblPr>
        <w:tblLayout w:type="fixed"/>
        <w:tblInd w:w="180" w:type="dxa"/>
        <w:tblCellMar>
          <w:top w:w="0" w:type="dxa"/>
          <w:left w:w="0" w:type="dxa"/>
          <w:bottom w:w="0" w:type="dxa"/>
          <w:right w:w="0" w:type="dxa"/>
        </w:tblCellMar>
      </w:tblPr>
      <w:tr>
        <w:trPr>
          <w:trHeight w:val="224"/>
        </w:trPr>
        <w:tc>
          <w:tcPr>
            <w:tcW w:w="3320" w:type="dxa"/>
            <w:vAlign w:val="bottom"/>
          </w:tcPr>
          <w:p>
            <w:pPr>
              <w:spacing w:after="0"/>
              <w:rPr>
                <w:sz w:val="20"/>
                <w:szCs w:val="20"/>
                <w:color w:val="auto"/>
              </w:rPr>
            </w:pPr>
            <w:r>
              <w:rPr>
                <w:rFonts w:ascii="Verdana" w:cs="Verdana" w:eastAsia="Verdana" w:hAnsi="Verdana"/>
                <w:sz w:val="18"/>
                <w:szCs w:val="18"/>
                <w:color w:val="auto"/>
              </w:rPr>
              <w:t>Date of Grant:</w:t>
            </w:r>
          </w:p>
        </w:tc>
        <w:tc>
          <w:tcPr>
            <w:tcW w:w="5640" w:type="dxa"/>
            <w:vAlign w:val="bottom"/>
            <w:gridSpan w:val="3"/>
          </w:tcPr>
          <w:p>
            <w:pPr>
              <w:ind w:left="620"/>
              <w:spacing w:after="0"/>
              <w:rPr>
                <w:sz w:val="20"/>
                <w:szCs w:val="20"/>
                <w:color w:val="auto"/>
              </w:rPr>
            </w:pPr>
            <w:r>
              <w:rPr>
                <w:rFonts w:ascii="Verdana" w:cs="Verdana" w:eastAsia="Verdana" w:hAnsi="Verdana"/>
                <w:sz w:val="18"/>
                <w:szCs w:val="18"/>
                <w:b w:val="1"/>
                <w:bCs w:val="1"/>
                <w:color w:val="auto"/>
              </w:rPr>
              <w:t>%%OPTION_DATE,’Month DD, YYYY’%-%</w:t>
            </w:r>
          </w:p>
        </w:tc>
      </w:tr>
      <w:tr>
        <w:trPr>
          <w:trHeight w:val="224"/>
        </w:trPr>
        <w:tc>
          <w:tcPr>
            <w:tcW w:w="3320" w:type="dxa"/>
            <w:vAlign w:val="bottom"/>
          </w:tcPr>
          <w:p>
            <w:pPr>
              <w:spacing w:after="0"/>
              <w:rPr>
                <w:sz w:val="20"/>
                <w:szCs w:val="20"/>
                <w:color w:val="auto"/>
              </w:rPr>
            </w:pPr>
            <w:r>
              <w:rPr>
                <w:rFonts w:ascii="Verdana" w:cs="Verdana" w:eastAsia="Verdana" w:hAnsi="Verdana"/>
                <w:sz w:val="18"/>
                <w:szCs w:val="18"/>
                <w:color w:val="auto"/>
              </w:rPr>
              <w:t>Vesting Commencement Date:</w:t>
            </w:r>
          </w:p>
        </w:tc>
        <w:tc>
          <w:tcPr>
            <w:tcW w:w="5640" w:type="dxa"/>
            <w:vAlign w:val="bottom"/>
            <w:gridSpan w:val="3"/>
          </w:tcPr>
          <w:p>
            <w:pPr>
              <w:ind w:left="620"/>
              <w:spacing w:after="0"/>
              <w:rPr>
                <w:sz w:val="20"/>
                <w:szCs w:val="20"/>
                <w:color w:val="auto"/>
              </w:rPr>
            </w:pPr>
            <w:r>
              <w:rPr>
                <w:rFonts w:ascii="Verdana" w:cs="Verdana" w:eastAsia="Verdana" w:hAnsi="Verdana"/>
                <w:sz w:val="18"/>
                <w:szCs w:val="18"/>
                <w:color w:val="auto"/>
              </w:rPr>
              <w:t>Date of Grant</w:t>
            </w:r>
          </w:p>
        </w:tc>
      </w:tr>
      <w:tr>
        <w:trPr>
          <w:trHeight w:val="216"/>
        </w:trPr>
        <w:tc>
          <w:tcPr>
            <w:tcW w:w="3320" w:type="dxa"/>
            <w:vAlign w:val="bottom"/>
          </w:tcPr>
          <w:p>
            <w:pPr>
              <w:spacing w:after="0" w:line="216" w:lineRule="exact"/>
              <w:rPr>
                <w:sz w:val="20"/>
                <w:szCs w:val="20"/>
                <w:color w:val="auto"/>
              </w:rPr>
            </w:pPr>
            <w:r>
              <w:rPr>
                <w:rFonts w:ascii="Verdana" w:cs="Verdana" w:eastAsia="Verdana" w:hAnsi="Verdana"/>
                <w:sz w:val="18"/>
                <w:szCs w:val="18"/>
                <w:color w:val="auto"/>
              </w:rPr>
              <w:t>Vesting Period:</w:t>
            </w:r>
          </w:p>
        </w:tc>
        <w:tc>
          <w:tcPr>
            <w:tcW w:w="5640" w:type="dxa"/>
            <w:vAlign w:val="bottom"/>
            <w:gridSpan w:val="3"/>
          </w:tcPr>
          <w:p>
            <w:pPr>
              <w:ind w:left="620"/>
              <w:spacing w:after="0" w:line="216" w:lineRule="exact"/>
              <w:rPr>
                <w:sz w:val="20"/>
                <w:szCs w:val="20"/>
                <w:color w:val="auto"/>
              </w:rPr>
            </w:pPr>
            <w:r>
              <w:rPr>
                <w:rFonts w:ascii="Verdana" w:cs="Verdana" w:eastAsia="Verdana" w:hAnsi="Verdana"/>
                <w:sz w:val="18"/>
                <w:szCs w:val="18"/>
                <w:color w:val="auto"/>
              </w:rPr>
              <w:t>Please refer to Section 2 of this Agreement</w:t>
            </w:r>
          </w:p>
        </w:tc>
      </w:tr>
      <w:tr>
        <w:trPr>
          <w:trHeight w:val="20"/>
        </w:trPr>
        <w:tc>
          <w:tcPr>
            <w:tcW w:w="3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466"/>
        </w:trPr>
        <w:tc>
          <w:tcPr>
            <w:tcW w:w="3320" w:type="dxa"/>
            <w:vAlign w:val="bottom"/>
          </w:tcPr>
          <w:p>
            <w:pPr>
              <w:spacing w:after="0"/>
              <w:rPr>
                <w:sz w:val="20"/>
                <w:szCs w:val="20"/>
                <w:color w:val="auto"/>
              </w:rPr>
            </w:pPr>
            <w:r>
              <w:rPr>
                <w:rFonts w:ascii="Verdana" w:cs="Verdana" w:eastAsia="Verdana" w:hAnsi="Verdana"/>
                <w:sz w:val="18"/>
                <w:szCs w:val="18"/>
                <w:color w:val="auto"/>
              </w:rPr>
              <w:t>Total Number of RSUs:</w:t>
            </w:r>
          </w:p>
        </w:tc>
        <w:tc>
          <w:tcPr>
            <w:tcW w:w="5640" w:type="dxa"/>
            <w:vAlign w:val="bottom"/>
            <w:gridSpan w:val="3"/>
          </w:tcPr>
          <w:p>
            <w:pPr>
              <w:ind w:left="620"/>
              <w:spacing w:after="0"/>
              <w:rPr>
                <w:sz w:val="20"/>
                <w:szCs w:val="20"/>
                <w:color w:val="auto"/>
              </w:rPr>
            </w:pPr>
            <w:r>
              <w:rPr>
                <w:rFonts w:ascii="Verdana" w:cs="Verdana" w:eastAsia="Verdana" w:hAnsi="Verdana"/>
                <w:sz w:val="18"/>
                <w:szCs w:val="18"/>
                <w:b w:val="1"/>
                <w:bCs w:val="1"/>
                <w:color w:val="auto"/>
                <w:w w:val="96"/>
              </w:rPr>
              <w:t>%%TOTAL_SHARES_GRANTED,’999,999,999’%-%</w:t>
            </w:r>
          </w:p>
        </w:tc>
      </w:tr>
    </w:tbl>
    <w:p>
      <w:pPr>
        <w:spacing w:after="0" w:line="88" w:lineRule="exact"/>
        <w:rPr>
          <w:sz w:val="20"/>
          <w:szCs w:val="20"/>
          <w:color w:val="auto"/>
        </w:rPr>
      </w:pPr>
    </w:p>
    <w:p>
      <w:pPr>
        <w:jc w:val="both"/>
        <w:spacing w:after="0" w:line="237" w:lineRule="auto"/>
        <w:rPr>
          <w:sz w:val="20"/>
          <w:szCs w:val="20"/>
          <w:color w:val="auto"/>
        </w:rPr>
      </w:pPr>
      <w:r>
        <w:rPr>
          <w:rFonts w:ascii="Verdana" w:cs="Verdana" w:eastAsia="Verdana" w:hAnsi="Verdana"/>
          <w:sz w:val="18"/>
          <w:szCs w:val="18"/>
          <w:color w:val="auto"/>
        </w:rPr>
        <w:t xml:space="preserve">Subject to </w:t>
      </w:r>
      <w:r>
        <w:rPr>
          <w:rFonts w:ascii="Verdana" w:cs="Verdana" w:eastAsia="Verdana" w:hAnsi="Verdana"/>
          <w:sz w:val="18"/>
          <w:szCs w:val="18"/>
          <w:u w:val="single" w:color="auto"/>
          <w:color w:val="auto"/>
        </w:rPr>
        <w:t>Section 8</w:t>
      </w:r>
      <w:r>
        <w:rPr>
          <w:rFonts w:ascii="Verdana" w:cs="Verdana" w:eastAsia="Verdana" w:hAnsi="Verdana"/>
          <w:sz w:val="18"/>
          <w:szCs w:val="18"/>
          <w:color w:val="auto"/>
        </w:rPr>
        <w:t xml:space="preserve"> of this Agreement, if you do not remain an employee of the Company or its Subsidiaries at all times during the Vesting Period, this Award shall terminate, and you will not be entitled to any Common Stock underlying the RSUs or any dividend equivalents that may have accrued with respect thereto.</w:t>
      </w:r>
    </w:p>
    <w:p>
      <w:pPr>
        <w:spacing w:after="0" w:line="194" w:lineRule="exact"/>
        <w:rPr>
          <w:sz w:val="20"/>
          <w:szCs w:val="20"/>
          <w:color w:val="auto"/>
        </w:rPr>
      </w:pPr>
    </w:p>
    <w:p>
      <w:pPr>
        <w:jc w:val="both"/>
        <w:spacing w:after="0" w:line="237" w:lineRule="auto"/>
        <w:rPr>
          <w:sz w:val="20"/>
          <w:szCs w:val="20"/>
          <w:color w:val="auto"/>
        </w:rPr>
      </w:pPr>
      <w:r>
        <w:rPr>
          <w:rFonts w:ascii="Verdana" w:cs="Verdana" w:eastAsia="Verdana" w:hAnsi="Verdana"/>
          <w:sz w:val="18"/>
          <w:szCs w:val="18"/>
          <w:b w:val="1"/>
          <w:bCs w:val="1"/>
          <w:color w:val="auto"/>
        </w:rPr>
        <w:t>If you disagree with any of the terms of this Award or choose not to accept this Award, please contact Peter Johnson at 609-524-4759 within 45 days of the Date of Grant. Otherwise, you will be deemed to have accepted this Award under the terms and conditions set forth in this Agreement and the Plan</w:t>
      </w:r>
      <w:r>
        <w:rPr>
          <w:rFonts w:ascii="Verdana" w:cs="Verdana" w:eastAsia="Verdana" w:hAnsi="Verdana"/>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160401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40">
                      <a:extLst>
                        <a:ext uri="{28A0092B-C50C-407E-A947-70E740481C1C}"/>
                      </a:extLst>
                    </a:blip>
                    <a:srcRect/>
                    <a:stretch>
                      <a:fillRect/>
                    </a:stretch>
                  </pic:blipFill>
                  <pic:spPr bwMode="auto">
                    <a:xfrm>
                      <a:off x="0" y="0"/>
                      <a:ext cx="1604010" cy="8255"/>
                    </a:xfrm>
                    <a:prstGeom prst="rect">
                      <a:avLst/>
                    </a:prstGeom>
                    <a:noFill/>
                  </pic:spPr>
                </pic:pic>
              </a:graphicData>
            </a:graphic>
          </wp:anchor>
        </w:drawing>
      </w:r>
    </w:p>
    <w:p>
      <w:pPr>
        <w:spacing w:after="0" w:line="220" w:lineRule="exact"/>
        <w:rPr>
          <w:sz w:val="20"/>
          <w:szCs w:val="20"/>
          <w:color w:val="auto"/>
        </w:rPr>
      </w:pPr>
    </w:p>
    <w:p>
      <w:pPr>
        <w:ind w:left="120" w:hanging="115"/>
        <w:spacing w:after="0"/>
        <w:tabs>
          <w:tab w:leader="none" w:pos="120" w:val="left"/>
        </w:tabs>
        <w:numPr>
          <w:ilvl w:val="0"/>
          <w:numId w:val="137"/>
        </w:numPr>
        <w:rPr>
          <w:rFonts w:ascii="Verdana" w:cs="Verdana" w:eastAsia="Verdana" w:hAnsi="Verdana"/>
          <w:sz w:val="21"/>
          <w:szCs w:val="21"/>
          <w:color w:val="auto"/>
          <w:vertAlign w:val="superscript"/>
        </w:rPr>
      </w:pPr>
      <w:r>
        <w:rPr>
          <w:rFonts w:ascii="Verdana" w:cs="Verdana" w:eastAsia="Verdana" w:hAnsi="Verdana"/>
          <w:sz w:val="16"/>
          <w:szCs w:val="16"/>
          <w:color w:val="auto"/>
        </w:rPr>
        <w:t>As Amended and Restated on July 25,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Verdana" w:cs="Verdana" w:eastAsia="Verdana" w:hAnsi="Verdana"/>
          <w:sz w:val="14"/>
          <w:szCs w:val="14"/>
          <w:color w:val="auto"/>
        </w:rPr>
        <w:t>2026 RSU Agreement (ALL)</w:t>
      </w:r>
    </w:p>
    <w:p>
      <w:pPr>
        <w:sectPr>
          <w:pgSz w:w="11900" w:h="16838" w:orient="portrait"/>
          <w:cols w:equalWidth="0" w:num="1">
            <w:col w:w="11240"/>
          </w:cols>
          <w:pgMar w:left="320" w:top="386" w:right="339" w:bottom="1440" w:gutter="0" w:footer="0" w:header="0"/>
        </w:sectPr>
      </w:pPr>
    </w:p>
    <w:bookmarkStart w:id="207" w:name="page208"/>
    <w:bookmarkEnd w:id="207"/>
    <w:p>
      <w:pPr>
        <w:ind w:left="1760" w:right="260"/>
        <w:spacing w:after="0" w:line="321" w:lineRule="auto"/>
        <w:rPr>
          <w:sz w:val="20"/>
          <w:szCs w:val="20"/>
          <w:color w:val="auto"/>
        </w:rPr>
      </w:pPr>
      <w:r>
        <w:rPr>
          <w:rFonts w:ascii="Verdana" w:cs="Verdana" w:eastAsia="Verdana" w:hAnsi="Verdana"/>
          <w:sz w:val="26"/>
          <w:szCs w:val="26"/>
          <w:b w:val="1"/>
          <w:bCs w:val="1"/>
          <w:color w:val="auto"/>
        </w:rPr>
        <w:drawing>
          <wp:anchor simplePos="0" relativeHeight="251657728" behindDoc="1" locked="0" layoutInCell="0" allowOverlap="1">
            <wp:simplePos x="0" y="0"/>
            <wp:positionH relativeFrom="page">
              <wp:posOffset>214630</wp:posOffset>
            </wp:positionH>
            <wp:positionV relativeFrom="page">
              <wp:posOffset>106045</wp:posOffset>
            </wp:positionV>
            <wp:extent cx="793750" cy="5346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41">
                      <a:clrChange>
                        <a:clrFrom>
                          <a:srgbClr val="FFFFFF"/>
                        </a:clrFrom>
                        <a:clrTo>
                          <a:srgbClr val="FFFFFF">
                            <a:alpha val="0"/>
                          </a:srgbClr>
                        </a:clrTo>
                      </a:clrChange>
                      <a:extLst>
                        <a:ext uri="{28A0092B-C50C-407E-A947-70E740481C1C}"/>
                      </a:extLst>
                    </a:blip>
                    <a:srcRect/>
                    <a:stretch>
                      <a:fillRect/>
                    </a:stretch>
                  </pic:blipFill>
                  <pic:spPr bwMode="auto">
                    <a:xfrm>
                      <a:off x="0" y="0"/>
                      <a:ext cx="793750" cy="534670"/>
                    </a:xfrm>
                    <a:prstGeom prst="rect">
                      <a:avLst/>
                    </a:prstGeom>
                    <a:noFill/>
                  </pic:spPr>
                </pic:pic>
              </a:graphicData>
            </a:graphic>
          </wp:anchor>
        </w:drawing>
        <w:t>NRG ENERGY, INC. LONG-TERM INCENTIVE PLAN RESTRICTED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-41275</wp:posOffset>
            </wp:positionV>
            <wp:extent cx="713549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4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35" w:lineRule="auto"/>
        <w:rPr>
          <w:sz w:val="20"/>
          <w:szCs w:val="20"/>
          <w:color w:val="auto"/>
        </w:rPr>
      </w:pPr>
      <w:r>
        <w:rPr>
          <w:rFonts w:ascii="Verdana" w:cs="Verdana" w:eastAsia="Verdana" w:hAnsi="Verdana"/>
          <w:sz w:val="18"/>
          <w:szCs w:val="18"/>
          <w:color w:val="auto"/>
        </w:rPr>
        <w:t>This Restricted Stock Unit Agreement, dated as of the Date of Grant set forth in the Notice of Restricted Stock Unit Grant to which this Agreement is attached (the “</w:t>
      </w:r>
      <w:r>
        <w:rPr>
          <w:rFonts w:ascii="Verdana" w:cs="Verdana" w:eastAsia="Verdana" w:hAnsi="Verdana"/>
          <w:sz w:val="18"/>
          <w:szCs w:val="18"/>
          <w:u w:val="single" w:color="auto"/>
          <w:color w:val="auto"/>
        </w:rPr>
        <w:t>Grant Notice</w:t>
      </w:r>
      <w:r>
        <w:rPr>
          <w:rFonts w:ascii="Verdana" w:cs="Verdana" w:eastAsia="Verdana" w:hAnsi="Verdana"/>
          <w:sz w:val="18"/>
          <w:szCs w:val="18"/>
          <w:color w:val="auto"/>
        </w:rPr>
        <w:t>,” and together with this Restricted Stock Unit Agreement, the “</w:t>
      </w:r>
      <w:r>
        <w:rPr>
          <w:rFonts w:ascii="Verdana" w:cs="Verdana" w:eastAsia="Verdana" w:hAnsi="Verdana"/>
          <w:sz w:val="18"/>
          <w:szCs w:val="18"/>
          <w:u w:val="single" w:color="auto"/>
          <w:color w:val="auto"/>
        </w:rPr>
        <w:t>Agreement</w:t>
      </w:r>
      <w:r>
        <w:rPr>
          <w:rFonts w:ascii="Verdana" w:cs="Verdana" w:eastAsia="Verdana" w:hAnsi="Verdana"/>
          <w:sz w:val="18"/>
          <w:szCs w:val="18"/>
          <w:color w:val="auto"/>
        </w:rPr>
        <w:t>”), is made between NRG Energy, Inc. (the “</w:t>
      </w:r>
      <w:r>
        <w:rPr>
          <w:rFonts w:ascii="Verdana" w:cs="Verdana" w:eastAsia="Verdana" w:hAnsi="Verdana"/>
          <w:sz w:val="18"/>
          <w:szCs w:val="18"/>
          <w:u w:val="single" w:color="auto"/>
          <w:color w:val="auto"/>
        </w:rPr>
        <w:t>Company</w:t>
      </w:r>
      <w:r>
        <w:rPr>
          <w:rFonts w:ascii="Verdana" w:cs="Verdana" w:eastAsia="Verdana" w:hAnsi="Verdana"/>
          <w:sz w:val="18"/>
          <w:szCs w:val="18"/>
          <w:color w:val="auto"/>
        </w:rPr>
        <w:t>”) and the Participant, as set forth in the Grant Notice. The Grant Notice is included in, and made part of, this Agreement.</w:t>
      </w:r>
    </w:p>
    <w:p>
      <w:pPr>
        <w:spacing w:after="0" w:line="170" w:lineRule="exact"/>
        <w:rPr>
          <w:sz w:val="20"/>
          <w:szCs w:val="20"/>
          <w:color w:val="auto"/>
        </w:rPr>
      </w:pPr>
    </w:p>
    <w:p>
      <w:pPr>
        <w:ind w:left="620" w:hanging="615"/>
        <w:spacing w:after="0"/>
        <w:tabs>
          <w:tab w:leader="none" w:pos="620" w:val="left"/>
        </w:tabs>
        <w:numPr>
          <w:ilvl w:val="0"/>
          <w:numId w:val="138"/>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Grant of RSUs</w:t>
      </w:r>
    </w:p>
    <w:p>
      <w:pPr>
        <w:spacing w:after="0" w:line="202" w:lineRule="exact"/>
        <w:rPr>
          <w:rFonts w:ascii="Verdana" w:cs="Verdana" w:eastAsia="Verdana" w:hAnsi="Verdana"/>
          <w:sz w:val="18"/>
          <w:szCs w:val="18"/>
          <w:b w:val="1"/>
          <w:bCs w:val="1"/>
          <w:color w:val="auto"/>
        </w:rPr>
      </w:pPr>
    </w:p>
    <w:p>
      <w:pPr>
        <w:jc w:val="both"/>
        <w:ind w:left="640"/>
        <w:spacing w:after="0" w:line="237" w:lineRule="auto"/>
        <w:rPr>
          <w:rFonts w:ascii="Verdana" w:cs="Verdana" w:eastAsia="Verdana" w:hAnsi="Verdana"/>
          <w:sz w:val="18"/>
          <w:szCs w:val="18"/>
          <w:b w:val="1"/>
          <w:bCs w:val="1"/>
          <w:color w:val="auto"/>
        </w:rPr>
      </w:pPr>
      <w:r>
        <w:rPr>
          <w:rFonts w:ascii="Verdana" w:cs="Verdana" w:eastAsia="Verdana" w:hAnsi="Verdana"/>
          <w:sz w:val="18"/>
          <w:szCs w:val="18"/>
          <w:color w:val="auto"/>
        </w:rPr>
        <w:t>Subject to the provisions of this Agreement and the provisions of the NRG Energy, Inc. Amended and Restated Long-Term Incentive Plan, as amended from time to time (the “</w:t>
      </w:r>
      <w:r>
        <w:rPr>
          <w:rFonts w:ascii="Verdana" w:cs="Verdana" w:eastAsia="Verdana" w:hAnsi="Verdana"/>
          <w:sz w:val="18"/>
          <w:szCs w:val="18"/>
          <w:u w:val="single" w:color="auto"/>
          <w:color w:val="auto"/>
        </w:rPr>
        <w:t>Plan</w:t>
      </w:r>
      <w:r>
        <w:rPr>
          <w:rFonts w:ascii="Verdana" w:cs="Verdana" w:eastAsia="Verdana" w:hAnsi="Verdana"/>
          <w:sz w:val="18"/>
          <w:szCs w:val="18"/>
          <w:color w:val="auto"/>
        </w:rPr>
        <w:t>”), the Company hereby grants to the Participant the number of Restricted Stock Units (“</w:t>
      </w:r>
      <w:r>
        <w:rPr>
          <w:rFonts w:ascii="Verdana" w:cs="Verdana" w:eastAsia="Verdana" w:hAnsi="Verdana"/>
          <w:sz w:val="18"/>
          <w:szCs w:val="18"/>
          <w:u w:val="single" w:color="auto"/>
          <w:color w:val="auto"/>
        </w:rPr>
        <w:t>RSUs</w:t>
      </w:r>
      <w:r>
        <w:rPr>
          <w:rFonts w:ascii="Verdana" w:cs="Verdana" w:eastAsia="Verdana" w:hAnsi="Verdana"/>
          <w:sz w:val="18"/>
          <w:szCs w:val="18"/>
          <w:color w:val="auto"/>
        </w:rPr>
        <w:t>”) set forth in the Grant Notice.</w:t>
      </w:r>
    </w:p>
    <w:p>
      <w:pPr>
        <w:spacing w:after="0" w:line="167" w:lineRule="exact"/>
        <w:rPr>
          <w:rFonts w:ascii="Verdana" w:cs="Verdana" w:eastAsia="Verdana" w:hAnsi="Verdana"/>
          <w:sz w:val="18"/>
          <w:szCs w:val="18"/>
          <w:b w:val="1"/>
          <w:bCs w:val="1"/>
          <w:color w:val="auto"/>
        </w:rPr>
      </w:pPr>
    </w:p>
    <w:p>
      <w:pPr>
        <w:ind w:left="620" w:hanging="615"/>
        <w:spacing w:after="0"/>
        <w:tabs>
          <w:tab w:leader="none" w:pos="620" w:val="left"/>
        </w:tabs>
        <w:numPr>
          <w:ilvl w:val="0"/>
          <w:numId w:val="138"/>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Vesting Schedule</w:t>
      </w:r>
    </w:p>
    <w:p>
      <w:pPr>
        <w:spacing w:after="0" w:line="189" w:lineRule="exact"/>
        <w:rPr>
          <w:rFonts w:ascii="Verdana" w:cs="Verdana" w:eastAsia="Verdana" w:hAnsi="Verdana"/>
          <w:sz w:val="18"/>
          <w:szCs w:val="18"/>
          <w:b w:val="1"/>
          <w:bCs w:val="1"/>
          <w:color w:val="auto"/>
        </w:rPr>
      </w:pPr>
    </w:p>
    <w:p>
      <w:pPr>
        <w:jc w:val="both"/>
        <w:ind w:left="640"/>
        <w:spacing w:after="0" w:line="235" w:lineRule="auto"/>
        <w:rPr>
          <w:rFonts w:ascii="Verdana" w:cs="Verdana" w:eastAsia="Verdana" w:hAnsi="Verdana"/>
          <w:sz w:val="18"/>
          <w:szCs w:val="18"/>
          <w:b w:val="1"/>
          <w:bCs w:val="1"/>
          <w:color w:val="auto"/>
        </w:rPr>
      </w:pPr>
      <w:r>
        <w:rPr>
          <w:rFonts w:ascii="Verdana" w:cs="Verdana" w:eastAsia="Verdana" w:hAnsi="Verdana"/>
          <w:sz w:val="18"/>
          <w:szCs w:val="18"/>
          <w:color w:val="auto"/>
        </w:rPr>
        <w:t>Provided that you have been continuously employed by the Company or its Subsidiaries during the vesting period, the RSUs will vest one-third each year beginning on the first anniversary of the Date of Grant. For the avoidance of doubt, the vesting period for the second and third portions of the RSUs begins when the previous one-third portion of the RSUs has completed vesting.</w:t>
      </w:r>
    </w:p>
    <w:p>
      <w:pPr>
        <w:spacing w:after="0" w:line="169" w:lineRule="exact"/>
        <w:rPr>
          <w:rFonts w:ascii="Verdana" w:cs="Verdana" w:eastAsia="Verdana" w:hAnsi="Verdana"/>
          <w:sz w:val="18"/>
          <w:szCs w:val="18"/>
          <w:b w:val="1"/>
          <w:bCs w:val="1"/>
          <w:color w:val="auto"/>
        </w:rPr>
      </w:pPr>
    </w:p>
    <w:p>
      <w:pPr>
        <w:ind w:left="620" w:hanging="615"/>
        <w:spacing w:after="0"/>
        <w:tabs>
          <w:tab w:leader="none" w:pos="620" w:val="left"/>
        </w:tabs>
        <w:numPr>
          <w:ilvl w:val="0"/>
          <w:numId w:val="138"/>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Conversion of RSUs and Issuance of Shares</w:t>
      </w:r>
    </w:p>
    <w:p>
      <w:pPr>
        <w:spacing w:after="0" w:line="189" w:lineRule="exact"/>
        <w:rPr>
          <w:rFonts w:ascii="Verdana" w:cs="Verdana" w:eastAsia="Verdana" w:hAnsi="Verdana"/>
          <w:sz w:val="18"/>
          <w:szCs w:val="18"/>
          <w:b w:val="1"/>
          <w:bCs w:val="1"/>
          <w:color w:val="auto"/>
        </w:rPr>
      </w:pPr>
    </w:p>
    <w:p>
      <w:pPr>
        <w:jc w:val="both"/>
        <w:ind w:left="640"/>
        <w:spacing w:after="0" w:line="233" w:lineRule="auto"/>
        <w:rPr>
          <w:rFonts w:ascii="Verdana" w:cs="Verdana" w:eastAsia="Verdana" w:hAnsi="Verdana"/>
          <w:sz w:val="18"/>
          <w:szCs w:val="18"/>
          <w:b w:val="1"/>
          <w:bCs w:val="1"/>
          <w:color w:val="auto"/>
        </w:rPr>
      </w:pPr>
      <w:r>
        <w:rPr>
          <w:rFonts w:ascii="Verdana" w:cs="Verdana" w:eastAsia="Verdana" w:hAnsi="Verdana"/>
          <w:sz w:val="18"/>
          <w:szCs w:val="18"/>
          <w:color w:val="auto"/>
        </w:rPr>
        <w:t xml:space="preserve">As soon as reasonably practicable following vesting of the RSUs, but in no event later than March 15 of the year following the year of vesting of the RSUs, subject to satisfaction of applicable tax withholding obligations in accordance with </w:t>
      </w:r>
      <w:r>
        <w:rPr>
          <w:rFonts w:ascii="Verdana" w:cs="Verdana" w:eastAsia="Verdana" w:hAnsi="Verdana"/>
          <w:sz w:val="18"/>
          <w:szCs w:val="18"/>
          <w:u w:val="single" w:color="auto"/>
          <w:color w:val="auto"/>
        </w:rPr>
        <w:t>Section 12(g)</w:t>
      </w:r>
      <w:r>
        <w:rPr>
          <w:rFonts w:ascii="Verdana" w:cs="Verdana" w:eastAsia="Verdana" w:hAnsi="Verdana"/>
          <w:sz w:val="18"/>
          <w:szCs w:val="18"/>
          <w:color w:val="auto"/>
        </w:rPr>
        <w:t xml:space="preserve">, the Company shall cause to be paid to the Participant one (1) share of NRG Energy, Inc. Common Stock for each RSU that vests on such vesting date, </w:t>
      </w:r>
      <w:r>
        <w:rPr>
          <w:rFonts w:ascii="Verdana" w:cs="Verdana" w:eastAsia="Verdana" w:hAnsi="Verdana"/>
          <w:sz w:val="18"/>
          <w:szCs w:val="18"/>
          <w:u w:val="single" w:color="auto"/>
          <w:color w:val="auto"/>
        </w:rPr>
        <w:t>provided</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auto"/>
        </w:rPr>
        <w:t>however</w:t>
      </w:r>
      <w:r>
        <w:rPr>
          <w:rFonts w:ascii="Verdana" w:cs="Verdana" w:eastAsia="Verdana" w:hAnsi="Verdana"/>
          <w:sz w:val="18"/>
          <w:szCs w:val="18"/>
          <w:color w:val="auto"/>
        </w:rPr>
        <w:t xml:space="preserve">, that if the Participant incurs a Termination of Service that qualifies for vesting as described in </w:t>
      </w:r>
      <w:r>
        <w:rPr>
          <w:rFonts w:ascii="Verdana" w:cs="Verdana" w:eastAsia="Verdana" w:hAnsi="Verdana"/>
          <w:sz w:val="18"/>
          <w:szCs w:val="18"/>
          <w:u w:val="single" w:color="auto"/>
          <w:color w:val="auto"/>
        </w:rPr>
        <w:t>Section 8</w:t>
      </w:r>
      <w:r>
        <w:rPr>
          <w:rFonts w:ascii="Verdana" w:cs="Verdana" w:eastAsia="Verdana" w:hAnsi="Verdana"/>
          <w:sz w:val="18"/>
          <w:szCs w:val="18"/>
          <w:color w:val="auto"/>
        </w:rPr>
        <w:t xml:space="preserve">, then such payment shall be made on the next administratively feasible regularly scheduled payroll date but at no time more than sixty (60) days after the vesting date described in the applicable subsection of </w:t>
      </w:r>
      <w:r>
        <w:rPr>
          <w:rFonts w:ascii="Verdana" w:cs="Verdana" w:eastAsia="Verdana" w:hAnsi="Verdana"/>
          <w:sz w:val="18"/>
          <w:szCs w:val="18"/>
          <w:u w:val="single" w:color="auto"/>
          <w:color w:val="auto"/>
        </w:rPr>
        <w:t>Section 8</w:t>
      </w:r>
      <w:r>
        <w:rPr>
          <w:rFonts w:ascii="Verdana" w:cs="Verdana" w:eastAsia="Verdana" w:hAnsi="Verdana"/>
          <w:sz w:val="18"/>
          <w:szCs w:val="18"/>
          <w:color w:val="auto"/>
        </w:rPr>
        <w:t xml:space="preserve">, and, in accordance with </w:t>
      </w:r>
      <w:r>
        <w:rPr>
          <w:rFonts w:ascii="Verdana" w:cs="Verdana" w:eastAsia="Verdana" w:hAnsi="Verdana"/>
          <w:sz w:val="18"/>
          <w:szCs w:val="18"/>
          <w:u w:val="single" w:color="auto"/>
          <w:color w:val="auto"/>
        </w:rPr>
        <w:t>Section 12(g)</w:t>
      </w:r>
      <w:r>
        <w:rPr>
          <w:rFonts w:ascii="Verdana" w:cs="Verdana" w:eastAsia="Verdana" w:hAnsi="Verdana"/>
          <w:sz w:val="18"/>
          <w:szCs w:val="18"/>
          <w:color w:val="auto"/>
        </w:rPr>
        <w:t>, the Fair Market Value of the RSUs shall be determined as of such vesting date, less applicable taxes.</w:t>
      </w:r>
    </w:p>
    <w:p>
      <w:pPr>
        <w:spacing w:after="0" w:line="195" w:lineRule="exact"/>
        <w:rPr>
          <w:rFonts w:ascii="Verdana" w:cs="Verdana" w:eastAsia="Verdana" w:hAnsi="Verdana"/>
          <w:sz w:val="18"/>
          <w:szCs w:val="18"/>
          <w:b w:val="1"/>
          <w:bCs w:val="1"/>
          <w:color w:val="auto"/>
        </w:rPr>
      </w:pPr>
    </w:p>
    <w:p>
      <w:pPr>
        <w:jc w:val="both"/>
        <w:ind w:left="640"/>
        <w:spacing w:after="0" w:line="268" w:lineRule="auto"/>
        <w:rPr>
          <w:rFonts w:ascii="Verdana" w:cs="Verdana" w:eastAsia="Verdana" w:hAnsi="Verdana"/>
          <w:sz w:val="18"/>
          <w:szCs w:val="18"/>
          <w:b w:val="1"/>
          <w:bCs w:val="1"/>
          <w:color w:val="auto"/>
        </w:rPr>
      </w:pPr>
      <w:r>
        <w:rPr>
          <w:rFonts w:ascii="Verdana" w:cs="Verdana" w:eastAsia="Verdana" w:hAnsi="Verdana"/>
          <w:sz w:val="16"/>
          <w:szCs w:val="16"/>
          <w:color w:val="auto"/>
        </w:rPr>
        <w:t xml:space="preserve">Notwithstanding the foregoing provisions of this </w:t>
      </w:r>
      <w:r>
        <w:rPr>
          <w:rFonts w:ascii="Verdana" w:cs="Verdana" w:eastAsia="Verdana" w:hAnsi="Verdana"/>
          <w:sz w:val="16"/>
          <w:szCs w:val="16"/>
          <w:u w:val="single" w:color="auto"/>
          <w:color w:val="auto"/>
        </w:rPr>
        <w:t>Section 3</w:t>
      </w:r>
      <w:r>
        <w:rPr>
          <w:rFonts w:ascii="Verdana" w:cs="Verdana" w:eastAsia="Verdana" w:hAnsi="Verdana"/>
          <w:sz w:val="16"/>
          <w:szCs w:val="16"/>
          <w:color w:val="auto"/>
        </w:rPr>
        <w:t xml:space="preserve"> to the contrary, if at the time of the Participant’s separation from service within the meaning of Code Section 409A, the Participant is a “specified employee” within the meaning of Code Section 409A, any payment hereunder that constitutes a “deferral of compensation” under Code Section 409A and that would otherwise become due on account of such separation from service, shall be delayed, and payment shall be made in full upon the earlier of (a) a date during the thirty (30) day period commencing six (6) months and one (1) day following such separation from service and (b) the date of the Participant’s death.</w:t>
      </w:r>
    </w:p>
    <w:p>
      <w:pPr>
        <w:spacing w:after="0" w:line="144" w:lineRule="exact"/>
        <w:rPr>
          <w:rFonts w:ascii="Verdana" w:cs="Verdana" w:eastAsia="Verdana" w:hAnsi="Verdana"/>
          <w:sz w:val="18"/>
          <w:szCs w:val="18"/>
          <w:b w:val="1"/>
          <w:bCs w:val="1"/>
          <w:color w:val="auto"/>
        </w:rPr>
      </w:pPr>
    </w:p>
    <w:p>
      <w:pPr>
        <w:ind w:left="620" w:hanging="615"/>
        <w:spacing w:after="0"/>
        <w:tabs>
          <w:tab w:leader="none" w:pos="620" w:val="left"/>
        </w:tabs>
        <w:numPr>
          <w:ilvl w:val="0"/>
          <w:numId w:val="138"/>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Dividend Equivalent Rights</w:t>
      </w:r>
    </w:p>
    <w:p>
      <w:pPr>
        <w:spacing w:after="0" w:line="202" w:lineRule="exact"/>
        <w:rPr>
          <w:rFonts w:ascii="Verdana" w:cs="Verdana" w:eastAsia="Verdana" w:hAnsi="Verdana"/>
          <w:sz w:val="18"/>
          <w:szCs w:val="18"/>
          <w:b w:val="1"/>
          <w:bCs w:val="1"/>
          <w:color w:val="auto"/>
        </w:rPr>
      </w:pPr>
    </w:p>
    <w:p>
      <w:pPr>
        <w:jc w:val="both"/>
        <w:ind w:left="640"/>
        <w:spacing w:after="0" w:line="235" w:lineRule="auto"/>
        <w:rPr>
          <w:rFonts w:ascii="Verdana" w:cs="Verdana" w:eastAsia="Verdana" w:hAnsi="Verdana"/>
          <w:sz w:val="18"/>
          <w:szCs w:val="18"/>
          <w:b w:val="1"/>
          <w:bCs w:val="1"/>
          <w:color w:val="auto"/>
        </w:rPr>
      </w:pPr>
      <w:r>
        <w:rPr>
          <w:rFonts w:ascii="Verdana" w:cs="Verdana" w:eastAsia="Verdana" w:hAnsi="Verdana"/>
          <w:sz w:val="18"/>
          <w:szCs w:val="18"/>
          <w:color w:val="auto"/>
        </w:rPr>
        <w:t xml:space="preserve">Cash dividends on shares of Common Stock issuable hereunder shall be credited to a dividend book entry account on behalf of the Participant with respect to each RSU granted to the Participant; </w:t>
      </w:r>
      <w:r>
        <w:rPr>
          <w:rFonts w:ascii="Verdana" w:cs="Verdana" w:eastAsia="Verdana" w:hAnsi="Verdana"/>
          <w:sz w:val="18"/>
          <w:szCs w:val="18"/>
          <w:u w:val="single" w:color="auto"/>
          <w:color w:val="auto"/>
        </w:rPr>
        <w:t>provided</w:t>
      </w:r>
      <w:r>
        <w:rPr>
          <w:rFonts w:ascii="Verdana" w:cs="Verdana" w:eastAsia="Verdana" w:hAnsi="Verdana"/>
          <w:sz w:val="18"/>
          <w:szCs w:val="18"/>
          <w:color w:val="auto"/>
        </w:rPr>
        <w:t xml:space="preserve"> that such cash dividends shall be deemed to be reinvested in shares of Common Stock immediately following the time declared at the then Fair Market Value of the Common Stock and shall vest and be paid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Verdana" w:cs="Verdana" w:eastAsia="Verdana" w:hAnsi="Verdana"/>
          <w:sz w:val="14"/>
          <w:szCs w:val="14"/>
          <w:color w:val="auto"/>
        </w:rPr>
        <w:t>2026 RSU Agreement (ALL)</w:t>
      </w:r>
    </w:p>
    <w:p>
      <w:pPr>
        <w:sectPr>
          <w:pgSz w:w="11900" w:h="16838" w:orient="portrait"/>
          <w:cols w:equalWidth="0" w:num="1">
            <w:col w:w="11240"/>
          </w:cols>
          <w:pgMar w:left="320" w:top="386" w:right="339" w:bottom="1440" w:gutter="0" w:footer="0" w:header="0"/>
        </w:sectPr>
      </w:pPr>
    </w:p>
    <w:bookmarkStart w:id="208" w:name="page209"/>
    <w:bookmarkEnd w:id="208"/>
    <w:p>
      <w:pPr>
        <w:spacing w:after="0" w:line="200" w:lineRule="exact"/>
        <w:rPr>
          <w:sz w:val="20"/>
          <w:szCs w:val="20"/>
          <w:color w:val="auto"/>
        </w:rPr>
      </w:pPr>
    </w:p>
    <w:p>
      <w:pPr>
        <w:spacing w:after="0" w:line="232" w:lineRule="exact"/>
        <w:rPr>
          <w:sz w:val="20"/>
          <w:szCs w:val="20"/>
          <w:color w:val="auto"/>
        </w:rPr>
      </w:pPr>
    </w:p>
    <w:p>
      <w:pPr>
        <w:jc w:val="both"/>
        <w:ind w:left="640"/>
        <w:spacing w:after="0" w:line="264" w:lineRule="auto"/>
        <w:rPr>
          <w:sz w:val="20"/>
          <w:szCs w:val="20"/>
          <w:color w:val="auto"/>
        </w:rPr>
      </w:pPr>
      <w:r>
        <w:rPr>
          <w:rFonts w:ascii="Verdana" w:cs="Verdana" w:eastAsia="Verdana" w:hAnsi="Verdana"/>
          <w:sz w:val="16"/>
          <w:szCs w:val="16"/>
          <w:color w:val="auto"/>
        </w:rPr>
        <w:t xml:space="preserve">same time that the shares of Common Stock underlying the RSUs vest and are delivered to the Participant in accordance with the provisions hereof. Stock dividends on shares of Common Stock issuable hereunder shall be credited to a dividend book entry account on behalf of the Participant with respect to each RSU granted to the Participant; </w:t>
      </w:r>
      <w:r>
        <w:rPr>
          <w:rFonts w:ascii="Verdana" w:cs="Verdana" w:eastAsia="Verdana" w:hAnsi="Verdana"/>
          <w:sz w:val="16"/>
          <w:szCs w:val="16"/>
          <w:u w:val="single" w:color="auto"/>
          <w:color w:val="auto"/>
        </w:rPr>
        <w:t>provided</w:t>
      </w:r>
      <w:r>
        <w:rPr>
          <w:rFonts w:ascii="Verdana" w:cs="Verdana" w:eastAsia="Verdana" w:hAnsi="Verdana"/>
          <w:sz w:val="16"/>
          <w:szCs w:val="16"/>
          <w:color w:val="auto"/>
        </w:rPr>
        <w:t xml:space="preserve"> that such stock dividends shall vest and be paid at the same time that the shares of Common Stock underlying the RSUs vest and are delivered to the Participant in accordance with the provisions hereof. Notwithstanding the foregoing, in the event that there are insufficient shares of Common Stock available in the Plan to settle the accrued dividend book entry account in shares of Common Stock, such accrued book entry account shall be settled in cash in an amount equal to the Fair Market Value of such shares of Common Stock at the time of settlement. Except as otherwise provided herein, the Participant shall have no rights as a stockholder with respect to any shares of Common Stock underlying any RSU unless and until the Participant has become the holder of record of such shares.</w:t>
      </w:r>
    </w:p>
    <w:p>
      <w:pPr>
        <w:spacing w:after="0" w:line="364" w:lineRule="exact"/>
        <w:rPr>
          <w:sz w:val="20"/>
          <w:szCs w:val="20"/>
          <w:color w:val="auto"/>
        </w:rPr>
      </w:pPr>
    </w:p>
    <w:p>
      <w:pPr>
        <w:ind w:left="620" w:hanging="615"/>
        <w:spacing w:after="0"/>
        <w:tabs>
          <w:tab w:leader="none" w:pos="620" w:val="left"/>
        </w:tabs>
        <w:numPr>
          <w:ilvl w:val="0"/>
          <w:numId w:val="139"/>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Transfer of RSUs</w:t>
      </w:r>
    </w:p>
    <w:p>
      <w:pPr>
        <w:spacing w:after="0" w:line="202" w:lineRule="exact"/>
        <w:rPr>
          <w:rFonts w:ascii="Verdana" w:cs="Verdana" w:eastAsia="Verdana" w:hAnsi="Verdana"/>
          <w:sz w:val="18"/>
          <w:szCs w:val="18"/>
          <w:b w:val="1"/>
          <w:bCs w:val="1"/>
          <w:color w:val="auto"/>
        </w:rPr>
      </w:pPr>
    </w:p>
    <w:p>
      <w:pPr>
        <w:jc w:val="both"/>
        <w:ind w:left="640"/>
        <w:spacing w:after="0" w:line="237" w:lineRule="auto"/>
        <w:rPr>
          <w:rFonts w:ascii="Verdana" w:cs="Verdana" w:eastAsia="Verdana" w:hAnsi="Verdana"/>
          <w:sz w:val="18"/>
          <w:szCs w:val="18"/>
          <w:b w:val="1"/>
          <w:bCs w:val="1"/>
          <w:color w:val="auto"/>
        </w:rPr>
      </w:pPr>
      <w:r>
        <w:rPr>
          <w:rFonts w:ascii="Verdana" w:cs="Verdana" w:eastAsia="Verdana" w:hAnsi="Verdana"/>
          <w:sz w:val="18"/>
          <w:szCs w:val="18"/>
          <w:color w:val="auto"/>
        </w:rPr>
        <w:t xml:space="preserve">Unless otherwise permitted by the Committee or </w:t>
      </w:r>
      <w:r>
        <w:rPr>
          <w:rFonts w:ascii="Verdana" w:cs="Verdana" w:eastAsia="Verdana" w:hAnsi="Verdana"/>
          <w:sz w:val="18"/>
          <w:szCs w:val="18"/>
          <w:u w:val="single" w:color="auto"/>
          <w:color w:val="auto"/>
        </w:rPr>
        <w:t>Section 14</w:t>
      </w:r>
      <w:r>
        <w:rPr>
          <w:rFonts w:ascii="Verdana" w:cs="Verdana" w:eastAsia="Verdana" w:hAnsi="Verdana"/>
          <w:sz w:val="18"/>
          <w:szCs w:val="18"/>
          <w:color w:val="auto"/>
        </w:rPr>
        <w:t xml:space="preserve"> of the Plan, the RSUs may not be sold, transferred, pledged, assigned or otherwise alienated or hypothecated, other than pursuant to a will or the laws of descent and distribution. Any attempted disposition in violation of this </w:t>
      </w:r>
      <w:r>
        <w:rPr>
          <w:rFonts w:ascii="Verdana" w:cs="Verdana" w:eastAsia="Verdana" w:hAnsi="Verdana"/>
          <w:sz w:val="18"/>
          <w:szCs w:val="18"/>
          <w:u w:val="single" w:color="auto"/>
          <w:color w:val="auto"/>
        </w:rPr>
        <w:t>Section 5</w:t>
      </w:r>
      <w:r>
        <w:rPr>
          <w:rFonts w:ascii="Verdana" w:cs="Verdana" w:eastAsia="Verdana" w:hAnsi="Verdana"/>
          <w:sz w:val="18"/>
          <w:szCs w:val="18"/>
          <w:color w:val="auto"/>
        </w:rPr>
        <w:t xml:space="preserve"> and </w:t>
      </w:r>
      <w:r>
        <w:rPr>
          <w:rFonts w:ascii="Verdana" w:cs="Verdana" w:eastAsia="Verdana" w:hAnsi="Verdana"/>
          <w:sz w:val="18"/>
          <w:szCs w:val="18"/>
          <w:u w:val="single" w:color="auto"/>
          <w:color w:val="auto"/>
        </w:rPr>
        <w:t>Section 14</w:t>
      </w:r>
      <w:r>
        <w:rPr>
          <w:rFonts w:ascii="Verdana" w:cs="Verdana" w:eastAsia="Verdana" w:hAnsi="Verdana"/>
          <w:sz w:val="18"/>
          <w:szCs w:val="18"/>
          <w:color w:val="auto"/>
        </w:rPr>
        <w:t xml:space="preserve"> of the Plan shall be void.</w:t>
      </w:r>
    </w:p>
    <w:p>
      <w:pPr>
        <w:spacing w:after="0" w:line="167" w:lineRule="exact"/>
        <w:rPr>
          <w:rFonts w:ascii="Verdana" w:cs="Verdana" w:eastAsia="Verdana" w:hAnsi="Verdana"/>
          <w:sz w:val="18"/>
          <w:szCs w:val="18"/>
          <w:b w:val="1"/>
          <w:bCs w:val="1"/>
          <w:color w:val="auto"/>
        </w:rPr>
      </w:pPr>
    </w:p>
    <w:p>
      <w:pPr>
        <w:ind w:left="620" w:hanging="615"/>
        <w:spacing w:after="0"/>
        <w:tabs>
          <w:tab w:leader="none" w:pos="620" w:val="left"/>
        </w:tabs>
        <w:numPr>
          <w:ilvl w:val="0"/>
          <w:numId w:val="139"/>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Status of Participant</w:t>
      </w:r>
    </w:p>
    <w:p>
      <w:pPr>
        <w:spacing w:after="0" w:line="189" w:lineRule="exact"/>
        <w:rPr>
          <w:rFonts w:ascii="Verdana" w:cs="Verdana" w:eastAsia="Verdana" w:hAnsi="Verdana"/>
          <w:sz w:val="18"/>
          <w:szCs w:val="18"/>
          <w:b w:val="1"/>
          <w:bCs w:val="1"/>
          <w:color w:val="auto"/>
        </w:rPr>
      </w:pPr>
    </w:p>
    <w:p>
      <w:pPr>
        <w:jc w:val="both"/>
        <w:ind w:left="640"/>
        <w:spacing w:after="0" w:line="234" w:lineRule="auto"/>
        <w:rPr>
          <w:rFonts w:ascii="Verdana" w:cs="Verdana" w:eastAsia="Verdana" w:hAnsi="Verdana"/>
          <w:sz w:val="18"/>
          <w:szCs w:val="18"/>
          <w:b w:val="1"/>
          <w:bCs w:val="1"/>
          <w:color w:val="auto"/>
        </w:rPr>
      </w:pPr>
      <w:r>
        <w:rPr>
          <w:rFonts w:ascii="Verdana" w:cs="Verdana" w:eastAsia="Verdana" w:hAnsi="Verdana"/>
          <w:sz w:val="18"/>
          <w:szCs w:val="18"/>
          <w:color w:val="auto"/>
        </w:rPr>
        <w:t>The Participant shall not be, and, except as otherwise provided herein, shall not have rights as, a stockholder of the Company with respect to any of the shares of Common Stock subject to this Award, unless the Award has vested and shares of Common Stock underlying the RSUs have been issued and delivered to the Participant. The Company shall not be required to issue or transfer any certificates for shares of Common Stock upon vesting of the Award until all applicable requirements of law have been complied with and such shares have been duly listed on any securities exchange on which the Common Stock may then be listed.</w:t>
      </w:r>
    </w:p>
    <w:p>
      <w:pPr>
        <w:spacing w:after="0" w:line="167" w:lineRule="exact"/>
        <w:rPr>
          <w:rFonts w:ascii="Verdana" w:cs="Verdana" w:eastAsia="Verdana" w:hAnsi="Verdana"/>
          <w:sz w:val="18"/>
          <w:szCs w:val="18"/>
          <w:b w:val="1"/>
          <w:bCs w:val="1"/>
          <w:color w:val="auto"/>
        </w:rPr>
      </w:pPr>
    </w:p>
    <w:p>
      <w:pPr>
        <w:ind w:left="620" w:hanging="615"/>
        <w:spacing w:after="0"/>
        <w:tabs>
          <w:tab w:leader="none" w:pos="620" w:val="left"/>
        </w:tabs>
        <w:numPr>
          <w:ilvl w:val="0"/>
          <w:numId w:val="139"/>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No Effect on Capital Structure</w:t>
      </w:r>
    </w:p>
    <w:p>
      <w:pPr>
        <w:spacing w:after="0" w:line="189" w:lineRule="exact"/>
        <w:rPr>
          <w:rFonts w:ascii="Verdana" w:cs="Verdana" w:eastAsia="Verdana" w:hAnsi="Verdana"/>
          <w:sz w:val="18"/>
          <w:szCs w:val="18"/>
          <w:b w:val="1"/>
          <w:bCs w:val="1"/>
          <w:color w:val="auto"/>
        </w:rPr>
      </w:pPr>
    </w:p>
    <w:p>
      <w:pPr>
        <w:jc w:val="both"/>
        <w:ind w:left="640"/>
        <w:spacing w:after="0" w:line="237" w:lineRule="auto"/>
        <w:rPr>
          <w:rFonts w:ascii="Verdana" w:cs="Verdana" w:eastAsia="Verdana" w:hAnsi="Verdana"/>
          <w:sz w:val="18"/>
          <w:szCs w:val="18"/>
          <w:b w:val="1"/>
          <w:bCs w:val="1"/>
          <w:color w:val="auto"/>
        </w:rPr>
      </w:pPr>
      <w:r>
        <w:rPr>
          <w:rFonts w:ascii="Verdana" w:cs="Verdana" w:eastAsia="Verdana" w:hAnsi="Verdana"/>
          <w:sz w:val="18"/>
          <w:szCs w:val="18"/>
          <w:color w:val="auto"/>
        </w:rPr>
        <w:t>This Award shall not affect the right of the Company or any Subsidiary to reclassify, recapitalize or otherwise change its capital or debt structure or to merge, consolidate, convey any or all of its assets, dissolve, liquidate, windup, or otherwise reorganize.</w:t>
      </w:r>
    </w:p>
    <w:p>
      <w:pPr>
        <w:spacing w:after="0" w:line="167" w:lineRule="exact"/>
        <w:rPr>
          <w:rFonts w:ascii="Verdana" w:cs="Verdana" w:eastAsia="Verdana" w:hAnsi="Verdana"/>
          <w:sz w:val="18"/>
          <w:szCs w:val="18"/>
          <w:b w:val="1"/>
          <w:bCs w:val="1"/>
          <w:color w:val="auto"/>
        </w:rPr>
      </w:pPr>
    </w:p>
    <w:p>
      <w:pPr>
        <w:ind w:left="620" w:hanging="615"/>
        <w:spacing w:after="0"/>
        <w:tabs>
          <w:tab w:leader="none" w:pos="620" w:val="left"/>
        </w:tabs>
        <w:numPr>
          <w:ilvl w:val="0"/>
          <w:numId w:val="139"/>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Expiration and Forfeiture of Award</w:t>
      </w:r>
    </w:p>
    <w:p>
      <w:pPr>
        <w:spacing w:after="0" w:line="202" w:lineRule="exact"/>
        <w:rPr>
          <w:rFonts w:ascii="Verdana" w:cs="Verdana" w:eastAsia="Verdana" w:hAnsi="Verdana"/>
          <w:sz w:val="18"/>
          <w:szCs w:val="18"/>
          <w:b w:val="1"/>
          <w:bCs w:val="1"/>
          <w:color w:val="auto"/>
        </w:rPr>
      </w:pPr>
    </w:p>
    <w:p>
      <w:pPr>
        <w:jc w:val="both"/>
        <w:ind w:left="640"/>
        <w:spacing w:after="0" w:line="237" w:lineRule="auto"/>
        <w:rPr>
          <w:rFonts w:ascii="Verdana" w:cs="Verdana" w:eastAsia="Verdana" w:hAnsi="Verdana"/>
          <w:sz w:val="18"/>
          <w:szCs w:val="18"/>
          <w:b w:val="1"/>
          <w:bCs w:val="1"/>
          <w:color w:val="auto"/>
        </w:rPr>
      </w:pPr>
      <w:r>
        <w:rPr>
          <w:rFonts w:ascii="Verdana" w:cs="Verdana" w:eastAsia="Verdana" w:hAnsi="Verdana"/>
          <w:sz w:val="18"/>
          <w:szCs w:val="18"/>
          <w:color w:val="auto"/>
        </w:rPr>
        <w:t xml:space="preserve">This Award shall vest and/or expire in the circumstances described in this </w:t>
      </w:r>
      <w:r>
        <w:rPr>
          <w:rFonts w:ascii="Verdana" w:cs="Verdana" w:eastAsia="Verdana" w:hAnsi="Verdana"/>
          <w:sz w:val="18"/>
          <w:szCs w:val="18"/>
          <w:u w:val="single" w:color="auto"/>
          <w:color w:val="auto"/>
        </w:rPr>
        <w:t>Section 8</w:t>
      </w:r>
      <w:r>
        <w:rPr>
          <w:rFonts w:ascii="Verdana" w:cs="Verdana" w:eastAsia="Verdana" w:hAnsi="Verdana"/>
          <w:sz w:val="18"/>
          <w:szCs w:val="18"/>
          <w:color w:val="auto"/>
        </w:rPr>
        <w:t>. As used herein, “</w:t>
      </w:r>
      <w:r>
        <w:rPr>
          <w:rFonts w:ascii="Verdana" w:cs="Verdana" w:eastAsia="Verdana" w:hAnsi="Verdana"/>
          <w:sz w:val="18"/>
          <w:szCs w:val="18"/>
          <w:u w:val="single" w:color="auto"/>
          <w:color w:val="auto"/>
        </w:rPr>
        <w:t>Termination of</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auto"/>
        </w:rPr>
        <w:t>Service</w:t>
      </w:r>
      <w:r>
        <w:rPr>
          <w:rFonts w:ascii="Verdana" w:cs="Verdana" w:eastAsia="Verdana" w:hAnsi="Verdana"/>
          <w:sz w:val="18"/>
          <w:szCs w:val="18"/>
          <w:color w:val="auto"/>
        </w:rPr>
        <w:t>” means termination of a Participant’s employment by, or service to, the Company, including any of its Subsidiaries.</w:t>
      </w:r>
    </w:p>
    <w:p>
      <w:pPr>
        <w:spacing w:after="0" w:line="167" w:lineRule="exact"/>
        <w:rPr>
          <w:rFonts w:ascii="Verdana" w:cs="Verdana" w:eastAsia="Verdana" w:hAnsi="Verdana"/>
          <w:sz w:val="18"/>
          <w:szCs w:val="18"/>
          <w:b w:val="1"/>
          <w:bCs w:val="1"/>
          <w:color w:val="auto"/>
        </w:rPr>
      </w:pPr>
    </w:p>
    <w:p>
      <w:pPr>
        <w:ind w:left="1260" w:hanging="623"/>
        <w:spacing w:after="0"/>
        <w:tabs>
          <w:tab w:leader="none" w:pos="1260" w:val="left"/>
        </w:tabs>
        <w:numPr>
          <w:ilvl w:val="1"/>
          <w:numId w:val="139"/>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Death</w:t>
      </w:r>
    </w:p>
    <w:p>
      <w:pPr>
        <w:spacing w:after="0" w:line="189" w:lineRule="exact"/>
        <w:rPr>
          <w:sz w:val="20"/>
          <w:szCs w:val="20"/>
          <w:color w:val="auto"/>
        </w:rPr>
      </w:pPr>
    </w:p>
    <w:p>
      <w:pPr>
        <w:ind w:left="640"/>
        <w:spacing w:after="0" w:line="241" w:lineRule="auto"/>
        <w:rPr>
          <w:sz w:val="20"/>
          <w:szCs w:val="20"/>
          <w:color w:val="auto"/>
        </w:rPr>
      </w:pPr>
      <w:r>
        <w:rPr>
          <w:rFonts w:ascii="Verdana" w:cs="Verdana" w:eastAsia="Verdana" w:hAnsi="Verdana"/>
          <w:sz w:val="18"/>
          <w:szCs w:val="18"/>
          <w:color w:val="auto"/>
        </w:rPr>
        <w:t>Upon a Termination of Service by reason of death, the Award shall vest in full and the Common Stock underlying the RSUs shall be issued and delivered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Verdana" w:cs="Verdana" w:eastAsia="Verdana" w:hAnsi="Verdana"/>
          <w:sz w:val="14"/>
          <w:szCs w:val="14"/>
          <w:color w:val="auto"/>
        </w:rPr>
        <w:t>2026 RSU Agreement (ALL)</w:t>
      </w:r>
    </w:p>
    <w:p>
      <w:pPr>
        <w:spacing w:after="0" w:line="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200" w:lineRule="exact"/>
        <w:rPr>
          <w:sz w:val="20"/>
          <w:szCs w:val="20"/>
          <w:color w:val="auto"/>
        </w:rPr>
      </w:pPr>
    </w:p>
    <w:p>
      <w:pPr>
        <w:spacing w:after="0" w:line="232" w:lineRule="exact"/>
        <w:rPr>
          <w:sz w:val="20"/>
          <w:szCs w:val="20"/>
          <w:color w:val="auto"/>
        </w:rPr>
      </w:pPr>
    </w:p>
    <w:p>
      <w:pPr>
        <w:ind w:left="640"/>
        <w:spacing w:after="0"/>
        <w:rPr>
          <w:sz w:val="20"/>
          <w:szCs w:val="20"/>
          <w:color w:val="auto"/>
        </w:rPr>
      </w:pPr>
      <w:r>
        <w:rPr>
          <w:rFonts w:ascii="Verdana" w:cs="Verdana" w:eastAsia="Verdana" w:hAnsi="Verdana"/>
          <w:sz w:val="18"/>
          <w:szCs w:val="18"/>
          <w:color w:val="auto"/>
        </w:rPr>
        <w:t xml:space="preserve">Participant’s legal representatives, heirs, legatees, or distributees in accordance with </w:t>
      </w:r>
      <w:r>
        <w:rPr>
          <w:rFonts w:ascii="Verdana" w:cs="Verdana" w:eastAsia="Verdana" w:hAnsi="Verdana"/>
          <w:sz w:val="18"/>
          <w:szCs w:val="18"/>
          <w:u w:val="single" w:color="auto"/>
          <w:color w:val="auto"/>
        </w:rPr>
        <w:t>Section 3</w:t>
      </w:r>
      <w:r>
        <w:rPr>
          <w:rFonts w:ascii="Verdana" w:cs="Verdana" w:eastAsia="Verdana" w:hAnsi="Verdana"/>
          <w:sz w:val="18"/>
          <w:szCs w:val="18"/>
          <w:color w:val="auto"/>
        </w:rPr>
        <w:t>.</w:t>
      </w:r>
    </w:p>
    <w:p>
      <w:pPr>
        <w:spacing w:after="0" w:line="176" w:lineRule="exact"/>
        <w:rPr>
          <w:sz w:val="20"/>
          <w:szCs w:val="20"/>
          <w:color w:val="auto"/>
        </w:rPr>
      </w:pPr>
    </w:p>
    <w:p>
      <w:pPr>
        <w:ind w:left="1260" w:hanging="623"/>
        <w:spacing w:after="0"/>
        <w:tabs>
          <w:tab w:leader="none" w:pos="1260" w:val="left"/>
        </w:tabs>
        <w:numPr>
          <w:ilvl w:val="0"/>
          <w:numId w:val="140"/>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Retirement</w:t>
      </w:r>
    </w:p>
    <w:p>
      <w:pPr>
        <w:spacing w:after="0" w:line="202" w:lineRule="exact"/>
        <w:rPr>
          <w:sz w:val="20"/>
          <w:szCs w:val="20"/>
          <w:color w:val="auto"/>
        </w:rPr>
      </w:pPr>
    </w:p>
    <w:p>
      <w:pPr>
        <w:jc w:val="both"/>
        <w:ind w:left="640"/>
        <w:spacing w:after="0" w:line="237" w:lineRule="auto"/>
        <w:rPr>
          <w:sz w:val="20"/>
          <w:szCs w:val="20"/>
          <w:color w:val="auto"/>
        </w:rPr>
      </w:pPr>
      <w:r>
        <w:rPr>
          <w:rFonts w:ascii="Verdana" w:cs="Verdana" w:eastAsia="Verdana" w:hAnsi="Verdana"/>
          <w:sz w:val="18"/>
          <w:szCs w:val="18"/>
          <w:color w:val="auto"/>
        </w:rPr>
        <w:t xml:space="preserve">Upon a Termination of Service in the event of Retirement, the Award shall continue to vest according to the vesting schedule; </w:t>
      </w:r>
      <w:r>
        <w:rPr>
          <w:rFonts w:ascii="Verdana" w:cs="Verdana" w:eastAsia="Verdana" w:hAnsi="Verdana"/>
          <w:sz w:val="18"/>
          <w:szCs w:val="18"/>
          <w:u w:val="single" w:color="auto"/>
          <w:color w:val="auto"/>
        </w:rPr>
        <w:t>provided</w:t>
      </w:r>
      <w:r>
        <w:rPr>
          <w:rFonts w:ascii="Verdana" w:cs="Verdana" w:eastAsia="Verdana" w:hAnsi="Verdana"/>
          <w:sz w:val="18"/>
          <w:szCs w:val="18"/>
          <w:color w:val="auto"/>
        </w:rPr>
        <w:t xml:space="preserve"> that Retirement occurs more than twelve (12) months following the Date of Grant. Upon vesting, the Award shall be issued and delivered to the Participant in accordance with </w:t>
      </w:r>
      <w:r>
        <w:rPr>
          <w:rFonts w:ascii="Verdana" w:cs="Verdana" w:eastAsia="Verdana" w:hAnsi="Verdana"/>
          <w:sz w:val="18"/>
          <w:szCs w:val="18"/>
          <w:u w:val="single" w:color="auto"/>
          <w:color w:val="auto"/>
        </w:rPr>
        <w:t>Section 3</w:t>
      </w:r>
      <w:r>
        <w:rPr>
          <w:rFonts w:ascii="Verdana" w:cs="Verdana" w:eastAsia="Verdana" w:hAnsi="Verdana"/>
          <w:sz w:val="18"/>
          <w:szCs w:val="18"/>
          <w:color w:val="auto"/>
        </w:rPr>
        <w:t>.</w:t>
      </w:r>
    </w:p>
    <w:p>
      <w:pPr>
        <w:spacing w:after="0" w:line="168" w:lineRule="exact"/>
        <w:rPr>
          <w:sz w:val="20"/>
          <w:szCs w:val="20"/>
          <w:color w:val="auto"/>
        </w:rPr>
      </w:pPr>
    </w:p>
    <w:p>
      <w:pPr>
        <w:ind w:left="1260" w:hanging="623"/>
        <w:spacing w:after="0"/>
        <w:tabs>
          <w:tab w:leader="none" w:pos="1260" w:val="left"/>
        </w:tabs>
        <w:numPr>
          <w:ilvl w:val="0"/>
          <w:numId w:val="141"/>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Disability</w:t>
      </w:r>
    </w:p>
    <w:p>
      <w:pPr>
        <w:spacing w:after="0" w:line="189" w:lineRule="exact"/>
        <w:rPr>
          <w:sz w:val="20"/>
          <w:szCs w:val="20"/>
          <w:color w:val="auto"/>
        </w:rPr>
      </w:pPr>
    </w:p>
    <w:p>
      <w:pPr>
        <w:ind w:left="640"/>
        <w:spacing w:after="0" w:line="241" w:lineRule="auto"/>
        <w:rPr>
          <w:sz w:val="20"/>
          <w:szCs w:val="20"/>
          <w:color w:val="auto"/>
        </w:rPr>
      </w:pPr>
      <w:r>
        <w:rPr>
          <w:rFonts w:ascii="Verdana" w:cs="Verdana" w:eastAsia="Verdana" w:hAnsi="Verdana"/>
          <w:sz w:val="18"/>
          <w:szCs w:val="18"/>
          <w:color w:val="auto"/>
        </w:rPr>
        <w:t xml:space="preserve">Upon a Termination of Service as a result of Disability, the Award shall vest in full, and the Common Stock underlying the RSUs shall be issued and delivered to the Participant in accordance with </w:t>
      </w:r>
      <w:r>
        <w:rPr>
          <w:rFonts w:ascii="Verdana" w:cs="Verdana" w:eastAsia="Verdana" w:hAnsi="Verdana"/>
          <w:sz w:val="18"/>
          <w:szCs w:val="18"/>
          <w:u w:val="single" w:color="auto"/>
          <w:color w:val="auto"/>
        </w:rPr>
        <w:t>Section 3</w:t>
      </w:r>
      <w:r>
        <w:rPr>
          <w:rFonts w:ascii="Verdana" w:cs="Verdana" w:eastAsia="Verdana" w:hAnsi="Verdana"/>
          <w:sz w:val="18"/>
          <w:szCs w:val="18"/>
          <w:color w:val="auto"/>
        </w:rPr>
        <w:t>.</w:t>
      </w:r>
    </w:p>
    <w:p>
      <w:pPr>
        <w:spacing w:after="0" w:line="166" w:lineRule="exact"/>
        <w:rPr>
          <w:sz w:val="20"/>
          <w:szCs w:val="20"/>
          <w:color w:val="auto"/>
        </w:rPr>
      </w:pPr>
    </w:p>
    <w:p>
      <w:pPr>
        <w:ind w:left="1260" w:hanging="623"/>
        <w:spacing w:after="0"/>
        <w:tabs>
          <w:tab w:leader="none" w:pos="1260" w:val="left"/>
        </w:tabs>
        <w:numPr>
          <w:ilvl w:val="0"/>
          <w:numId w:val="142"/>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Change in Control</w:t>
      </w:r>
    </w:p>
    <w:p>
      <w:pPr>
        <w:spacing w:after="0" w:line="189" w:lineRule="exact"/>
        <w:rPr>
          <w:sz w:val="20"/>
          <w:szCs w:val="20"/>
          <w:color w:val="auto"/>
        </w:rPr>
      </w:pPr>
    </w:p>
    <w:p>
      <w:pPr>
        <w:jc w:val="both"/>
        <w:ind w:left="640"/>
        <w:spacing w:after="0" w:line="266" w:lineRule="auto"/>
        <w:rPr>
          <w:sz w:val="20"/>
          <w:szCs w:val="20"/>
          <w:color w:val="auto"/>
        </w:rPr>
      </w:pPr>
      <w:r>
        <w:rPr>
          <w:rFonts w:ascii="Verdana" w:cs="Verdana" w:eastAsia="Verdana" w:hAnsi="Verdana"/>
          <w:sz w:val="16"/>
          <w:szCs w:val="16"/>
          <w:color w:val="auto"/>
        </w:rPr>
        <w:t xml:space="preserve">Notwithstanding anything in this </w:t>
      </w:r>
      <w:r>
        <w:rPr>
          <w:rFonts w:ascii="Verdana" w:cs="Verdana" w:eastAsia="Verdana" w:hAnsi="Verdana"/>
          <w:sz w:val="16"/>
          <w:szCs w:val="16"/>
          <w:u w:val="single" w:color="auto"/>
          <w:color w:val="auto"/>
        </w:rPr>
        <w:t>Section 8</w:t>
      </w:r>
      <w:r>
        <w:rPr>
          <w:rFonts w:ascii="Verdana" w:cs="Verdana" w:eastAsia="Verdana" w:hAnsi="Verdana"/>
          <w:sz w:val="16"/>
          <w:szCs w:val="16"/>
          <w:color w:val="auto"/>
        </w:rPr>
        <w:t xml:space="preserve"> to the contrary, upon a Termination of Service without Cause in connection with a Change in Control, the RSUs shall vest in full immediately upon the later of such Change in Control or such termination of employment. Upon vesting, the Award shall be issued and delivered to the Participant in accordance with </w:t>
      </w:r>
      <w:r>
        <w:rPr>
          <w:rFonts w:ascii="Verdana" w:cs="Verdana" w:eastAsia="Verdana" w:hAnsi="Verdana"/>
          <w:sz w:val="16"/>
          <w:szCs w:val="16"/>
          <w:u w:val="single" w:color="auto"/>
          <w:color w:val="auto"/>
        </w:rPr>
        <w:t>Section 3</w:t>
      </w:r>
      <w:r>
        <w:rPr>
          <w:rFonts w:ascii="Verdana" w:cs="Verdana" w:eastAsia="Verdana" w:hAnsi="Verdana"/>
          <w:sz w:val="16"/>
          <w:szCs w:val="16"/>
          <w:color w:val="auto"/>
        </w:rPr>
        <w:t>. A Termination of Service without Cause may be treated as being in connection with a Change in Control only if such termination occurs during the period beginning six (6) months prior to the Change in Control and ending twenty-four (24) months following the Change in Control. The Committee shall determine, in its sole and absolute discretion, whether there was a Termination of Service without Cause in connection with a Change in Control.</w:t>
      </w:r>
    </w:p>
    <w:p>
      <w:pPr>
        <w:spacing w:after="0" w:line="149" w:lineRule="exact"/>
        <w:rPr>
          <w:sz w:val="20"/>
          <w:szCs w:val="20"/>
          <w:color w:val="auto"/>
        </w:rPr>
      </w:pPr>
    </w:p>
    <w:p>
      <w:pPr>
        <w:ind w:left="1260" w:hanging="623"/>
        <w:spacing w:after="0"/>
        <w:tabs>
          <w:tab w:leader="none" w:pos="1260" w:val="left"/>
        </w:tabs>
        <w:numPr>
          <w:ilvl w:val="0"/>
          <w:numId w:val="143"/>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Eligible Termination</w:t>
      </w:r>
    </w:p>
    <w:p>
      <w:pPr>
        <w:spacing w:after="0" w:line="202" w:lineRule="exact"/>
        <w:rPr>
          <w:sz w:val="20"/>
          <w:szCs w:val="20"/>
          <w:color w:val="auto"/>
        </w:rPr>
      </w:pPr>
    </w:p>
    <w:p>
      <w:pPr>
        <w:jc w:val="both"/>
        <w:ind w:left="640"/>
        <w:spacing w:after="0" w:line="232" w:lineRule="auto"/>
        <w:rPr>
          <w:sz w:val="20"/>
          <w:szCs w:val="20"/>
          <w:color w:val="auto"/>
        </w:rPr>
      </w:pPr>
      <w:r>
        <w:rPr>
          <w:rFonts w:ascii="Verdana" w:cs="Verdana" w:eastAsia="Verdana" w:hAnsi="Verdana"/>
          <w:sz w:val="18"/>
          <w:szCs w:val="18"/>
          <w:color w:val="auto"/>
        </w:rPr>
        <w:t>Upon a Termination of Service by reason of an Eligible Termination (as defined below), the number of RSUs that shall vest and be delivered to the Participant shall be the pro-rated percentage of the total number of RSUs awarded that is equal to the percentage of time during the aggregate vesting period for all RSUs awarded that the Participant was actually continuously employed by the Company, including any of its Subsidiaries (the “</w:t>
      </w:r>
      <w:r>
        <w:rPr>
          <w:rFonts w:ascii="Verdana" w:cs="Verdana" w:eastAsia="Verdana" w:hAnsi="Verdana"/>
          <w:sz w:val="18"/>
          <w:szCs w:val="18"/>
          <w:u w:val="single" w:color="auto"/>
          <w:color w:val="auto"/>
        </w:rPr>
        <w:t>Pro-Rated Award</w:t>
      </w:r>
      <w:r>
        <w:rPr>
          <w:rFonts w:ascii="Verdana" w:cs="Verdana" w:eastAsia="Verdana" w:hAnsi="Verdana"/>
          <w:sz w:val="18"/>
          <w:szCs w:val="18"/>
          <w:color w:val="auto"/>
        </w:rPr>
        <w:t xml:space="preserve">”). The Pro-Rated Award shall vest on the fifteenth (15th) day of the month that follows the month in which the Release (as defined below) becomes irrevocable; </w:t>
      </w:r>
      <w:r>
        <w:rPr>
          <w:rFonts w:ascii="Verdana" w:cs="Verdana" w:eastAsia="Verdana" w:hAnsi="Verdana"/>
          <w:sz w:val="18"/>
          <w:szCs w:val="18"/>
          <w:u w:val="single" w:color="auto"/>
          <w:color w:val="auto"/>
        </w:rPr>
        <w:t>provided</w:t>
      </w:r>
      <w:r>
        <w:rPr>
          <w:rFonts w:ascii="Verdana" w:cs="Verdana" w:eastAsia="Verdana" w:hAnsi="Verdana"/>
          <w:sz w:val="18"/>
          <w:szCs w:val="18"/>
          <w:color w:val="auto"/>
        </w:rPr>
        <w:t xml:space="preserve">, that (i) in the event the aggregate consideration and revocation period applicable to the Release ends after December 15 or spans two (2) calendar years, vesting of the Pro-Rated Award shall occur in the second calendar year; and (ii) in the event the aggregate consideration and revocation period applicable to the Release ends on or before December 15, the Pro-Rated Award shall vest on December 20. Upon vesting, the Pro-Rated Award shall be issued and delivered to the Participant in accordance with </w:t>
      </w:r>
      <w:r>
        <w:rPr>
          <w:rFonts w:ascii="Verdana" w:cs="Verdana" w:eastAsia="Verdana" w:hAnsi="Verdana"/>
          <w:sz w:val="18"/>
          <w:szCs w:val="18"/>
          <w:u w:val="single" w:color="auto"/>
          <w:color w:val="auto"/>
        </w:rPr>
        <w:t>Section 3</w:t>
      </w:r>
      <w:r>
        <w:rPr>
          <w:rFonts w:ascii="Verdana" w:cs="Verdana" w:eastAsia="Verdana" w:hAnsi="Verdana"/>
          <w:sz w:val="18"/>
          <w:szCs w:val="18"/>
          <w:color w:val="auto"/>
        </w:rPr>
        <w:t>, provided, for the avoidance of doubt, that any payment pursuant to Section 3 with respect to a Pro-Rated Award shall be made within two and one-half months of the end of such calendar year.</w:t>
      </w:r>
    </w:p>
    <w:p>
      <w:pPr>
        <w:spacing w:after="0" w:line="199" w:lineRule="exact"/>
        <w:rPr>
          <w:sz w:val="20"/>
          <w:szCs w:val="20"/>
          <w:color w:val="auto"/>
        </w:rPr>
      </w:pPr>
    </w:p>
    <w:p>
      <w:pPr>
        <w:jc w:val="both"/>
        <w:ind w:left="640"/>
        <w:spacing w:after="0" w:line="241" w:lineRule="auto"/>
        <w:rPr>
          <w:sz w:val="20"/>
          <w:szCs w:val="20"/>
          <w:color w:val="auto"/>
        </w:rPr>
      </w:pPr>
      <w:r>
        <w:rPr>
          <w:rFonts w:ascii="Verdana" w:cs="Verdana" w:eastAsia="Verdana" w:hAnsi="Verdana"/>
          <w:sz w:val="18"/>
          <w:szCs w:val="18"/>
          <w:color w:val="auto"/>
        </w:rPr>
        <w:t xml:space="preserve">For purposes of this </w:t>
      </w:r>
      <w:r>
        <w:rPr>
          <w:rFonts w:ascii="Verdana" w:cs="Verdana" w:eastAsia="Verdana" w:hAnsi="Verdana"/>
          <w:sz w:val="18"/>
          <w:szCs w:val="18"/>
          <w:u w:val="single" w:color="auto"/>
          <w:color w:val="auto"/>
        </w:rPr>
        <w:t>Section 8(e)</w:t>
      </w:r>
      <w:r>
        <w:rPr>
          <w:rFonts w:ascii="Verdana" w:cs="Verdana" w:eastAsia="Verdana" w:hAnsi="Verdana"/>
          <w:sz w:val="18"/>
          <w:szCs w:val="18"/>
          <w:color w:val="auto"/>
        </w:rPr>
        <w:t>, “</w:t>
      </w:r>
      <w:r>
        <w:rPr>
          <w:rFonts w:ascii="Verdana" w:cs="Verdana" w:eastAsia="Verdana" w:hAnsi="Verdana"/>
          <w:sz w:val="18"/>
          <w:szCs w:val="18"/>
          <w:u w:val="single" w:color="auto"/>
          <w:color w:val="auto"/>
        </w:rPr>
        <w:t>Eligible Termination</w:t>
      </w:r>
      <w:r>
        <w:rPr>
          <w:rFonts w:ascii="Verdana" w:cs="Verdana" w:eastAsia="Verdana" w:hAnsi="Verdana"/>
          <w:sz w:val="18"/>
          <w:szCs w:val="18"/>
          <w:color w:val="auto"/>
        </w:rPr>
        <w:t>” means an involuntary Termination of Service in connection with the sale of a business segment, restructuring or reduction in workforce. In order to be deemed an Eligible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Verdana" w:cs="Verdana" w:eastAsia="Verdana" w:hAnsi="Verdana"/>
          <w:sz w:val="14"/>
          <w:szCs w:val="14"/>
          <w:color w:val="auto"/>
        </w:rPr>
        <w:t>2026 RSU Agreement (ALL)</w:t>
      </w:r>
    </w:p>
    <w:p>
      <w:pPr>
        <w:spacing w:after="0" w:line="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200" w:lineRule="exact"/>
        <w:rPr>
          <w:sz w:val="20"/>
          <w:szCs w:val="20"/>
          <w:color w:val="auto"/>
        </w:rPr>
      </w:pPr>
    </w:p>
    <w:p>
      <w:pPr>
        <w:spacing w:after="0" w:line="232" w:lineRule="exact"/>
        <w:rPr>
          <w:sz w:val="20"/>
          <w:szCs w:val="20"/>
          <w:color w:val="auto"/>
        </w:rPr>
      </w:pPr>
    </w:p>
    <w:p>
      <w:pPr>
        <w:jc w:val="both"/>
        <w:ind w:left="640"/>
        <w:spacing w:after="0" w:line="233" w:lineRule="auto"/>
        <w:rPr>
          <w:sz w:val="20"/>
          <w:szCs w:val="20"/>
          <w:color w:val="auto"/>
        </w:rPr>
      </w:pPr>
      <w:r>
        <w:rPr>
          <w:rFonts w:ascii="Verdana" w:cs="Verdana" w:eastAsia="Verdana" w:hAnsi="Verdana"/>
          <w:sz w:val="18"/>
          <w:szCs w:val="18"/>
          <w:color w:val="auto"/>
        </w:rPr>
        <w:t>Termination, the Participant must execute and not revoke a general release of claims in favor of the Company in a form and with terms and conditions drafted by and acceptable to the Company, which is executed, and not revoked, by the Participant as a condition to receiving the benefit described herein (the “</w:t>
      </w:r>
      <w:r>
        <w:rPr>
          <w:rFonts w:ascii="Verdana" w:cs="Verdana" w:eastAsia="Verdana" w:hAnsi="Verdana"/>
          <w:sz w:val="18"/>
          <w:szCs w:val="18"/>
          <w:u w:val="single" w:color="auto"/>
          <w:color w:val="auto"/>
        </w:rPr>
        <w:t>Release</w:t>
      </w:r>
      <w:r>
        <w:rPr>
          <w:rFonts w:ascii="Verdana" w:cs="Verdana" w:eastAsia="Verdana" w:hAnsi="Verdana"/>
          <w:sz w:val="18"/>
          <w:szCs w:val="18"/>
          <w:color w:val="auto"/>
        </w:rPr>
        <w:t xml:space="preserve">”). For the avoidance of doubt: (i) an involuntary Termination of Service by reason of a Change in Control, Cause, death, or Disability is not an Eligible Termination and (ii) in the event an Eligible Termination occurs and the Participant also meets the requirements for Retirement, the Award shall vest in accordance with </w:t>
      </w:r>
      <w:r>
        <w:rPr>
          <w:rFonts w:ascii="Verdana" w:cs="Verdana" w:eastAsia="Verdana" w:hAnsi="Verdana"/>
          <w:sz w:val="18"/>
          <w:szCs w:val="18"/>
          <w:u w:val="single" w:color="auto"/>
          <w:color w:val="auto"/>
        </w:rPr>
        <w:t>Section 8(b)</w:t>
      </w:r>
      <w:r>
        <w:rPr>
          <w:rFonts w:ascii="Verdana" w:cs="Verdana" w:eastAsia="Verdana" w:hAnsi="Verdana"/>
          <w:sz w:val="18"/>
          <w:szCs w:val="18"/>
          <w:color w:val="auto"/>
        </w:rPr>
        <w:t>. The Company shall determine, in its sole and absolute discretion, whether a Termination of Service was by reason of an Eligible Termination.</w:t>
      </w:r>
    </w:p>
    <w:p>
      <w:pPr>
        <w:spacing w:after="0" w:line="171" w:lineRule="exact"/>
        <w:rPr>
          <w:sz w:val="20"/>
          <w:szCs w:val="20"/>
          <w:color w:val="auto"/>
        </w:rPr>
      </w:pPr>
    </w:p>
    <w:p>
      <w:pPr>
        <w:ind w:left="1260" w:hanging="623"/>
        <w:spacing w:after="0" w:line="226" w:lineRule="auto"/>
        <w:tabs>
          <w:tab w:leader="none" w:pos="1248" w:val="left"/>
        </w:tabs>
        <w:numPr>
          <w:ilvl w:val="0"/>
          <w:numId w:val="144"/>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Termination of Service Other Than as a Result of Death, Retirement, Disability, Change in Control or Eligible Termination</w:t>
      </w:r>
    </w:p>
    <w:p>
      <w:pPr>
        <w:spacing w:after="0" w:line="180" w:lineRule="exact"/>
        <w:rPr>
          <w:sz w:val="20"/>
          <w:szCs w:val="20"/>
          <w:color w:val="auto"/>
        </w:rPr>
      </w:pPr>
    </w:p>
    <w:p>
      <w:pPr>
        <w:jc w:val="both"/>
        <w:ind w:left="640"/>
        <w:spacing w:after="0" w:line="273" w:lineRule="auto"/>
        <w:rPr>
          <w:sz w:val="20"/>
          <w:szCs w:val="20"/>
          <w:color w:val="auto"/>
        </w:rPr>
      </w:pPr>
      <w:r>
        <w:rPr>
          <w:rFonts w:ascii="Verdana" w:cs="Verdana" w:eastAsia="Verdana" w:hAnsi="Verdana"/>
          <w:sz w:val="16"/>
          <w:szCs w:val="16"/>
          <w:color w:val="auto"/>
        </w:rPr>
        <w:t>Upon a Termination of Service by any reason other than death, Retirement, Disability, Eligible Termination or without Cause in connection with a Change in Control, including, without limitation, as a result of retirement or disability that does not meet the requirements set forth in the definitions of such terms in the Plan, voluntary resignation or termination for Cause, any unvested portion of this Award shall expire and be forfeited to the Company.</w:t>
      </w:r>
    </w:p>
    <w:p>
      <w:pPr>
        <w:spacing w:after="0" w:line="142" w:lineRule="exact"/>
        <w:rPr>
          <w:sz w:val="20"/>
          <w:szCs w:val="20"/>
          <w:color w:val="auto"/>
        </w:rPr>
      </w:pPr>
    </w:p>
    <w:p>
      <w:pPr>
        <w:ind w:left="1260" w:hanging="623"/>
        <w:spacing w:after="0"/>
        <w:tabs>
          <w:tab w:leader="none" w:pos="1260" w:val="left"/>
        </w:tabs>
        <w:numPr>
          <w:ilvl w:val="0"/>
          <w:numId w:val="145"/>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Clawback/Repayment as a Result of Misconduct</w:t>
      </w:r>
    </w:p>
    <w:p>
      <w:pPr>
        <w:spacing w:after="0" w:line="189" w:lineRule="exact"/>
        <w:rPr>
          <w:sz w:val="20"/>
          <w:szCs w:val="20"/>
          <w:color w:val="auto"/>
        </w:rPr>
      </w:pPr>
    </w:p>
    <w:p>
      <w:pPr>
        <w:jc w:val="both"/>
        <w:ind w:left="640"/>
        <w:spacing w:after="0" w:line="232" w:lineRule="auto"/>
        <w:rPr>
          <w:sz w:val="20"/>
          <w:szCs w:val="20"/>
          <w:color w:val="auto"/>
        </w:rPr>
      </w:pPr>
      <w:r>
        <w:rPr>
          <w:rFonts w:ascii="Verdana" w:cs="Verdana" w:eastAsia="Verdana" w:hAnsi="Verdana"/>
          <w:sz w:val="18"/>
          <w:szCs w:val="18"/>
          <w:color w:val="auto"/>
        </w:rPr>
        <w:t>Unless otherwise determined by the Committee, if the Company is required to prepare a material restatement of its financial statements as a result of misconduct, and the Committee determines that the Participant knowingly engaged in the misconduct, was grossly negligent with respect to such misconduct, or acted knowingly or with gross negligence in failing to prevent the misconduct, or the Committee concludes that the Participant engaged in willful fraud, embezzlement or other similar activity (including acts of omission) materially detrimental to the Company, the Company may require the Participant (or the Participant’s beneficiary) to reimburse the Company for all or any portion of this Award, and/or to forfeit the proceeds of any sale (including any sales to the Company) of any Company securities acquired by or on behalf of the Participant (or the Participant’s beneficiary) pursuant to the Award granted under this Agreement during the 12- month period following the first public filing of the financial document requiring restatement or during the 12-month period following the date of the Participant’s misconduct. To the extent that the Participant is subject to the Company’s Clawback Policy, effective as of October 1, 2023, as it may be amended from time to time (the “</w:t>
      </w:r>
      <w:r>
        <w:rPr>
          <w:rFonts w:ascii="Verdana" w:cs="Verdana" w:eastAsia="Verdana" w:hAnsi="Verdana"/>
          <w:sz w:val="18"/>
          <w:szCs w:val="18"/>
          <w:u w:val="single" w:color="auto"/>
          <w:color w:val="auto"/>
        </w:rPr>
        <w:t>Clawback Policy</w:t>
      </w:r>
      <w:r>
        <w:rPr>
          <w:rFonts w:ascii="Verdana" w:cs="Verdana" w:eastAsia="Verdana" w:hAnsi="Verdana"/>
          <w:sz w:val="18"/>
          <w:szCs w:val="18"/>
          <w:color w:val="auto"/>
        </w:rPr>
        <w:t>”), notwithstanding the foregoing, the Clawback Policy shall be applicable to this Agreement and any award or right granted hereunder.</w:t>
      </w:r>
    </w:p>
    <w:p>
      <w:pPr>
        <w:spacing w:after="0" w:line="172" w:lineRule="exact"/>
        <w:rPr>
          <w:sz w:val="20"/>
          <w:szCs w:val="20"/>
          <w:color w:val="auto"/>
        </w:rPr>
      </w:pPr>
    </w:p>
    <w:p>
      <w:pPr>
        <w:ind w:left="620" w:hanging="615"/>
        <w:spacing w:after="0"/>
        <w:tabs>
          <w:tab w:leader="none" w:pos="620" w:val="left"/>
        </w:tabs>
        <w:numPr>
          <w:ilvl w:val="0"/>
          <w:numId w:val="146"/>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Committee Authority</w:t>
      </w:r>
    </w:p>
    <w:p>
      <w:pPr>
        <w:spacing w:after="0" w:line="202" w:lineRule="exact"/>
        <w:rPr>
          <w:rFonts w:ascii="Verdana" w:cs="Verdana" w:eastAsia="Verdana" w:hAnsi="Verdana"/>
          <w:sz w:val="18"/>
          <w:szCs w:val="18"/>
          <w:b w:val="1"/>
          <w:bCs w:val="1"/>
          <w:color w:val="auto"/>
        </w:rPr>
      </w:pPr>
    </w:p>
    <w:p>
      <w:pPr>
        <w:jc w:val="both"/>
        <w:ind w:left="640"/>
        <w:spacing w:after="0" w:line="237" w:lineRule="auto"/>
        <w:rPr>
          <w:rFonts w:ascii="Verdana" w:cs="Verdana" w:eastAsia="Verdana" w:hAnsi="Verdana"/>
          <w:sz w:val="18"/>
          <w:szCs w:val="18"/>
          <w:b w:val="1"/>
          <w:bCs w:val="1"/>
          <w:color w:val="auto"/>
        </w:rPr>
      </w:pPr>
      <w:r>
        <w:rPr>
          <w:rFonts w:ascii="Verdana" w:cs="Verdana" w:eastAsia="Verdana" w:hAnsi="Verdana"/>
          <w:sz w:val="18"/>
          <w:szCs w:val="18"/>
          <w:color w:val="auto"/>
        </w:rPr>
        <w:t>Any question concerning the interpretation of this Agreement, any adjustments required to be made under the Plan, and any controversy that may arise under the Plan or this Agreement shall be determined by the Committee in its sole discretion. Any decisions by the Committee regarding the Plan or this Agreement shall be final and binding.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Verdana" w:cs="Verdana" w:eastAsia="Verdana" w:hAnsi="Verdana"/>
          <w:sz w:val="14"/>
          <w:szCs w:val="14"/>
          <w:color w:val="auto"/>
        </w:rPr>
        <w:t>2026 RSU Agreement (ALL)</w:t>
      </w:r>
    </w:p>
    <w:p>
      <w:pPr>
        <w:spacing w:after="0" w:line="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200" w:lineRule="exact"/>
        <w:rPr>
          <w:sz w:val="20"/>
          <w:szCs w:val="20"/>
          <w:color w:val="auto"/>
        </w:rPr>
      </w:pPr>
    </w:p>
    <w:p>
      <w:pPr>
        <w:spacing w:after="0" w:line="205" w:lineRule="exact"/>
        <w:rPr>
          <w:sz w:val="20"/>
          <w:szCs w:val="20"/>
          <w:color w:val="auto"/>
        </w:rPr>
      </w:pPr>
    </w:p>
    <w:p>
      <w:pPr>
        <w:ind w:left="640" w:hanging="635"/>
        <w:spacing w:after="0"/>
        <w:tabs>
          <w:tab w:leader="none" w:pos="640" w:val="left"/>
        </w:tabs>
        <w:numPr>
          <w:ilvl w:val="0"/>
          <w:numId w:val="147"/>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Plan Controls</w:t>
      </w:r>
    </w:p>
    <w:p>
      <w:pPr>
        <w:spacing w:after="0" w:line="202" w:lineRule="exact"/>
        <w:rPr>
          <w:rFonts w:ascii="Verdana" w:cs="Verdana" w:eastAsia="Verdana" w:hAnsi="Verdana"/>
          <w:sz w:val="18"/>
          <w:szCs w:val="18"/>
          <w:b w:val="1"/>
          <w:bCs w:val="1"/>
          <w:color w:val="auto"/>
        </w:rPr>
      </w:pPr>
    </w:p>
    <w:p>
      <w:pPr>
        <w:jc w:val="both"/>
        <w:ind w:left="640"/>
        <w:spacing w:after="0" w:line="235" w:lineRule="auto"/>
        <w:rPr>
          <w:rFonts w:ascii="Verdana" w:cs="Verdana" w:eastAsia="Verdana" w:hAnsi="Verdana"/>
          <w:sz w:val="18"/>
          <w:szCs w:val="18"/>
          <w:b w:val="1"/>
          <w:bCs w:val="1"/>
          <w:color w:val="auto"/>
        </w:rPr>
      </w:pPr>
      <w:r>
        <w:rPr>
          <w:rFonts w:ascii="Verdana" w:cs="Verdana" w:eastAsia="Verdana" w:hAnsi="Verdana"/>
          <w:sz w:val="18"/>
          <w:szCs w:val="18"/>
          <w:color w:val="auto"/>
        </w:rPr>
        <w:t>The terms of this Agreement are governed by the terms of the Plan, as it exists on the Date of Grant and as the Plan may be amended from time to time thereafter. In the event of any conflict between the provisions of this Agreement and the provisions of the Plan, the terms of the Plan shall control. Capitalized terms used but not defined in this Agreement shall have the meaning assigned to them in the Plan.</w:t>
      </w:r>
    </w:p>
    <w:p>
      <w:pPr>
        <w:spacing w:after="0" w:line="169" w:lineRule="exact"/>
        <w:rPr>
          <w:rFonts w:ascii="Verdana" w:cs="Verdana" w:eastAsia="Verdana" w:hAnsi="Verdana"/>
          <w:sz w:val="18"/>
          <w:szCs w:val="18"/>
          <w:b w:val="1"/>
          <w:bCs w:val="1"/>
          <w:color w:val="auto"/>
        </w:rPr>
      </w:pPr>
    </w:p>
    <w:p>
      <w:pPr>
        <w:ind w:left="640" w:hanging="635"/>
        <w:spacing w:after="0"/>
        <w:tabs>
          <w:tab w:leader="none" w:pos="640" w:val="left"/>
        </w:tabs>
        <w:numPr>
          <w:ilvl w:val="0"/>
          <w:numId w:val="147"/>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Limitation on Rights; No Right to Future Grants</w:t>
      </w:r>
    </w:p>
    <w:p>
      <w:pPr>
        <w:spacing w:after="0" w:line="189" w:lineRule="exact"/>
        <w:rPr>
          <w:rFonts w:ascii="Verdana" w:cs="Verdana" w:eastAsia="Verdana" w:hAnsi="Verdana"/>
          <w:sz w:val="18"/>
          <w:szCs w:val="18"/>
          <w:b w:val="1"/>
          <w:bCs w:val="1"/>
          <w:color w:val="auto"/>
        </w:rPr>
      </w:pPr>
    </w:p>
    <w:p>
      <w:pPr>
        <w:jc w:val="both"/>
        <w:ind w:left="640"/>
        <w:spacing w:after="0" w:line="262" w:lineRule="auto"/>
        <w:rPr>
          <w:rFonts w:ascii="Verdana" w:cs="Verdana" w:eastAsia="Verdana" w:hAnsi="Verdana"/>
          <w:sz w:val="18"/>
          <w:szCs w:val="18"/>
          <w:b w:val="1"/>
          <w:bCs w:val="1"/>
          <w:color w:val="auto"/>
        </w:rPr>
      </w:pPr>
      <w:r>
        <w:rPr>
          <w:rFonts w:ascii="Verdana" w:cs="Verdana" w:eastAsia="Verdana" w:hAnsi="Verdana"/>
          <w:sz w:val="16"/>
          <w:szCs w:val="16"/>
          <w:color w:val="auto"/>
        </w:rPr>
        <w:t xml:space="preserve">By entering into this Agreement and accepting this Award, the Participant acknowledges that: (a) the Plan is discretionary and may be modified, suspended or terminated by the Company at any time, as provided in the Plan; </w:t>
      </w:r>
      <w:r>
        <w:rPr>
          <w:rFonts w:ascii="Verdana" w:cs="Verdana" w:eastAsia="Verdana" w:hAnsi="Verdana"/>
          <w:sz w:val="16"/>
          <w:szCs w:val="16"/>
          <w:u w:val="single" w:color="auto"/>
          <w:color w:val="auto"/>
        </w:rPr>
        <w:t>provided</w:t>
      </w:r>
      <w:r>
        <w:rPr>
          <w:rFonts w:ascii="Verdana" w:cs="Verdana" w:eastAsia="Verdana" w:hAnsi="Verdana"/>
          <w:sz w:val="16"/>
          <w:szCs w:val="16"/>
          <w:color w:val="auto"/>
        </w:rPr>
        <w:t xml:space="preserve"> that, except as provided in </w:t>
      </w:r>
      <w:r>
        <w:rPr>
          <w:rFonts w:ascii="Verdana" w:cs="Verdana" w:eastAsia="Verdana" w:hAnsi="Verdana"/>
          <w:sz w:val="16"/>
          <w:szCs w:val="16"/>
          <w:u w:val="single" w:color="auto"/>
          <w:color w:val="auto"/>
        </w:rPr>
        <w:t>Section 18</w:t>
      </w:r>
      <w:r>
        <w:rPr>
          <w:rFonts w:ascii="Verdana" w:cs="Verdana" w:eastAsia="Verdana" w:hAnsi="Verdana"/>
          <w:sz w:val="16"/>
          <w:szCs w:val="16"/>
          <w:color w:val="auto"/>
        </w:rPr>
        <w:t xml:space="preserve"> of the Plan, no amendment to this Agreement shall adversely affect in a material manner the Participant’s rights under this Agreement without his or her written consent; (b) the grant of this Award is a one- time benefit and does not create any contractual or other right to receive future grants of awards or benefits in lieu of awards; (c) all determinations with respect to any such future grants, including, but not limited to, the times when awards will be granted, the number of shares subject to each award, the award price, if any, and the time or times when each award will be settled, will be at the sole discretion of the Company; (d) participation in the Plan is voluntary; (e) the value of this Award is an extraordinary item that is outside the scope of the Participant’s employment contract, if any, unless expressly provided for in any such employment contract; (f) this Award is not part of normal or expected compensation for any purpose, including, without limitation, for calculating any benefits, severance, resignation, termination, redundancy, end of service payments, bonuses, long-service awards, pension or retirement benefits or similar payments, and the Participant will have no entitlement to compensation or damages as a consequence of any forfeiture of any portion of this Award pursuant to </w:t>
      </w:r>
      <w:r>
        <w:rPr>
          <w:rFonts w:ascii="Verdana" w:cs="Verdana" w:eastAsia="Verdana" w:hAnsi="Verdana"/>
          <w:sz w:val="16"/>
          <w:szCs w:val="16"/>
          <w:u w:val="single" w:color="auto"/>
          <w:color w:val="auto"/>
        </w:rPr>
        <w:t>Section 8</w:t>
      </w:r>
      <w:r>
        <w:rPr>
          <w:rFonts w:ascii="Verdana" w:cs="Verdana" w:eastAsia="Verdana" w:hAnsi="Verdana"/>
          <w:sz w:val="16"/>
          <w:szCs w:val="16"/>
          <w:color w:val="auto"/>
        </w:rPr>
        <w:t>; (g) the future value of the Common Stock subject to this Award is unknown and cannot be predicted with certainty;(h) neither the Plan, this Award nor the issuance of the shares of Common Stock underlying this Award confers upon the Participant any right to continue in the employ or service of (or any other relationship with) the Company or any Subsidiary, nor do they limit in any respect the right of the Company or any Subsidiary to terminate the Participant’s employment or other relationship with the Company or any Subsidiary, as the case may be, at any time with or without Cause; and (i) the grant of this Award will not be interpreted to form an employment relationship or contract with the Company or any Subsidiary.</w:t>
      </w:r>
    </w:p>
    <w:p>
      <w:pPr>
        <w:spacing w:after="0" w:line="361" w:lineRule="exact"/>
        <w:rPr>
          <w:rFonts w:ascii="Verdana" w:cs="Verdana" w:eastAsia="Verdana" w:hAnsi="Verdana"/>
          <w:sz w:val="18"/>
          <w:szCs w:val="18"/>
          <w:b w:val="1"/>
          <w:bCs w:val="1"/>
          <w:color w:val="auto"/>
        </w:rPr>
      </w:pPr>
    </w:p>
    <w:p>
      <w:pPr>
        <w:ind w:left="640" w:hanging="635"/>
        <w:spacing w:after="0"/>
        <w:tabs>
          <w:tab w:leader="none" w:pos="640" w:val="left"/>
        </w:tabs>
        <w:numPr>
          <w:ilvl w:val="0"/>
          <w:numId w:val="147"/>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General Provisions</w:t>
      </w:r>
    </w:p>
    <w:p>
      <w:pPr>
        <w:spacing w:after="0" w:line="162" w:lineRule="exact"/>
        <w:rPr>
          <w:rFonts w:ascii="Verdana" w:cs="Verdana" w:eastAsia="Verdana" w:hAnsi="Verdana"/>
          <w:sz w:val="18"/>
          <w:szCs w:val="18"/>
          <w:b w:val="1"/>
          <w:bCs w:val="1"/>
          <w:color w:val="auto"/>
        </w:rPr>
      </w:pPr>
    </w:p>
    <w:p>
      <w:pPr>
        <w:ind w:left="1260" w:hanging="623"/>
        <w:spacing w:after="0"/>
        <w:tabs>
          <w:tab w:leader="none" w:pos="1260" w:val="left"/>
        </w:tabs>
        <w:numPr>
          <w:ilvl w:val="1"/>
          <w:numId w:val="147"/>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Notice</w:t>
      </w:r>
    </w:p>
    <w:p>
      <w:pPr>
        <w:spacing w:after="0" w:line="202" w:lineRule="exact"/>
        <w:rPr>
          <w:sz w:val="20"/>
          <w:szCs w:val="20"/>
          <w:color w:val="auto"/>
        </w:rPr>
      </w:pPr>
    </w:p>
    <w:p>
      <w:pPr>
        <w:jc w:val="both"/>
        <w:ind w:left="640"/>
        <w:spacing w:after="0" w:line="234" w:lineRule="auto"/>
        <w:rPr>
          <w:sz w:val="20"/>
          <w:szCs w:val="20"/>
          <w:color w:val="auto"/>
        </w:rPr>
      </w:pPr>
      <w:r>
        <w:rPr>
          <w:rFonts w:ascii="Verdana" w:cs="Verdana" w:eastAsia="Verdana" w:hAnsi="Verdana"/>
          <w:sz w:val="18"/>
          <w:szCs w:val="18"/>
          <w:color w:val="auto"/>
        </w:rPr>
        <w:t>Whenever any notice is required or permitted hereunder, such notice must be in writing and delivered in person or by mail (to the address set forth below if notice is being delivered to the Company) or electronically. Any notice delivered in person or by mail shall be deemed to be delivered on the date on which it is personally delivered, or, whether actually received or not, on the third business day after it is deposited in the United States mail, certified or registered, postage prepaid, addressed to the person who is to receive it at the address set forth in this Agreement. Any notice delivered electronically shall be deemed to be delivered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Verdana" w:cs="Verdana" w:eastAsia="Verdana" w:hAnsi="Verdana"/>
          <w:sz w:val="14"/>
          <w:szCs w:val="14"/>
          <w:color w:val="auto"/>
        </w:rPr>
        <w:t>2026 RSU Agreement (ALL)</w:t>
      </w:r>
    </w:p>
    <w:p>
      <w:pPr>
        <w:spacing w:after="0" w:line="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200" w:lineRule="exact"/>
        <w:rPr>
          <w:sz w:val="20"/>
          <w:szCs w:val="20"/>
          <w:color w:val="auto"/>
        </w:rPr>
      </w:pPr>
    </w:p>
    <w:p>
      <w:pPr>
        <w:spacing w:after="0" w:line="232" w:lineRule="exact"/>
        <w:rPr>
          <w:sz w:val="20"/>
          <w:szCs w:val="20"/>
          <w:color w:val="auto"/>
        </w:rPr>
      </w:pPr>
    </w:p>
    <w:p>
      <w:pPr>
        <w:jc w:val="both"/>
        <w:ind w:left="640"/>
        <w:spacing w:after="0" w:line="237" w:lineRule="auto"/>
        <w:rPr>
          <w:sz w:val="20"/>
          <w:szCs w:val="20"/>
          <w:color w:val="auto"/>
        </w:rPr>
      </w:pPr>
      <w:r>
        <w:rPr>
          <w:rFonts w:ascii="Verdana" w:cs="Verdana" w:eastAsia="Verdana" w:hAnsi="Verdana"/>
          <w:sz w:val="18"/>
          <w:szCs w:val="18"/>
          <w:color w:val="auto"/>
        </w:rPr>
        <w:t>transmitted and receipt is confirmed. Notices delivered to the Participant in person or by mail shall be addressed to the address for the Participant in the records of the Company. Notices delivered to the Company in person or by mail shall be addressed as follows:</w:t>
      </w:r>
    </w:p>
    <w:p>
      <w:pPr>
        <w:sectPr>
          <w:pgSz w:w="11900" w:h="16838" w:orient="portrait"/>
          <w:cols w:equalWidth="0" w:num="1">
            <w:col w:w="11240"/>
          </w:cols>
          <w:pgMar w:left="320" w:top="1440" w:right="339" w:bottom="1440" w:gutter="0" w:footer="0" w:header="0"/>
        </w:sectPr>
      </w:pPr>
    </w:p>
    <w:p>
      <w:pPr>
        <w:spacing w:after="0" w:line="220" w:lineRule="exact"/>
        <w:rPr>
          <w:sz w:val="20"/>
          <w:szCs w:val="20"/>
          <w:color w:val="auto"/>
        </w:rPr>
      </w:pPr>
    </w:p>
    <w:p>
      <w:pPr>
        <w:ind w:left="1400"/>
        <w:spacing w:after="0"/>
        <w:rPr>
          <w:sz w:val="20"/>
          <w:szCs w:val="20"/>
          <w:color w:val="auto"/>
        </w:rPr>
      </w:pPr>
      <w:r>
        <w:rPr>
          <w:rFonts w:ascii="Verdana" w:cs="Verdana" w:eastAsia="Verdana" w:hAnsi="Verdana"/>
          <w:sz w:val="16"/>
          <w:szCs w:val="16"/>
          <w:color w:val="auto"/>
        </w:rPr>
        <w:t>Company:</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Verdana" w:cs="Verdana" w:eastAsia="Verdana" w:hAnsi="Verdana"/>
          <w:sz w:val="18"/>
          <w:szCs w:val="18"/>
          <w:color w:val="auto"/>
        </w:rPr>
        <w:t>NRG Energy, Inc.</w:t>
      </w:r>
    </w:p>
    <w:p>
      <w:pPr>
        <w:spacing w:after="0"/>
        <w:rPr>
          <w:sz w:val="20"/>
          <w:szCs w:val="20"/>
          <w:color w:val="auto"/>
        </w:rPr>
      </w:pPr>
      <w:r>
        <w:rPr>
          <w:rFonts w:ascii="Verdana" w:cs="Verdana" w:eastAsia="Verdana" w:hAnsi="Verdana"/>
          <w:sz w:val="16"/>
          <w:szCs w:val="16"/>
          <w:color w:val="auto"/>
        </w:rPr>
        <w:t>Attn: Talent &amp; Culture</w:t>
      </w:r>
    </w:p>
    <w:p>
      <w:pPr>
        <w:spacing w:after="0" w:line="8" w:lineRule="exact"/>
        <w:rPr>
          <w:sz w:val="20"/>
          <w:szCs w:val="20"/>
          <w:color w:val="auto"/>
        </w:rPr>
      </w:pPr>
    </w:p>
    <w:p>
      <w:pPr>
        <w:spacing w:after="0"/>
        <w:rPr>
          <w:sz w:val="20"/>
          <w:szCs w:val="20"/>
          <w:color w:val="auto"/>
        </w:rPr>
      </w:pPr>
      <w:r>
        <w:rPr>
          <w:rFonts w:ascii="Verdana" w:cs="Verdana" w:eastAsia="Verdana" w:hAnsi="Verdana"/>
          <w:sz w:val="18"/>
          <w:szCs w:val="18"/>
          <w:color w:val="auto"/>
        </w:rPr>
        <w:t>804 Carnegie Center</w:t>
      </w:r>
    </w:p>
    <w:p>
      <w:pPr>
        <w:spacing w:after="0"/>
        <w:rPr>
          <w:sz w:val="20"/>
          <w:szCs w:val="20"/>
          <w:color w:val="auto"/>
        </w:rPr>
      </w:pPr>
      <w:r>
        <w:rPr>
          <w:rFonts w:ascii="Verdana" w:cs="Verdana" w:eastAsia="Verdana" w:hAnsi="Verdana"/>
          <w:sz w:val="18"/>
          <w:szCs w:val="18"/>
          <w:color w:val="auto"/>
        </w:rPr>
        <w:t>Princeton, NJ 08450</w:t>
      </w:r>
    </w:p>
    <w:p>
      <w:pPr>
        <w:spacing w:after="0" w:line="110" w:lineRule="exact"/>
        <w:rPr>
          <w:sz w:val="20"/>
          <w:szCs w:val="20"/>
          <w:color w:val="auto"/>
        </w:rPr>
      </w:pPr>
    </w:p>
    <w:p>
      <w:pPr>
        <w:sectPr>
          <w:pgSz w:w="11900" w:h="16838" w:orient="portrait"/>
          <w:cols w:equalWidth="0" w:num="2">
            <w:col w:w="2780" w:space="720"/>
            <w:col w:w="7740"/>
          </w:cols>
          <w:pgMar w:left="320" w:top="1440" w:right="339" w:bottom="1440" w:gutter="0" w:footer="0" w:header="0"/>
          <w:type w:val="continuous"/>
        </w:sectPr>
      </w:pPr>
    </w:p>
    <w:p>
      <w:pPr>
        <w:ind w:left="640"/>
        <w:spacing w:after="0" w:line="241" w:lineRule="auto"/>
        <w:rPr>
          <w:sz w:val="20"/>
          <w:szCs w:val="20"/>
          <w:color w:val="auto"/>
        </w:rPr>
      </w:pPr>
      <w:r>
        <w:rPr>
          <w:rFonts w:ascii="Verdana" w:cs="Verdana" w:eastAsia="Verdana" w:hAnsi="Verdana"/>
          <w:sz w:val="18"/>
          <w:szCs w:val="18"/>
          <w:color w:val="auto"/>
        </w:rPr>
        <w:t>The Company or the Participant may change, by written notice to the other, the address previously specified for receiving notices.</w:t>
      </w:r>
    </w:p>
    <w:p>
      <w:pPr>
        <w:spacing w:after="0" w:line="166" w:lineRule="exact"/>
        <w:rPr>
          <w:sz w:val="20"/>
          <w:szCs w:val="20"/>
          <w:color w:val="auto"/>
        </w:rPr>
      </w:pPr>
    </w:p>
    <w:p>
      <w:pPr>
        <w:ind w:left="1260" w:hanging="623"/>
        <w:spacing w:after="0"/>
        <w:tabs>
          <w:tab w:leader="none" w:pos="1260" w:val="left"/>
        </w:tabs>
        <w:numPr>
          <w:ilvl w:val="0"/>
          <w:numId w:val="148"/>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No Waiver</w:t>
      </w:r>
    </w:p>
    <w:p>
      <w:pPr>
        <w:spacing w:after="0" w:line="189" w:lineRule="exact"/>
        <w:rPr>
          <w:sz w:val="20"/>
          <w:szCs w:val="20"/>
          <w:color w:val="auto"/>
        </w:rPr>
      </w:pPr>
    </w:p>
    <w:p>
      <w:pPr>
        <w:jc w:val="both"/>
        <w:ind w:left="640"/>
        <w:spacing w:after="0" w:line="237" w:lineRule="auto"/>
        <w:rPr>
          <w:sz w:val="20"/>
          <w:szCs w:val="20"/>
          <w:color w:val="auto"/>
        </w:rPr>
      </w:pPr>
      <w:r>
        <w:rPr>
          <w:rFonts w:ascii="Verdana" w:cs="Verdana" w:eastAsia="Verdana" w:hAnsi="Verdana"/>
          <w:sz w:val="18"/>
          <w:szCs w:val="18"/>
          <w:color w:val="auto"/>
        </w:rPr>
        <w:t>No waiver of any provision of this Agreement will be valid unless in writing and signed by the person against whom such waiver is sought to be enforced, nor will failure to enforce any right under this Agreement constitute a continuing waiver of the same or a waiver of any other right hereunder.</w:t>
      </w:r>
    </w:p>
    <w:p>
      <w:pPr>
        <w:spacing w:after="0" w:line="168" w:lineRule="exact"/>
        <w:rPr>
          <w:sz w:val="20"/>
          <w:szCs w:val="20"/>
          <w:color w:val="auto"/>
        </w:rPr>
      </w:pPr>
    </w:p>
    <w:p>
      <w:pPr>
        <w:ind w:left="1260" w:hanging="623"/>
        <w:spacing w:after="0"/>
        <w:tabs>
          <w:tab w:leader="none" w:pos="1260" w:val="left"/>
        </w:tabs>
        <w:numPr>
          <w:ilvl w:val="0"/>
          <w:numId w:val="149"/>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Undertaking</w:t>
      </w:r>
    </w:p>
    <w:p>
      <w:pPr>
        <w:spacing w:after="0" w:line="202" w:lineRule="exact"/>
        <w:rPr>
          <w:sz w:val="20"/>
          <w:szCs w:val="20"/>
          <w:color w:val="auto"/>
        </w:rPr>
      </w:pPr>
    </w:p>
    <w:p>
      <w:pPr>
        <w:jc w:val="both"/>
        <w:ind w:left="640"/>
        <w:spacing w:after="0" w:line="237" w:lineRule="auto"/>
        <w:rPr>
          <w:sz w:val="20"/>
          <w:szCs w:val="20"/>
          <w:color w:val="auto"/>
        </w:rPr>
      </w:pPr>
      <w:r>
        <w:rPr>
          <w:rFonts w:ascii="Verdana" w:cs="Verdana" w:eastAsia="Verdana" w:hAnsi="Verdana"/>
          <w:sz w:val="18"/>
          <w:szCs w:val="18"/>
          <w:color w:val="auto"/>
        </w:rPr>
        <w:t>The Participant hereby agrees to take whatever additional action, and execute whatever additional documents, the Company may deem necessary or advisable in order to carry out or effect one or more of the obligations or restrictions imposed on either the Participant or the Award pursuant to the express provisions of this Agreement.</w:t>
      </w:r>
    </w:p>
    <w:p>
      <w:pPr>
        <w:spacing w:after="0" w:line="168" w:lineRule="exact"/>
        <w:rPr>
          <w:sz w:val="20"/>
          <w:szCs w:val="20"/>
          <w:color w:val="auto"/>
        </w:rPr>
      </w:pPr>
    </w:p>
    <w:p>
      <w:pPr>
        <w:ind w:left="1260" w:hanging="623"/>
        <w:spacing w:after="0"/>
        <w:tabs>
          <w:tab w:leader="none" w:pos="1260" w:val="left"/>
        </w:tabs>
        <w:numPr>
          <w:ilvl w:val="0"/>
          <w:numId w:val="150"/>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Entire Contract</w:t>
      </w:r>
    </w:p>
    <w:p>
      <w:pPr>
        <w:spacing w:after="0" w:line="189" w:lineRule="exact"/>
        <w:rPr>
          <w:sz w:val="20"/>
          <w:szCs w:val="20"/>
          <w:color w:val="auto"/>
        </w:rPr>
      </w:pPr>
    </w:p>
    <w:p>
      <w:pPr>
        <w:jc w:val="both"/>
        <w:ind w:left="640"/>
        <w:spacing w:after="0" w:line="237" w:lineRule="auto"/>
        <w:rPr>
          <w:sz w:val="20"/>
          <w:szCs w:val="20"/>
          <w:color w:val="auto"/>
        </w:rPr>
      </w:pPr>
      <w:r>
        <w:rPr>
          <w:rFonts w:ascii="Verdana" w:cs="Verdana" w:eastAsia="Verdana" w:hAnsi="Verdana"/>
          <w:sz w:val="18"/>
          <w:szCs w:val="18"/>
          <w:color w:val="auto"/>
        </w:rPr>
        <w:t>This Agreement and the Plan constitute the entire contract between the parties hereto with regard to the subject matter hereof. This Agreement is made pursuant to the provisions of the Plan and will, in all respects, be construed in conformity with the express terms and provisions of the Plan.</w:t>
      </w:r>
    </w:p>
    <w:p>
      <w:pPr>
        <w:spacing w:after="0" w:line="168" w:lineRule="exact"/>
        <w:rPr>
          <w:sz w:val="20"/>
          <w:szCs w:val="20"/>
          <w:color w:val="auto"/>
        </w:rPr>
      </w:pPr>
    </w:p>
    <w:p>
      <w:pPr>
        <w:ind w:left="1260" w:hanging="623"/>
        <w:spacing w:after="0"/>
        <w:tabs>
          <w:tab w:leader="none" w:pos="1260" w:val="left"/>
        </w:tabs>
        <w:numPr>
          <w:ilvl w:val="0"/>
          <w:numId w:val="151"/>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Successors and Assigns</w:t>
      </w:r>
    </w:p>
    <w:p>
      <w:pPr>
        <w:spacing w:after="0" w:line="189" w:lineRule="exact"/>
        <w:rPr>
          <w:sz w:val="20"/>
          <w:szCs w:val="20"/>
          <w:color w:val="auto"/>
        </w:rPr>
      </w:pPr>
    </w:p>
    <w:p>
      <w:pPr>
        <w:jc w:val="both"/>
        <w:ind w:left="640"/>
        <w:spacing w:after="0" w:line="237" w:lineRule="auto"/>
        <w:rPr>
          <w:sz w:val="20"/>
          <w:szCs w:val="20"/>
          <w:color w:val="auto"/>
        </w:rPr>
      </w:pPr>
      <w:r>
        <w:rPr>
          <w:rFonts w:ascii="Verdana" w:cs="Verdana" w:eastAsia="Verdana" w:hAnsi="Verdana"/>
          <w:sz w:val="18"/>
          <w:szCs w:val="18"/>
          <w:color w:val="auto"/>
        </w:rPr>
        <w:t>The provisions of this Agreement shall inure to the benefit of, and be binding on, the Company and its successors and assigns and Participant and Participant’s legal representatives, heirs, legatees, distributees, assigns and transferees by operation of law.</w:t>
      </w:r>
    </w:p>
    <w:p>
      <w:pPr>
        <w:spacing w:after="0" w:line="168" w:lineRule="exact"/>
        <w:rPr>
          <w:sz w:val="20"/>
          <w:szCs w:val="20"/>
          <w:color w:val="auto"/>
        </w:rPr>
      </w:pPr>
    </w:p>
    <w:p>
      <w:pPr>
        <w:ind w:left="1260" w:hanging="623"/>
        <w:spacing w:after="0"/>
        <w:tabs>
          <w:tab w:leader="none" w:pos="1260" w:val="left"/>
        </w:tabs>
        <w:numPr>
          <w:ilvl w:val="0"/>
          <w:numId w:val="152"/>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Securities Law Compliance</w:t>
      </w:r>
    </w:p>
    <w:p>
      <w:pPr>
        <w:spacing w:after="0" w:line="202" w:lineRule="exact"/>
        <w:rPr>
          <w:sz w:val="20"/>
          <w:szCs w:val="20"/>
          <w:color w:val="auto"/>
        </w:rPr>
      </w:pPr>
    </w:p>
    <w:p>
      <w:pPr>
        <w:jc w:val="both"/>
        <w:ind w:left="640"/>
        <w:spacing w:after="0" w:line="233" w:lineRule="auto"/>
        <w:rPr>
          <w:sz w:val="20"/>
          <w:szCs w:val="20"/>
          <w:color w:val="auto"/>
        </w:rPr>
      </w:pPr>
      <w:r>
        <w:rPr>
          <w:rFonts w:ascii="Verdana" w:cs="Verdana" w:eastAsia="Verdana" w:hAnsi="Verdana"/>
          <w:sz w:val="18"/>
          <w:szCs w:val="18"/>
          <w:color w:val="auto"/>
        </w:rPr>
        <w:t>The Company currently has an effective registration statement on file with the Securities and Exchange Commission with respect to the shares of Common Stock underlying this Award. The Company intends to maintain this registration statement but has no obligation to the Participant to do so. If the registration statement ceases to be effective, the Participant will not be able to transfer or sell shares of Common Stock issued pursuant to this Award, unless exemptions from registration under applicable securities laws are available. Such exemptions from registration are very limited and might be unavailable. Participant agrees that any resale of the shares of Common Stock issued pursuant to this Award shall comply in all respects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Verdana" w:cs="Verdana" w:eastAsia="Verdana" w:hAnsi="Verdana"/>
          <w:sz w:val="14"/>
          <w:szCs w:val="14"/>
          <w:color w:val="auto"/>
        </w:rPr>
        <w:t>2026 RSU Agreement (ALL)</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40" w:right="339" w:bottom="1440" w:gutter="0" w:footer="0" w:header="0"/>
          <w:type w:val="continuous"/>
        </w:sectPr>
      </w:pPr>
    </w:p>
    <w:bookmarkStart w:id="213" w:name="page214"/>
    <w:bookmarkEnd w:id="213"/>
    <w:p>
      <w:pPr>
        <w:spacing w:after="0" w:line="200" w:lineRule="exact"/>
        <w:rPr>
          <w:sz w:val="20"/>
          <w:szCs w:val="20"/>
          <w:color w:val="auto"/>
        </w:rPr>
      </w:pPr>
    </w:p>
    <w:p>
      <w:pPr>
        <w:spacing w:after="0" w:line="232" w:lineRule="exact"/>
        <w:rPr>
          <w:sz w:val="20"/>
          <w:szCs w:val="20"/>
          <w:color w:val="auto"/>
        </w:rPr>
      </w:pPr>
    </w:p>
    <w:p>
      <w:pPr>
        <w:jc w:val="both"/>
        <w:ind w:left="640"/>
        <w:spacing w:after="0" w:line="270" w:lineRule="auto"/>
        <w:rPr>
          <w:sz w:val="20"/>
          <w:szCs w:val="20"/>
          <w:color w:val="auto"/>
        </w:rPr>
      </w:pPr>
      <w:r>
        <w:rPr>
          <w:rFonts w:ascii="Verdana" w:cs="Verdana" w:eastAsia="Verdana" w:hAnsi="Verdana"/>
          <w:sz w:val="16"/>
          <w:szCs w:val="16"/>
          <w:color w:val="auto"/>
        </w:rPr>
        <w:t>requirements of all applicable securities laws, rules and regulations (including, without limitation, the provisions of the Securities Act of 1933, the Securities Exchange Act of 1934 and the respective rules and regulations promulgated thereunder) and any other law, rule or regulation applicable thereto, as such laws, rules, and regulations may be amended from time to time. The Company shall not be obligated to either issue shares of Common Stock or permit the resale of any such shares if such issuance or resale would violate any such requirements.</w:t>
      </w:r>
    </w:p>
    <w:p>
      <w:pPr>
        <w:spacing w:after="0" w:line="143" w:lineRule="exact"/>
        <w:rPr>
          <w:sz w:val="20"/>
          <w:szCs w:val="20"/>
          <w:color w:val="auto"/>
        </w:rPr>
      </w:pPr>
    </w:p>
    <w:p>
      <w:pPr>
        <w:ind w:left="1260" w:hanging="623"/>
        <w:spacing w:after="0"/>
        <w:tabs>
          <w:tab w:leader="none" w:pos="1260" w:val="left"/>
        </w:tabs>
        <w:numPr>
          <w:ilvl w:val="0"/>
          <w:numId w:val="153"/>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Taxes</w:t>
      </w:r>
    </w:p>
    <w:p>
      <w:pPr>
        <w:spacing w:after="0" w:line="202" w:lineRule="exact"/>
        <w:rPr>
          <w:sz w:val="20"/>
          <w:szCs w:val="20"/>
          <w:color w:val="auto"/>
        </w:rPr>
      </w:pPr>
    </w:p>
    <w:p>
      <w:pPr>
        <w:jc w:val="both"/>
        <w:ind w:left="640"/>
        <w:spacing w:after="0" w:line="232" w:lineRule="auto"/>
        <w:rPr>
          <w:sz w:val="20"/>
          <w:szCs w:val="20"/>
          <w:color w:val="auto"/>
        </w:rPr>
      </w:pPr>
      <w:r>
        <w:rPr>
          <w:rFonts w:ascii="Verdana" w:cs="Verdana" w:eastAsia="Verdana" w:hAnsi="Verdana"/>
          <w:sz w:val="18"/>
          <w:szCs w:val="18"/>
          <w:color w:val="auto"/>
        </w:rPr>
        <w:t>The Participant acknowledges that the vesting, earning, and settlement of the RSUs will give rise to a withholding tax liability and that no shares of Common Stock are issuable hereunder until such withholding obligation is satisfied in full. The Participant agrees to remit to the Company the amount of any taxes required to be withheld. The Committee may, in its sole discretion, require or permit the Participant to satisfy all or part of such tax obligation, and the Participant agrees to cooperate with the Committee or Company in any such action, by (i) withholding the number of shares of Common Stock otherwise issuable to the Participant hereunder which shall be retained by the Company, (ii) a “sell-to-cover” arrangement whereby the number of shares of Common Stock otherwise issuable to the Participant is sold on behalf of the Participant, and/or (iii) the Participant transferring to the Company unrestricted shares of Common Stock previously owned by the Participant that have a Fair Market Value equal to the amount of the withholding to be credited. Such withholding obligation value shall be based on the Fair Market Value of the Common Stock as of the date the amount of tax to be withheld is determined.</w:t>
      </w:r>
    </w:p>
    <w:p>
      <w:pPr>
        <w:spacing w:after="0" w:line="174" w:lineRule="exact"/>
        <w:rPr>
          <w:sz w:val="20"/>
          <w:szCs w:val="20"/>
          <w:color w:val="auto"/>
        </w:rPr>
      </w:pPr>
    </w:p>
    <w:p>
      <w:pPr>
        <w:ind w:left="1260" w:hanging="623"/>
        <w:spacing w:after="0"/>
        <w:tabs>
          <w:tab w:leader="none" w:pos="1260" w:val="left"/>
        </w:tabs>
        <w:numPr>
          <w:ilvl w:val="0"/>
          <w:numId w:val="154"/>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Governing Law</w:t>
      </w:r>
    </w:p>
    <w:p>
      <w:pPr>
        <w:spacing w:after="0" w:line="189" w:lineRule="exact"/>
        <w:rPr>
          <w:sz w:val="20"/>
          <w:szCs w:val="20"/>
          <w:color w:val="auto"/>
        </w:rPr>
      </w:pPr>
    </w:p>
    <w:p>
      <w:pPr>
        <w:ind w:left="640"/>
        <w:spacing w:after="0" w:line="241" w:lineRule="auto"/>
        <w:rPr>
          <w:sz w:val="20"/>
          <w:szCs w:val="20"/>
          <w:color w:val="auto"/>
        </w:rPr>
      </w:pPr>
      <w:r>
        <w:rPr>
          <w:rFonts w:ascii="Verdana" w:cs="Verdana" w:eastAsia="Verdana" w:hAnsi="Verdana"/>
          <w:sz w:val="18"/>
          <w:szCs w:val="18"/>
          <w:color w:val="auto"/>
        </w:rPr>
        <w:t>Except as may otherwise be provided in the Plan, the provisions of this Agreement shall be governed by the laws of the State of Delaware without giving effect to principles of conflicts of law.</w:t>
      </w:r>
    </w:p>
    <w:p>
      <w:pPr>
        <w:spacing w:after="0" w:line="166" w:lineRule="exact"/>
        <w:rPr>
          <w:sz w:val="20"/>
          <w:szCs w:val="20"/>
          <w:color w:val="auto"/>
        </w:rPr>
      </w:pPr>
    </w:p>
    <w:p>
      <w:pPr>
        <w:ind w:left="1260" w:hanging="623"/>
        <w:spacing w:after="0"/>
        <w:tabs>
          <w:tab w:leader="none" w:pos="1260" w:val="left"/>
        </w:tabs>
        <w:numPr>
          <w:ilvl w:val="0"/>
          <w:numId w:val="155"/>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Code Section 409A Compliance</w:t>
      </w:r>
    </w:p>
    <w:p>
      <w:pPr>
        <w:spacing w:after="0" w:line="189" w:lineRule="exact"/>
        <w:rPr>
          <w:sz w:val="20"/>
          <w:szCs w:val="20"/>
          <w:color w:val="auto"/>
        </w:rPr>
      </w:pPr>
    </w:p>
    <w:p>
      <w:pPr>
        <w:jc w:val="both"/>
        <w:ind w:left="640"/>
        <w:spacing w:after="0" w:line="234" w:lineRule="auto"/>
        <w:rPr>
          <w:sz w:val="20"/>
          <w:szCs w:val="20"/>
          <w:color w:val="auto"/>
        </w:rPr>
      </w:pPr>
      <w:r>
        <w:rPr>
          <w:rFonts w:ascii="Verdana" w:cs="Verdana" w:eastAsia="Verdana" w:hAnsi="Verdana"/>
          <w:sz w:val="18"/>
          <w:szCs w:val="18"/>
          <w:color w:val="auto"/>
        </w:rPr>
        <w:t>To the extent that the Committee determines that the Award granted under this Agreement is subject to Section 409A of the Code and fails to comply with the requirements of such Section, notwithstanding anything to the contrary contained in the Plan or in this Agreement, the Committee reserves the right to amend, restructure, terminate or replace this Award in order to cause the Award to either not be subject to Section 409A of the Code or comply with the applicable provisions of such Section.</w:t>
      </w:r>
    </w:p>
    <w:p>
      <w:pPr>
        <w:spacing w:after="0" w:line="197"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Verdana" w:cs="Verdana" w:eastAsia="Verdana" w:hAnsi="Verdana"/>
          <w:sz w:val="14"/>
          <w:szCs w:val="14"/>
          <w:color w:val="auto"/>
        </w:rPr>
        <w:t>2026 RSU Agreement (ALL)</w:t>
      </w:r>
    </w:p>
    <w:p>
      <w:pPr>
        <w:spacing w:after="0" w:line="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Verdana" w:cs="Verdana" w:eastAsia="Verdana" w:hAnsi="Verdana"/>
          <w:sz w:val="18"/>
          <w:szCs w:val="18"/>
          <w:color w:val="auto"/>
        </w:rPr>
        <w:t>IN WITNESS WHEREOF, this Agreement has been executed as of the Date of Grant.</w:t>
      </w:r>
    </w:p>
    <w:p>
      <w:pPr>
        <w:spacing w:after="0" w:line="200" w:lineRule="exact"/>
        <w:rPr>
          <w:sz w:val="20"/>
          <w:szCs w:val="20"/>
          <w:color w:val="auto"/>
        </w:rPr>
      </w:pPr>
    </w:p>
    <w:p>
      <w:pPr>
        <w:spacing w:after="0" w:line="344" w:lineRule="exact"/>
        <w:rPr>
          <w:sz w:val="20"/>
          <w:szCs w:val="20"/>
          <w:color w:val="auto"/>
        </w:rPr>
      </w:pPr>
    </w:p>
    <w:p>
      <w:pPr>
        <w:ind w:left="3160"/>
        <w:spacing w:after="0"/>
        <w:rPr>
          <w:sz w:val="20"/>
          <w:szCs w:val="20"/>
          <w:color w:val="auto"/>
        </w:rPr>
      </w:pPr>
      <w:r>
        <w:rPr>
          <w:rFonts w:ascii="Verdana" w:cs="Verdana" w:eastAsia="Verdana" w:hAnsi="Verdana"/>
          <w:sz w:val="18"/>
          <w:szCs w:val="18"/>
          <w:b w:val="1"/>
          <w:bCs w:val="1"/>
          <w:color w:val="auto"/>
        </w:rPr>
        <w:t>NRG ENERGY, INC.</w:t>
      </w:r>
    </w:p>
    <w:p>
      <w:pPr>
        <w:spacing w:after="0" w:line="5" w:lineRule="exact"/>
        <w:rPr>
          <w:sz w:val="20"/>
          <w:szCs w:val="20"/>
          <w:color w:val="auto"/>
        </w:rPr>
      </w:pPr>
    </w:p>
    <w:tbl>
      <w:tblPr>
        <w:tblLayout w:type="fixed"/>
        <w:tblInd w:w="3100" w:type="dxa"/>
        <w:tblCellMar>
          <w:top w:w="0" w:type="dxa"/>
          <w:left w:w="0" w:type="dxa"/>
          <w:bottom w:w="0" w:type="dxa"/>
          <w:right w:w="0" w:type="dxa"/>
        </w:tblCellMar>
      </w:tblPr>
      <w:tr>
        <w:trPr>
          <w:trHeight w:val="229"/>
        </w:trPr>
        <w:tc>
          <w:tcPr>
            <w:tcW w:w="840" w:type="dxa"/>
            <w:vAlign w:val="bottom"/>
            <w:vMerge w:val="restart"/>
          </w:tcPr>
          <w:p>
            <w:pPr>
              <w:spacing w:after="0"/>
              <w:rPr>
                <w:sz w:val="20"/>
                <w:szCs w:val="20"/>
                <w:color w:val="auto"/>
              </w:rPr>
            </w:pPr>
            <w:r>
              <w:rPr>
                <w:rFonts w:ascii="Verdana" w:cs="Verdana" w:eastAsia="Verdana" w:hAnsi="Verdana"/>
                <w:sz w:val="18"/>
                <w:szCs w:val="18"/>
                <w:color w:val="auto"/>
              </w:rPr>
              <w:t>Name:</w:t>
            </w:r>
          </w:p>
        </w:tc>
        <w:tc>
          <w:tcPr>
            <w:tcW w:w="3840" w:type="dxa"/>
            <w:vAlign w:val="bottom"/>
            <w:tcBorders>
              <w:bottom w:val="single" w:sz="8" w:color="auto"/>
            </w:tcBorders>
          </w:tcPr>
          <w:p>
            <w:pPr>
              <w:ind w:left="180"/>
              <w:spacing w:after="0"/>
              <w:rPr>
                <w:sz w:val="20"/>
                <w:szCs w:val="20"/>
                <w:color w:val="auto"/>
              </w:rPr>
            </w:pPr>
            <w:r>
              <w:rPr>
                <w:rFonts w:ascii="Verdana" w:cs="Verdana" w:eastAsia="Verdana" w:hAnsi="Verdana"/>
                <w:sz w:val="18"/>
                <w:szCs w:val="18"/>
                <w:color w:val="auto"/>
              </w:rPr>
              <w:t>/s/ Lawrence Coben</w:t>
            </w:r>
          </w:p>
        </w:tc>
        <w:tc>
          <w:tcPr>
            <w:tcW w:w="0" w:type="dxa"/>
            <w:vAlign w:val="bottom"/>
          </w:tcPr>
          <w:p>
            <w:pPr>
              <w:spacing w:after="0"/>
              <w:rPr>
                <w:sz w:val="1"/>
                <w:szCs w:val="1"/>
                <w:color w:val="auto"/>
              </w:rPr>
            </w:pPr>
          </w:p>
        </w:tc>
      </w:tr>
      <w:tr>
        <w:trPr>
          <w:trHeight w:val="212"/>
        </w:trPr>
        <w:tc>
          <w:tcPr>
            <w:tcW w:w="840" w:type="dxa"/>
            <w:vAlign w:val="bottom"/>
            <w:vMerge w:val="continue"/>
          </w:tcPr>
          <w:p>
            <w:pPr>
              <w:spacing w:after="0"/>
              <w:rPr>
                <w:sz w:val="18"/>
                <w:szCs w:val="18"/>
                <w:color w:val="auto"/>
              </w:rPr>
            </w:pPr>
          </w:p>
        </w:tc>
        <w:tc>
          <w:tcPr>
            <w:tcW w:w="3840" w:type="dxa"/>
            <w:vAlign w:val="bottom"/>
            <w:tcBorders>
              <w:bottom w:val="single" w:sz="8" w:color="auto"/>
            </w:tcBorders>
          </w:tcPr>
          <w:p>
            <w:pPr>
              <w:ind w:left="80"/>
              <w:spacing w:after="0" w:line="212" w:lineRule="exact"/>
              <w:rPr>
                <w:sz w:val="20"/>
                <w:szCs w:val="20"/>
                <w:color w:val="auto"/>
              </w:rPr>
            </w:pPr>
            <w:r>
              <w:rPr>
                <w:rFonts w:ascii="Verdana" w:cs="Verdana" w:eastAsia="Verdana" w:hAnsi="Verdana"/>
                <w:sz w:val="18"/>
                <w:szCs w:val="18"/>
                <w:color w:val="auto"/>
              </w:rPr>
              <w:t>Lawrence Coben</w:t>
            </w:r>
          </w:p>
        </w:tc>
        <w:tc>
          <w:tcPr>
            <w:tcW w:w="0" w:type="dxa"/>
            <w:vAlign w:val="bottom"/>
          </w:tcPr>
          <w:p>
            <w:pPr>
              <w:spacing w:after="0"/>
              <w:rPr>
                <w:sz w:val="1"/>
                <w:szCs w:val="1"/>
                <w:color w:val="auto"/>
              </w:rPr>
            </w:pPr>
          </w:p>
        </w:tc>
      </w:tr>
      <w:tr>
        <w:trPr>
          <w:trHeight w:val="222"/>
        </w:trPr>
        <w:tc>
          <w:tcPr>
            <w:tcW w:w="840" w:type="dxa"/>
            <w:vAlign w:val="bottom"/>
          </w:tcPr>
          <w:p>
            <w:pPr>
              <w:spacing w:after="0" w:line="208" w:lineRule="exact"/>
              <w:rPr>
                <w:sz w:val="20"/>
                <w:szCs w:val="20"/>
                <w:color w:val="auto"/>
              </w:rPr>
            </w:pPr>
            <w:r>
              <w:rPr>
                <w:rFonts w:ascii="Verdana" w:cs="Verdana" w:eastAsia="Verdana" w:hAnsi="Verdana"/>
                <w:sz w:val="18"/>
                <w:szCs w:val="18"/>
                <w:color w:val="auto"/>
              </w:rPr>
              <w:t>Title:</w:t>
            </w:r>
          </w:p>
        </w:tc>
        <w:tc>
          <w:tcPr>
            <w:tcW w:w="3840" w:type="dxa"/>
            <w:vAlign w:val="bottom"/>
            <w:tcBorders>
              <w:bottom w:val="single" w:sz="8" w:color="auto"/>
            </w:tcBorders>
          </w:tcPr>
          <w:p>
            <w:pPr>
              <w:ind w:left="80"/>
              <w:spacing w:after="0"/>
              <w:rPr>
                <w:sz w:val="20"/>
                <w:szCs w:val="20"/>
                <w:color w:val="auto"/>
              </w:rPr>
            </w:pPr>
            <w:r>
              <w:rPr>
                <w:rFonts w:ascii="Verdana" w:cs="Verdana" w:eastAsia="Verdana" w:hAnsi="Verdana"/>
                <w:sz w:val="18"/>
                <w:szCs w:val="18"/>
                <w:color w:val="auto"/>
              </w:rPr>
              <w:t>President &amp; CEO</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Verdana" w:cs="Verdana" w:eastAsia="Verdana" w:hAnsi="Verdana"/>
          <w:sz w:val="14"/>
          <w:szCs w:val="14"/>
          <w:color w:val="auto"/>
        </w:rPr>
        <w:t>2026 RSU Agreement (ALL)</w:t>
      </w:r>
    </w:p>
    <w:p>
      <w:pPr>
        <w:spacing w:after="0" w:line="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0139"/>
          </w:cols>
          <w:pgMar w:left="320" w:top="1440" w:right="1440" w:bottom="1440" w:gutter="0" w:footer="0" w:header="0"/>
        </w:sectPr>
      </w:pPr>
    </w:p>
    <w:bookmarkStart w:id="215" w:name="page216"/>
    <w:bookmarkEnd w:id="215"/>
    <w:p>
      <w:pPr>
        <w:ind w:left="1760" w:right="500"/>
        <w:spacing w:after="0" w:line="321" w:lineRule="auto"/>
        <w:rPr>
          <w:sz w:val="20"/>
          <w:szCs w:val="20"/>
          <w:color w:val="auto"/>
        </w:rPr>
      </w:pPr>
      <w:r>
        <w:rPr>
          <w:rFonts w:ascii="Verdana" w:cs="Verdana" w:eastAsia="Verdana" w:hAnsi="Verdana"/>
          <w:sz w:val="26"/>
          <w:szCs w:val="26"/>
          <w:b w:val="1"/>
          <w:bCs w:val="1"/>
          <w:color w:val="auto"/>
        </w:rPr>
        <w:drawing>
          <wp:anchor simplePos="0" relativeHeight="251657728" behindDoc="1" locked="0" layoutInCell="0" allowOverlap="1">
            <wp:simplePos x="0" y="0"/>
            <wp:positionH relativeFrom="page">
              <wp:posOffset>214630</wp:posOffset>
            </wp:positionH>
            <wp:positionV relativeFrom="page">
              <wp:posOffset>106045</wp:posOffset>
            </wp:positionV>
            <wp:extent cx="793750" cy="5346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43">
                      <a:clrChange>
                        <a:clrFrom>
                          <a:srgbClr val="FFFFFF"/>
                        </a:clrFrom>
                        <a:clrTo>
                          <a:srgbClr val="FFFFFF">
                            <a:alpha val="0"/>
                          </a:srgbClr>
                        </a:clrTo>
                      </a:clrChange>
                      <a:extLst>
                        <a:ext uri="{28A0092B-C50C-407E-A947-70E740481C1C}"/>
                      </a:extLst>
                    </a:blip>
                    <a:srcRect/>
                    <a:stretch>
                      <a:fillRect/>
                    </a:stretch>
                  </pic:blipFill>
                  <pic:spPr bwMode="auto">
                    <a:xfrm>
                      <a:off x="0" y="0"/>
                      <a:ext cx="793750" cy="534670"/>
                    </a:xfrm>
                    <a:prstGeom prst="rect">
                      <a:avLst/>
                    </a:prstGeom>
                    <a:noFill/>
                  </pic:spPr>
                </pic:pic>
              </a:graphicData>
            </a:graphic>
          </wp:anchor>
        </w:drawing>
        <w:t>NRG ENERGY, INC. LONG-TERM INCENTIVE PLAN NOTICE OF RELATIVE PERFORMANCE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-41275</wp:posOffset>
            </wp:positionV>
            <wp:extent cx="713549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44">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8"/>
          <w:szCs w:val="28"/>
          <w:b w:val="1"/>
          <w:bCs w:val="1"/>
          <w:color w:val="auto"/>
        </w:rPr>
        <w:t>Exhibit 10.6</w:t>
      </w:r>
    </w:p>
    <w:p>
      <w:pPr>
        <w:spacing w:after="0" w:line="2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%%FIRST_NAME_LAST_NAME%-%</w:t>
      </w:r>
    </w:p>
    <w:p>
      <w:pPr>
        <w:spacing w:after="0" w:line="18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%%ADDRESS_LINE_1%-%</w:t>
      </w:r>
    </w:p>
    <w:p>
      <w:pPr>
        <w:spacing w:after="0" w:line="230" w:lineRule="auto"/>
        <w:rPr>
          <w:sz w:val="20"/>
          <w:szCs w:val="20"/>
          <w:color w:val="auto"/>
        </w:rPr>
      </w:pPr>
      <w:r>
        <w:rPr>
          <w:rFonts w:ascii="Verdana" w:cs="Verdana" w:eastAsia="Verdana" w:hAnsi="Verdana"/>
          <w:sz w:val="18"/>
          <w:szCs w:val="18"/>
          <w:b w:val="1"/>
          <w:bCs w:val="1"/>
          <w:color w:val="auto"/>
        </w:rPr>
        <w:t>%%ADDRESS_LINE_2%-%</w:t>
      </w:r>
    </w:p>
    <w:p>
      <w:pPr>
        <w:spacing w:after="0" w:line="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%%CITY_STATE_ZIPCODE%-%</w:t>
      </w:r>
    </w:p>
    <w:p>
      <w:pPr>
        <w:spacing w:after="0" w:line="202" w:lineRule="exact"/>
        <w:rPr>
          <w:sz w:val="20"/>
          <w:szCs w:val="20"/>
          <w:color w:val="auto"/>
        </w:rPr>
      </w:pPr>
    </w:p>
    <w:p>
      <w:pPr>
        <w:jc w:val="both"/>
        <w:spacing w:after="0" w:line="233" w:lineRule="auto"/>
        <w:rPr>
          <w:sz w:val="20"/>
          <w:szCs w:val="20"/>
          <w:color w:val="auto"/>
        </w:rPr>
      </w:pPr>
      <w:r>
        <w:rPr>
          <w:rFonts w:ascii="Verdana" w:cs="Verdana" w:eastAsia="Verdana" w:hAnsi="Verdana"/>
          <w:sz w:val="18"/>
          <w:szCs w:val="18"/>
          <w:color w:val="auto"/>
        </w:rPr>
        <w:t>Congratulations on your selection as a Participant under the NRG Energy, Inc. Amended and Restated Long-Term Incentive Plan, as amended from time to time</w:t>
      </w:r>
      <w:r>
        <w:rPr>
          <w:rFonts w:ascii="Verdana" w:cs="Verdana" w:eastAsia="Verdana" w:hAnsi="Verdana"/>
          <w:sz w:val="11"/>
          <w:szCs w:val="11"/>
          <w:color w:val="auto"/>
        </w:rPr>
        <w:t>1</w:t>
      </w:r>
      <w:r>
        <w:rPr>
          <w:rFonts w:ascii="Verdana" w:cs="Verdana" w:eastAsia="Verdana" w:hAnsi="Verdana"/>
          <w:sz w:val="18"/>
          <w:szCs w:val="18"/>
          <w:color w:val="auto"/>
        </w:rPr>
        <w:t xml:space="preserve"> (the “</w:t>
      </w:r>
      <w:r>
        <w:rPr>
          <w:rFonts w:ascii="Verdana" w:cs="Verdana" w:eastAsia="Verdana" w:hAnsi="Verdana"/>
          <w:sz w:val="18"/>
          <w:szCs w:val="18"/>
          <w:u w:val="single" w:color="auto"/>
          <w:color w:val="auto"/>
        </w:rPr>
        <w:t>Plan</w:t>
      </w:r>
      <w:r>
        <w:rPr>
          <w:rFonts w:ascii="Verdana" w:cs="Verdana" w:eastAsia="Verdana" w:hAnsi="Verdana"/>
          <w:sz w:val="18"/>
          <w:szCs w:val="18"/>
          <w:color w:val="auto"/>
        </w:rPr>
        <w:t>”). This Notice of Relative Performance Stock Units (the “</w:t>
      </w:r>
      <w:r>
        <w:rPr>
          <w:rFonts w:ascii="Verdana" w:cs="Verdana" w:eastAsia="Verdana" w:hAnsi="Verdana"/>
          <w:sz w:val="18"/>
          <w:szCs w:val="18"/>
          <w:u w:val="single" w:color="auto"/>
          <w:color w:val="auto"/>
        </w:rPr>
        <w:t>Grant Notice</w:t>
      </w:r>
      <w:r>
        <w:rPr>
          <w:rFonts w:ascii="Verdana" w:cs="Verdana" w:eastAsia="Verdana" w:hAnsi="Verdana"/>
          <w:sz w:val="18"/>
          <w:szCs w:val="18"/>
          <w:color w:val="auto"/>
        </w:rPr>
        <w:t>”) and the attached Relative Performance Stock Unit Agreement (collectively referred to as the “</w:t>
      </w:r>
      <w:r>
        <w:rPr>
          <w:rFonts w:ascii="Verdana" w:cs="Verdana" w:eastAsia="Verdana" w:hAnsi="Verdana"/>
          <w:sz w:val="18"/>
          <w:szCs w:val="18"/>
          <w:u w:val="single" w:color="auto"/>
          <w:color w:val="auto"/>
        </w:rPr>
        <w:t>Agreement</w:t>
      </w:r>
      <w:r>
        <w:rPr>
          <w:rFonts w:ascii="Verdana" w:cs="Verdana" w:eastAsia="Verdana" w:hAnsi="Verdana"/>
          <w:sz w:val="18"/>
          <w:szCs w:val="18"/>
          <w:color w:val="auto"/>
        </w:rPr>
        <w:t>”) constitute an agreement between you and NRG Energy, Inc. (the “</w:t>
      </w:r>
      <w:r>
        <w:rPr>
          <w:rFonts w:ascii="Verdana" w:cs="Verdana" w:eastAsia="Verdana" w:hAnsi="Verdana"/>
          <w:sz w:val="18"/>
          <w:szCs w:val="18"/>
          <w:u w:val="single" w:color="auto"/>
          <w:color w:val="auto"/>
        </w:rPr>
        <w:t>Company</w:t>
      </w:r>
      <w:r>
        <w:rPr>
          <w:rFonts w:ascii="Verdana" w:cs="Verdana" w:eastAsia="Verdana" w:hAnsi="Verdana"/>
          <w:sz w:val="18"/>
          <w:szCs w:val="18"/>
          <w:color w:val="auto"/>
        </w:rPr>
        <w:t xml:space="preserve">”) pursuant to </w:t>
      </w:r>
      <w:r>
        <w:rPr>
          <w:rFonts w:ascii="Verdana" w:cs="Verdana" w:eastAsia="Verdana" w:hAnsi="Verdana"/>
          <w:sz w:val="18"/>
          <w:szCs w:val="18"/>
          <w:u w:val="single" w:color="auto"/>
          <w:color w:val="auto"/>
        </w:rPr>
        <w:t>Section 9</w:t>
      </w:r>
      <w:r>
        <w:rPr>
          <w:rFonts w:ascii="Verdana" w:cs="Verdana" w:eastAsia="Verdana" w:hAnsi="Verdana"/>
          <w:sz w:val="18"/>
          <w:szCs w:val="18"/>
          <w:color w:val="auto"/>
        </w:rPr>
        <w:t xml:space="preserve"> of the Plan. In the event of any inconsistency between the terms of this Agreement and the terms of the Plan, the Plan’s terms shall supersede and replace the conflicting terms of this Agreement. Capitalized terms used but not defined in this Agreement shall have the meaning assigned to them in the Plan. You are sometimes referred to as the “</w:t>
      </w:r>
      <w:r>
        <w:rPr>
          <w:rFonts w:ascii="Verdana" w:cs="Verdana" w:eastAsia="Verdana" w:hAnsi="Verdana"/>
          <w:sz w:val="18"/>
          <w:szCs w:val="18"/>
          <w:u w:val="single" w:color="auto"/>
          <w:color w:val="auto"/>
        </w:rPr>
        <w:t>Participant</w:t>
      </w:r>
      <w:r>
        <w:rPr>
          <w:rFonts w:ascii="Verdana" w:cs="Verdana" w:eastAsia="Verdana" w:hAnsi="Verdana"/>
          <w:sz w:val="18"/>
          <w:szCs w:val="18"/>
          <w:color w:val="auto"/>
        </w:rPr>
        <w:t>” in this Agreement.</w:t>
      </w:r>
    </w:p>
    <w:p>
      <w:pPr>
        <w:spacing w:after="0" w:line="198"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 xml:space="preserve">%%FIRST_NAME_LAST_NAME%-% </w:t>
      </w:r>
      <w:r>
        <w:rPr>
          <w:rFonts w:ascii="Verdana" w:cs="Verdana" w:eastAsia="Verdana" w:hAnsi="Verdana"/>
          <w:sz w:val="18"/>
          <w:szCs w:val="18"/>
          <w:color w:val="auto"/>
        </w:rPr>
        <w:t>is hereby granted Relative Performance Stock Units (“</w:t>
      </w:r>
      <w:r>
        <w:rPr>
          <w:rFonts w:ascii="Verdana" w:cs="Verdana" w:eastAsia="Verdana" w:hAnsi="Verdana"/>
          <w:sz w:val="18"/>
          <w:szCs w:val="18"/>
          <w:u w:val="single" w:color="auto"/>
          <w:color w:val="auto"/>
        </w:rPr>
        <w:t>RPSUs</w:t>
      </w:r>
      <w:r>
        <w:rPr>
          <w:rFonts w:ascii="Verdana" w:cs="Verdana" w:eastAsia="Verdana" w:hAnsi="Verdana"/>
          <w:sz w:val="18"/>
          <w:szCs w:val="18"/>
          <w:color w:val="auto"/>
        </w:rPr>
        <w:t>”) as follows:</w:t>
      </w:r>
    </w:p>
    <w:p>
      <w:pPr>
        <w:sectPr>
          <w:pgSz w:w="11900" w:h="16838" w:orient="portrait"/>
          <w:cols w:equalWidth="0" w:num="1">
            <w:col w:w="11240"/>
          </w:cols>
          <w:pgMar w:left="320" w:top="386" w:right="339" w:bottom="1440" w:gutter="0" w:footer="0" w:header="0"/>
        </w:sectPr>
      </w:pPr>
    </w:p>
    <w:p>
      <w:pPr>
        <w:spacing w:after="0" w:line="229" w:lineRule="exact"/>
        <w:rPr>
          <w:sz w:val="20"/>
          <w:szCs w:val="20"/>
          <w:color w:val="auto"/>
        </w:rPr>
      </w:pPr>
    </w:p>
    <w:p>
      <w:pPr>
        <w:ind w:left="580"/>
        <w:spacing w:after="0"/>
        <w:rPr>
          <w:sz w:val="20"/>
          <w:szCs w:val="20"/>
          <w:color w:val="auto"/>
        </w:rPr>
      </w:pPr>
      <w:r>
        <w:rPr>
          <w:rFonts w:ascii="Verdana" w:cs="Verdana" w:eastAsia="Verdana" w:hAnsi="Verdana"/>
          <w:sz w:val="16"/>
          <w:szCs w:val="16"/>
          <w:color w:val="auto"/>
        </w:rPr>
        <w:t>Date of Grant: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%%OPTION_DATE,’Month DD, YYYY’%-%</w:t>
      </w:r>
    </w:p>
    <w:p>
      <w:pPr>
        <w:spacing w:after="0" w:line="34" w:lineRule="exact"/>
        <w:rPr>
          <w:sz w:val="20"/>
          <w:szCs w:val="20"/>
          <w:color w:val="auto"/>
        </w:rPr>
      </w:pPr>
    </w:p>
    <w:p>
      <w:pPr>
        <w:sectPr>
          <w:pgSz w:w="11900" w:h="16838" w:orient="portrait"/>
          <w:cols w:equalWidth="0" w:num="2">
            <w:col w:w="2820" w:space="720"/>
            <w:col w:w="7700"/>
          </w:cols>
          <w:pgMar w:left="320" w:top="386" w:right="339" w:bottom="1440" w:gutter="0" w:footer="0" w:header="0"/>
          <w:type w:val="continuous"/>
        </w:sectPr>
      </w:pPr>
    </w:p>
    <w:p>
      <w:pPr>
        <w:ind w:left="580"/>
        <w:spacing w:after="0"/>
        <w:rPr>
          <w:sz w:val="20"/>
          <w:szCs w:val="20"/>
          <w:color w:val="auto"/>
        </w:rPr>
      </w:pPr>
      <w:r>
        <w:rPr>
          <w:rFonts w:ascii="Verdana" w:cs="Verdana" w:eastAsia="Verdana" w:hAnsi="Verdana"/>
          <w:sz w:val="16"/>
          <w:szCs w:val="16"/>
          <w:color w:val="auto"/>
        </w:rPr>
        <w:t>Performance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Verdana" w:cs="Verdana" w:eastAsia="Verdana" w:hAnsi="Verdana"/>
          <w:sz w:val="16"/>
          <w:szCs w:val="16"/>
          <w:color w:val="auto"/>
        </w:rPr>
        <w:t>January 2, 2026 through January 2, 2029</w:t>
      </w:r>
    </w:p>
    <w:p>
      <w:pPr>
        <w:spacing w:after="0" w:line="29" w:lineRule="exact"/>
        <w:rPr>
          <w:sz w:val="20"/>
          <w:szCs w:val="20"/>
          <w:color w:val="auto"/>
        </w:rPr>
      </w:pPr>
    </w:p>
    <w:p>
      <w:pPr>
        <w:sectPr>
          <w:pgSz w:w="11900" w:h="16838" w:orient="portrait"/>
          <w:cols w:equalWidth="0" w:num="2">
            <w:col w:w="2820" w:space="720"/>
            <w:col w:w="7700"/>
          </w:cols>
          <w:pgMar w:left="320" w:top="386" w:right="339" w:bottom="1440" w:gutter="0" w:footer="0" w:header="0"/>
          <w:type w:val="continuous"/>
        </w:sectPr>
      </w:pPr>
    </w:p>
    <w:p>
      <w:pPr>
        <w:ind w:left="580"/>
        <w:spacing w:after="0"/>
        <w:rPr>
          <w:sz w:val="20"/>
          <w:szCs w:val="20"/>
          <w:color w:val="auto"/>
        </w:rPr>
      </w:pPr>
      <w:r>
        <w:rPr>
          <w:rFonts w:ascii="Verdana" w:cs="Verdana" w:eastAsia="Verdana" w:hAnsi="Verdana"/>
          <w:sz w:val="16"/>
          <w:szCs w:val="16"/>
          <w:color w:val="auto"/>
        </w:rPr>
        <w:t>Target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Verdana" w:cs="Verdana" w:eastAsia="Verdana" w:hAnsi="Verdana"/>
          <w:sz w:val="16"/>
          <w:szCs w:val="16"/>
          <w:b w:val="1"/>
          <w:bCs w:val="1"/>
          <w:color w:val="auto"/>
        </w:rPr>
        <w:t>%%TOTAL_SHARES_GRANTED,’999,999,999’%-%</w:t>
      </w:r>
    </w:p>
    <w:p>
      <w:pPr>
        <w:spacing w:after="0" w:line="29" w:lineRule="exact"/>
        <w:rPr>
          <w:sz w:val="20"/>
          <w:szCs w:val="20"/>
          <w:color w:val="auto"/>
        </w:rPr>
      </w:pPr>
    </w:p>
    <w:p>
      <w:pPr>
        <w:sectPr>
          <w:pgSz w:w="11900" w:h="16838" w:orient="portrait"/>
          <w:cols w:equalWidth="0" w:num="2">
            <w:col w:w="2820" w:space="720"/>
            <w:col w:w="7700"/>
          </w:cols>
          <w:pgMar w:left="320" w:top="386" w:right="339" w:bottom="1440" w:gutter="0" w:footer="0" w:header="0"/>
          <w:type w:val="continuous"/>
        </w:sectPr>
      </w:pPr>
    </w:p>
    <w:p>
      <w:pPr>
        <w:ind w:left="580"/>
        <w:spacing w:after="0"/>
        <w:rPr>
          <w:sz w:val="20"/>
          <w:szCs w:val="20"/>
          <w:color w:val="auto"/>
        </w:rPr>
      </w:pPr>
      <w:r>
        <w:rPr>
          <w:rFonts w:ascii="Verdana" w:cs="Verdana" w:eastAsia="Verdana" w:hAnsi="Verdana"/>
          <w:sz w:val="16"/>
          <w:szCs w:val="16"/>
          <w:color w:val="auto"/>
        </w:rPr>
        <w:t>Final Award:</w:t>
      </w:r>
    </w:p>
    <w:p>
      <w:pPr>
        <w:spacing w:after="0" w:line="20" w:lineRule="exact"/>
        <w:rPr>
          <w:sz w:val="20"/>
          <w:szCs w:val="20"/>
          <w:color w:val="auto"/>
        </w:rPr>
      </w:pPr>
      <w:r>
        <w:rPr>
          <w:sz w:val="20"/>
          <w:szCs w:val="20"/>
          <w:color w:val="auto"/>
        </w:rPr>
        <w:br w:type="column"/>
      </w:r>
    </w:p>
    <w:p>
      <w:pPr>
        <w:jc w:val="both"/>
        <w:ind w:right="740"/>
        <w:spacing w:after="0" w:line="205" w:lineRule="auto"/>
        <w:rPr>
          <w:sz w:val="20"/>
          <w:szCs w:val="20"/>
          <w:color w:val="auto"/>
        </w:rPr>
      </w:pPr>
      <w:r>
        <w:rPr>
          <w:rFonts w:ascii="Verdana" w:cs="Verdana" w:eastAsia="Verdana" w:hAnsi="Verdana"/>
          <w:sz w:val="18"/>
          <w:szCs w:val="18"/>
          <w:color w:val="auto"/>
        </w:rPr>
        <w:t>Target Award multiplied by the “Payout Percentage” (as defined below) based on the Company’s total shareholder return relative to total shareholder return of peer group members of the Standard &amp; Poors 500 Index, as set forth in this Agreement.</w:t>
      </w:r>
    </w:p>
    <w:p>
      <w:pPr>
        <w:spacing w:after="0" w:line="90" w:lineRule="exact"/>
        <w:rPr>
          <w:sz w:val="20"/>
          <w:szCs w:val="20"/>
          <w:color w:val="auto"/>
        </w:rPr>
      </w:pPr>
    </w:p>
    <w:p>
      <w:pPr>
        <w:sectPr>
          <w:pgSz w:w="11900" w:h="16838" w:orient="portrait"/>
          <w:cols w:equalWidth="0" w:num="2">
            <w:col w:w="2820" w:space="720"/>
            <w:col w:w="7700"/>
          </w:cols>
          <w:pgMar w:left="320" w:top="386" w:right="339" w:bottom="1440" w:gutter="0" w:footer="0" w:header="0"/>
          <w:type w:val="continuous"/>
        </w:sectPr>
      </w:pPr>
    </w:p>
    <w:p>
      <w:pPr>
        <w:jc w:val="both"/>
        <w:spacing w:after="0" w:line="237" w:lineRule="auto"/>
        <w:rPr>
          <w:sz w:val="20"/>
          <w:szCs w:val="20"/>
          <w:color w:val="auto"/>
        </w:rPr>
      </w:pPr>
      <w:r>
        <w:rPr>
          <w:rFonts w:ascii="Verdana" w:cs="Verdana" w:eastAsia="Verdana" w:hAnsi="Verdana"/>
          <w:sz w:val="18"/>
          <w:szCs w:val="18"/>
          <w:color w:val="auto"/>
        </w:rPr>
        <w:t>Payment of the Final Award shall be made in NRG Energy, Inc. Common Stock and shall be made no earlier than January 2, 2029 and no later than March 15, 2029, but in no event later than two and a half months following the end of the calendar year in which the Final Award vested in compliance with the short-term deferral exception of IRC Section 409A.</w:t>
      </w:r>
    </w:p>
    <w:p>
      <w:pPr>
        <w:spacing w:after="0" w:line="194" w:lineRule="exact"/>
        <w:rPr>
          <w:sz w:val="20"/>
          <w:szCs w:val="20"/>
          <w:color w:val="auto"/>
        </w:rPr>
      </w:pPr>
    </w:p>
    <w:p>
      <w:pPr>
        <w:jc w:val="both"/>
        <w:spacing w:after="0" w:line="237" w:lineRule="auto"/>
        <w:rPr>
          <w:sz w:val="20"/>
          <w:szCs w:val="20"/>
          <w:color w:val="auto"/>
        </w:rPr>
      </w:pPr>
      <w:r>
        <w:rPr>
          <w:rFonts w:ascii="Verdana" w:cs="Verdana" w:eastAsia="Verdana" w:hAnsi="Verdana"/>
          <w:sz w:val="18"/>
          <w:szCs w:val="18"/>
          <w:color w:val="auto"/>
        </w:rPr>
        <w:t xml:space="preserve">Subject to </w:t>
      </w:r>
      <w:r>
        <w:rPr>
          <w:rFonts w:ascii="Verdana" w:cs="Verdana" w:eastAsia="Verdana" w:hAnsi="Verdana"/>
          <w:sz w:val="18"/>
          <w:szCs w:val="18"/>
          <w:u w:val="single" w:color="auto"/>
          <w:color w:val="auto"/>
        </w:rPr>
        <w:t>Section 8</w:t>
      </w:r>
      <w:r>
        <w:rPr>
          <w:rFonts w:ascii="Verdana" w:cs="Verdana" w:eastAsia="Verdana" w:hAnsi="Verdana"/>
          <w:sz w:val="18"/>
          <w:szCs w:val="18"/>
          <w:color w:val="auto"/>
        </w:rPr>
        <w:t xml:space="preserve"> of this Agreement, if your employment by, or service to, the Company, including any of its Subsidiaries, is terminated at any time during the Performance Period, any award or right granted hereunder shall expire and be forfeited, and no Final Award or dividend equivalent related thereto shall be paid.</w:t>
      </w:r>
    </w:p>
    <w:p>
      <w:pPr>
        <w:spacing w:after="0" w:line="194" w:lineRule="exact"/>
        <w:rPr>
          <w:sz w:val="20"/>
          <w:szCs w:val="20"/>
          <w:color w:val="auto"/>
        </w:rPr>
      </w:pPr>
    </w:p>
    <w:p>
      <w:pPr>
        <w:jc w:val="both"/>
        <w:spacing w:after="0" w:line="237" w:lineRule="auto"/>
        <w:rPr>
          <w:sz w:val="20"/>
          <w:szCs w:val="20"/>
          <w:color w:val="auto"/>
        </w:rPr>
      </w:pPr>
      <w:r>
        <w:rPr>
          <w:rFonts w:ascii="Verdana" w:cs="Verdana" w:eastAsia="Verdana" w:hAnsi="Verdana"/>
          <w:sz w:val="18"/>
          <w:szCs w:val="18"/>
          <w:b w:val="1"/>
          <w:bCs w:val="1"/>
          <w:color w:val="auto"/>
        </w:rPr>
        <w:t>If you disagree with any of the terms of this award, please contact Peter Johnson at 609-524-4759 prior to accepting this award. You must accept this Agreement and the terms of the Grant Notice and the Plan by January 31 of the year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160401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45">
                      <a:extLst>
                        <a:ext uri="{28A0092B-C50C-407E-A947-70E740481C1C}"/>
                      </a:extLst>
                    </a:blip>
                    <a:srcRect/>
                    <a:stretch>
                      <a:fillRect/>
                    </a:stretch>
                  </pic:blipFill>
                  <pic:spPr bwMode="auto">
                    <a:xfrm>
                      <a:off x="0" y="0"/>
                      <a:ext cx="1604010" cy="8255"/>
                    </a:xfrm>
                    <a:prstGeom prst="rect">
                      <a:avLst/>
                    </a:prstGeom>
                    <a:noFill/>
                  </pic:spPr>
                </pic:pic>
              </a:graphicData>
            </a:graphic>
          </wp:anchor>
        </w:drawing>
      </w:r>
    </w:p>
    <w:p>
      <w:pPr>
        <w:spacing w:after="0" w:line="228" w:lineRule="exact"/>
        <w:rPr>
          <w:sz w:val="20"/>
          <w:szCs w:val="20"/>
          <w:color w:val="auto"/>
        </w:rPr>
      </w:pPr>
    </w:p>
    <w:p>
      <w:pPr>
        <w:ind w:left="140" w:hanging="135"/>
        <w:spacing w:after="0"/>
        <w:tabs>
          <w:tab w:leader="none" w:pos="140" w:val="left"/>
        </w:tabs>
        <w:numPr>
          <w:ilvl w:val="0"/>
          <w:numId w:val="156"/>
        </w:numPr>
        <w:rPr>
          <w:rFonts w:ascii="Verdana" w:cs="Verdana" w:eastAsia="Verdana" w:hAnsi="Verdana"/>
          <w:sz w:val="23"/>
          <w:szCs w:val="23"/>
          <w:color w:val="auto"/>
          <w:vertAlign w:val="superscript"/>
        </w:rPr>
      </w:pPr>
      <w:r>
        <w:rPr>
          <w:rFonts w:ascii="Verdana" w:cs="Verdana" w:eastAsia="Verdana" w:hAnsi="Verdana"/>
          <w:sz w:val="18"/>
          <w:szCs w:val="18"/>
          <w:color w:val="auto"/>
        </w:rPr>
        <w:t>As Amended and Restated on July 25,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Verdana" w:cs="Verdana" w:eastAsia="Verdana" w:hAnsi="Verdana"/>
          <w:sz w:val="16"/>
          <w:szCs w:val="16"/>
          <w:color w:val="auto"/>
        </w:rPr>
        <w:t>2026 RPSU Agreement (SVP_EVP)</w:t>
      </w:r>
    </w:p>
    <w:p>
      <w:pPr>
        <w:sectPr>
          <w:pgSz w:w="11900" w:h="16838" w:orient="portrait"/>
          <w:cols w:equalWidth="0" w:num="1">
            <w:col w:w="11240"/>
          </w:cols>
          <w:pgMar w:left="320" w:top="386" w:right="339" w:bottom="1440" w:gutter="0" w:footer="0" w:header="0"/>
          <w:type w:val="continuous"/>
        </w:sectPr>
      </w:pPr>
    </w:p>
    <w:bookmarkStart w:id="216" w:name="page217"/>
    <w:bookmarkEnd w:id="216"/>
    <w:p>
      <w:pPr>
        <w:ind w:left="1760" w:right="1260"/>
        <w:spacing w:after="0" w:line="326" w:lineRule="auto"/>
        <w:rPr>
          <w:sz w:val="20"/>
          <w:szCs w:val="20"/>
          <w:color w:val="auto"/>
        </w:rPr>
      </w:pPr>
      <w:r>
        <w:rPr>
          <w:rFonts w:ascii="Verdana" w:cs="Verdana" w:eastAsia="Verdana" w:hAnsi="Verdana"/>
          <w:sz w:val="25"/>
          <w:szCs w:val="25"/>
          <w:b w:val="1"/>
          <w:bCs w:val="1"/>
          <w:color w:val="auto"/>
        </w:rPr>
        <w:drawing>
          <wp:anchor simplePos="0" relativeHeight="251657728" behindDoc="1" locked="0" layoutInCell="0" allowOverlap="1">
            <wp:simplePos x="0" y="0"/>
            <wp:positionH relativeFrom="page">
              <wp:posOffset>214630</wp:posOffset>
            </wp:positionH>
            <wp:positionV relativeFrom="page">
              <wp:posOffset>106045</wp:posOffset>
            </wp:positionV>
            <wp:extent cx="793750" cy="5346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46">
                      <a:clrChange>
                        <a:clrFrom>
                          <a:srgbClr val="FFFFFF"/>
                        </a:clrFrom>
                        <a:clrTo>
                          <a:srgbClr val="FFFFFF">
                            <a:alpha val="0"/>
                          </a:srgbClr>
                        </a:clrTo>
                      </a:clrChange>
                      <a:extLst>
                        <a:ext uri="{28A0092B-C50C-407E-A947-70E740481C1C}"/>
                      </a:extLst>
                    </a:blip>
                    <a:srcRect/>
                    <a:stretch>
                      <a:fillRect/>
                    </a:stretch>
                  </pic:blipFill>
                  <pic:spPr bwMode="auto">
                    <a:xfrm>
                      <a:off x="0" y="0"/>
                      <a:ext cx="793750" cy="534670"/>
                    </a:xfrm>
                    <a:prstGeom prst="rect">
                      <a:avLst/>
                    </a:prstGeom>
                    <a:noFill/>
                  </pic:spPr>
                </pic:pic>
              </a:graphicData>
            </a:graphic>
          </wp:anchor>
        </w:drawing>
        <w:t>NRG ENERGY, INC. LONG-TERM INCENTIVE PLAN RELATIVE PERFORMANCE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713549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4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41" w:lineRule="auto"/>
        <w:rPr>
          <w:sz w:val="20"/>
          <w:szCs w:val="20"/>
          <w:color w:val="auto"/>
        </w:rPr>
      </w:pPr>
      <w:r>
        <w:rPr>
          <w:rFonts w:ascii="Verdana" w:cs="Verdana" w:eastAsia="Verdana" w:hAnsi="Verdana"/>
          <w:sz w:val="18"/>
          <w:szCs w:val="18"/>
          <w:b w:val="1"/>
          <w:bCs w:val="1"/>
          <w:color w:val="auto"/>
        </w:rPr>
        <w:t>Date of Grant through E*Trade or this Award will be cancelled unless the Company decides, in its sole discretion, to extend this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w:t>
      </w:r>
    </w:p>
    <w:p>
      <w:pPr>
        <w:spacing w:after="0" w:line="9" w:lineRule="exact"/>
        <w:rPr>
          <w:sz w:val="20"/>
          <w:szCs w:val="20"/>
          <w:color w:val="auto"/>
        </w:rPr>
      </w:pPr>
    </w:p>
    <w:p>
      <w:pPr>
        <w:spacing w:after="0"/>
        <w:rPr>
          <w:sz w:val="20"/>
          <w:szCs w:val="20"/>
          <w:color w:val="auto"/>
        </w:rPr>
      </w:pPr>
      <w:r>
        <w:rPr>
          <w:rFonts w:ascii="Verdana" w:cs="Verdana" w:eastAsia="Verdana" w:hAnsi="Verdana"/>
          <w:sz w:val="16"/>
          <w:szCs w:val="16"/>
          <w:color w:val="auto"/>
        </w:rPr>
        <w:t>2026 RPSU Agreement (SVP_EVP)</w:t>
      </w:r>
    </w:p>
    <w:p>
      <w:pPr>
        <w:sectPr>
          <w:pgSz w:w="11900" w:h="16838" w:orient="portrait"/>
          <w:cols w:equalWidth="0" w:num="1">
            <w:col w:w="11240"/>
          </w:cols>
          <w:pgMar w:left="320" w:top="391" w:right="339" w:bottom="1440" w:gutter="0" w:footer="0" w:header="0"/>
        </w:sectPr>
      </w:pPr>
    </w:p>
    <w:bookmarkStart w:id="217" w:name="page218"/>
    <w:bookmarkEnd w:id="217"/>
    <w:p>
      <w:pPr>
        <w:ind w:left="1760" w:right="1260"/>
        <w:spacing w:after="0" w:line="326" w:lineRule="auto"/>
        <w:rPr>
          <w:sz w:val="20"/>
          <w:szCs w:val="20"/>
          <w:color w:val="auto"/>
        </w:rPr>
      </w:pPr>
      <w:r>
        <w:rPr>
          <w:rFonts w:ascii="Verdana" w:cs="Verdana" w:eastAsia="Verdana" w:hAnsi="Verdana"/>
          <w:sz w:val="25"/>
          <w:szCs w:val="25"/>
          <w:b w:val="1"/>
          <w:bCs w:val="1"/>
          <w:color w:val="auto"/>
        </w:rPr>
        <w:drawing>
          <wp:anchor simplePos="0" relativeHeight="251657728" behindDoc="1" locked="0" layoutInCell="0" allowOverlap="1">
            <wp:simplePos x="0" y="0"/>
            <wp:positionH relativeFrom="page">
              <wp:posOffset>214630</wp:posOffset>
            </wp:positionH>
            <wp:positionV relativeFrom="page">
              <wp:posOffset>105410</wp:posOffset>
            </wp:positionV>
            <wp:extent cx="793750" cy="5346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48">
                      <a:clrChange>
                        <a:clrFrom>
                          <a:srgbClr val="FFFFFF"/>
                        </a:clrFrom>
                        <a:clrTo>
                          <a:srgbClr val="FFFFFF">
                            <a:alpha val="0"/>
                          </a:srgbClr>
                        </a:clrTo>
                      </a:clrChange>
                      <a:extLst>
                        <a:ext uri="{28A0092B-C50C-407E-A947-70E740481C1C}"/>
                      </a:extLst>
                    </a:blip>
                    <a:srcRect/>
                    <a:stretch>
                      <a:fillRect/>
                    </a:stretch>
                  </pic:blipFill>
                  <pic:spPr bwMode="auto">
                    <a:xfrm>
                      <a:off x="0" y="0"/>
                      <a:ext cx="793750" cy="534670"/>
                    </a:xfrm>
                    <a:prstGeom prst="rect">
                      <a:avLst/>
                    </a:prstGeom>
                    <a:noFill/>
                  </pic:spPr>
                </pic:pic>
              </a:graphicData>
            </a:graphic>
          </wp:anchor>
        </w:drawing>
        <w:t>NRG ENERGY, INC. LONG-TERM INCENTIVE PLAN RELATIVE PERFORMANCE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713549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4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35" w:lineRule="auto"/>
        <w:rPr>
          <w:sz w:val="20"/>
          <w:szCs w:val="20"/>
          <w:color w:val="auto"/>
        </w:rPr>
      </w:pPr>
      <w:r>
        <w:rPr>
          <w:rFonts w:ascii="Verdana" w:cs="Verdana" w:eastAsia="Verdana" w:hAnsi="Verdana"/>
          <w:sz w:val="18"/>
          <w:szCs w:val="18"/>
          <w:color w:val="auto"/>
        </w:rPr>
        <w:t>This Relative Performance Stock Unit Agreement, dated as of the Date of Grant set forth in the Notice of Relative Performance Stock Units to which this Agreement is attached (the “</w:t>
      </w:r>
      <w:r>
        <w:rPr>
          <w:rFonts w:ascii="Verdana" w:cs="Verdana" w:eastAsia="Verdana" w:hAnsi="Verdana"/>
          <w:sz w:val="18"/>
          <w:szCs w:val="18"/>
          <w:u w:val="single" w:color="auto"/>
          <w:color w:val="auto"/>
        </w:rPr>
        <w:t>Grant Notice</w:t>
      </w:r>
      <w:r>
        <w:rPr>
          <w:rFonts w:ascii="Verdana" w:cs="Verdana" w:eastAsia="Verdana" w:hAnsi="Verdana"/>
          <w:sz w:val="18"/>
          <w:szCs w:val="18"/>
          <w:color w:val="auto"/>
        </w:rPr>
        <w:t>,” and together with this Relative Performance Stock Unit Agreement, the “</w:t>
      </w:r>
      <w:r>
        <w:rPr>
          <w:rFonts w:ascii="Verdana" w:cs="Verdana" w:eastAsia="Verdana" w:hAnsi="Verdana"/>
          <w:sz w:val="18"/>
          <w:szCs w:val="18"/>
          <w:u w:val="single" w:color="auto"/>
          <w:color w:val="auto"/>
        </w:rPr>
        <w:t>Agreement</w:t>
      </w:r>
      <w:r>
        <w:rPr>
          <w:rFonts w:ascii="Verdana" w:cs="Verdana" w:eastAsia="Verdana" w:hAnsi="Verdana"/>
          <w:sz w:val="18"/>
          <w:szCs w:val="18"/>
          <w:color w:val="auto"/>
        </w:rPr>
        <w:t>”), is made between NRG Energy, Inc. (the “</w:t>
      </w:r>
      <w:r>
        <w:rPr>
          <w:rFonts w:ascii="Verdana" w:cs="Verdana" w:eastAsia="Verdana" w:hAnsi="Verdana"/>
          <w:sz w:val="18"/>
          <w:szCs w:val="18"/>
          <w:u w:val="single" w:color="auto"/>
          <w:color w:val="auto"/>
        </w:rPr>
        <w:t>Company</w:t>
      </w:r>
      <w:r>
        <w:rPr>
          <w:rFonts w:ascii="Verdana" w:cs="Verdana" w:eastAsia="Verdana" w:hAnsi="Verdana"/>
          <w:sz w:val="18"/>
          <w:szCs w:val="18"/>
          <w:color w:val="auto"/>
        </w:rPr>
        <w:t>”) and the Participant, as set forth in the Grant Notice. The Grant Notice is included in, and made part of, this Agreement.</w:t>
      </w:r>
    </w:p>
    <w:p>
      <w:pPr>
        <w:spacing w:after="0" w:line="170" w:lineRule="exact"/>
        <w:rPr>
          <w:sz w:val="20"/>
          <w:szCs w:val="20"/>
          <w:color w:val="auto"/>
        </w:rPr>
      </w:pPr>
    </w:p>
    <w:p>
      <w:pPr>
        <w:ind w:left="620" w:hanging="615"/>
        <w:spacing w:after="0"/>
        <w:tabs>
          <w:tab w:leader="none" w:pos="620" w:val="left"/>
        </w:tabs>
        <w:numPr>
          <w:ilvl w:val="0"/>
          <w:numId w:val="157"/>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Performance Criteria and Award Determination</w:t>
      </w:r>
    </w:p>
    <w:p>
      <w:pPr>
        <w:spacing w:after="0" w:line="175" w:lineRule="exact"/>
        <w:rPr>
          <w:rFonts w:ascii="Verdana" w:cs="Verdana" w:eastAsia="Verdana" w:hAnsi="Verdana"/>
          <w:sz w:val="18"/>
          <w:szCs w:val="18"/>
          <w:b w:val="1"/>
          <w:bCs w:val="1"/>
          <w:color w:val="auto"/>
        </w:rPr>
      </w:pPr>
    </w:p>
    <w:p>
      <w:pPr>
        <w:ind w:left="1260" w:hanging="623"/>
        <w:spacing w:after="0"/>
        <w:tabs>
          <w:tab w:leader="none" w:pos="1260" w:val="left"/>
        </w:tabs>
        <w:numPr>
          <w:ilvl w:val="1"/>
          <w:numId w:val="157"/>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General - Award Determination</w:t>
      </w:r>
    </w:p>
    <w:p>
      <w:pPr>
        <w:spacing w:after="0" w:line="189" w:lineRule="exact"/>
        <w:rPr>
          <w:sz w:val="20"/>
          <w:szCs w:val="20"/>
          <w:color w:val="auto"/>
        </w:rPr>
      </w:pPr>
    </w:p>
    <w:p>
      <w:pPr>
        <w:jc w:val="both"/>
        <w:ind w:left="640"/>
        <w:spacing w:after="0" w:line="235" w:lineRule="auto"/>
        <w:rPr>
          <w:sz w:val="20"/>
          <w:szCs w:val="20"/>
          <w:color w:val="auto"/>
        </w:rPr>
      </w:pPr>
      <w:r>
        <w:rPr>
          <w:rFonts w:ascii="Verdana" w:cs="Verdana" w:eastAsia="Verdana" w:hAnsi="Verdana"/>
          <w:sz w:val="18"/>
          <w:szCs w:val="18"/>
          <w:color w:val="auto"/>
        </w:rPr>
        <w:t>Subject to the provisions of this Agreement and the provisions of the NRG Energy, Inc. Amended and Restated Long-Term Incentive Plan, as amended from time to time (the “</w:t>
      </w:r>
      <w:r>
        <w:rPr>
          <w:rFonts w:ascii="Verdana" w:cs="Verdana" w:eastAsia="Verdana" w:hAnsi="Verdana"/>
          <w:sz w:val="18"/>
          <w:szCs w:val="18"/>
          <w:u w:val="single" w:color="auto"/>
          <w:color w:val="auto"/>
        </w:rPr>
        <w:t>Plan</w:t>
      </w:r>
      <w:r>
        <w:rPr>
          <w:rFonts w:ascii="Verdana" w:cs="Verdana" w:eastAsia="Verdana" w:hAnsi="Verdana"/>
          <w:sz w:val="18"/>
          <w:szCs w:val="18"/>
          <w:color w:val="auto"/>
        </w:rPr>
        <w:t>”), the Company hereby grants to the Participant the number of Relative Performance Stock Units (“</w:t>
      </w:r>
      <w:r>
        <w:rPr>
          <w:rFonts w:ascii="Verdana" w:cs="Verdana" w:eastAsia="Verdana" w:hAnsi="Verdana"/>
          <w:sz w:val="18"/>
          <w:szCs w:val="18"/>
          <w:u w:val="single" w:color="auto"/>
          <w:color w:val="auto"/>
        </w:rPr>
        <w:t>RPSUs</w:t>
      </w:r>
      <w:r>
        <w:rPr>
          <w:rFonts w:ascii="Verdana" w:cs="Verdana" w:eastAsia="Verdana" w:hAnsi="Verdana"/>
          <w:sz w:val="18"/>
          <w:szCs w:val="18"/>
          <w:color w:val="auto"/>
        </w:rPr>
        <w:t>”), set forth in the Grant Notice (“</w:t>
      </w:r>
      <w:r>
        <w:rPr>
          <w:rFonts w:ascii="Verdana" w:cs="Verdana" w:eastAsia="Verdana" w:hAnsi="Verdana"/>
          <w:sz w:val="18"/>
          <w:szCs w:val="18"/>
          <w:u w:val="single" w:color="auto"/>
          <w:color w:val="auto"/>
        </w:rPr>
        <w:t>Target Award</w:t>
      </w:r>
      <w:r>
        <w:rPr>
          <w:rFonts w:ascii="Verdana" w:cs="Verdana" w:eastAsia="Verdana" w:hAnsi="Verdana"/>
          <w:sz w:val="18"/>
          <w:szCs w:val="18"/>
          <w:color w:val="auto"/>
        </w:rPr>
        <w:t>”), each of which will have a value equivalent to one (1) share of the Company’s Common Stock.</w:t>
      </w:r>
    </w:p>
    <w:p>
      <w:pPr>
        <w:spacing w:after="0" w:line="196" w:lineRule="exact"/>
        <w:rPr>
          <w:sz w:val="20"/>
          <w:szCs w:val="20"/>
          <w:color w:val="auto"/>
        </w:rPr>
      </w:pPr>
    </w:p>
    <w:p>
      <w:pPr>
        <w:jc w:val="both"/>
        <w:ind w:left="640"/>
        <w:spacing w:after="0" w:line="234" w:lineRule="auto"/>
        <w:rPr>
          <w:sz w:val="20"/>
          <w:szCs w:val="20"/>
          <w:color w:val="auto"/>
        </w:rPr>
      </w:pPr>
      <w:r>
        <w:rPr>
          <w:rFonts w:ascii="Verdana" w:cs="Verdana" w:eastAsia="Verdana" w:hAnsi="Verdana"/>
          <w:sz w:val="18"/>
          <w:szCs w:val="18"/>
          <w:color w:val="auto"/>
        </w:rPr>
        <w:t>At the end of the Performance Period, the Participant shall be entitled to receive a payment, payable in shares of the Company’s Common Stock, equal to the Target Award times a “Payout Percentage” (the “</w:t>
      </w:r>
      <w:r>
        <w:rPr>
          <w:rFonts w:ascii="Verdana" w:cs="Verdana" w:eastAsia="Verdana" w:hAnsi="Verdana"/>
          <w:sz w:val="18"/>
          <w:szCs w:val="18"/>
          <w:u w:val="single" w:color="auto"/>
          <w:color w:val="auto"/>
        </w:rPr>
        <w:t>Final Award</w:t>
      </w:r>
      <w:r>
        <w:rPr>
          <w:rFonts w:ascii="Verdana" w:cs="Verdana" w:eastAsia="Verdana" w:hAnsi="Verdana"/>
          <w:sz w:val="18"/>
          <w:szCs w:val="18"/>
          <w:color w:val="auto"/>
        </w:rPr>
        <w:t xml:space="preserve">”). The “Payout Percentage” is based on the achievement of the performance criteria set forth in </w:t>
      </w:r>
      <w:r>
        <w:rPr>
          <w:rFonts w:ascii="Verdana" w:cs="Verdana" w:eastAsia="Verdana" w:hAnsi="Verdana"/>
          <w:sz w:val="18"/>
          <w:szCs w:val="18"/>
          <w:u w:val="single" w:color="auto"/>
          <w:color w:val="auto"/>
        </w:rPr>
        <w:t>Section 1(b)</w:t>
      </w:r>
      <w:r>
        <w:rPr>
          <w:rFonts w:ascii="Verdana" w:cs="Verdana" w:eastAsia="Verdana" w:hAnsi="Verdana"/>
          <w:sz w:val="18"/>
          <w:szCs w:val="18"/>
          <w:color w:val="auto"/>
        </w:rPr>
        <w:t xml:space="preserve"> of this Agreement, as determined and certified in writing by the Compensation Committee of the Company’s Board of Directors (the “</w:t>
      </w:r>
      <w:r>
        <w:rPr>
          <w:rFonts w:ascii="Verdana" w:cs="Verdana" w:eastAsia="Verdana" w:hAnsi="Verdana"/>
          <w:sz w:val="18"/>
          <w:szCs w:val="18"/>
          <w:u w:val="single" w:color="auto"/>
          <w:color w:val="auto"/>
        </w:rPr>
        <w:t>Committee</w:t>
      </w:r>
      <w:r>
        <w:rPr>
          <w:rFonts w:ascii="Verdana" w:cs="Verdana" w:eastAsia="Verdana" w:hAnsi="Verdana"/>
          <w:sz w:val="18"/>
          <w:szCs w:val="18"/>
          <w:color w:val="auto"/>
        </w:rPr>
        <w:t>”).</w:t>
      </w:r>
    </w:p>
    <w:p>
      <w:pPr>
        <w:spacing w:after="0" w:line="170" w:lineRule="exact"/>
        <w:rPr>
          <w:sz w:val="20"/>
          <w:szCs w:val="20"/>
          <w:color w:val="auto"/>
        </w:rPr>
      </w:pPr>
    </w:p>
    <w:p>
      <w:pPr>
        <w:ind w:left="1260" w:hanging="623"/>
        <w:spacing w:after="0"/>
        <w:tabs>
          <w:tab w:leader="none" w:pos="1260" w:val="left"/>
        </w:tabs>
        <w:numPr>
          <w:ilvl w:val="0"/>
          <w:numId w:val="158"/>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Performance Criteria and Relative TSR Comparison</w:t>
      </w:r>
    </w:p>
    <w:p>
      <w:pPr>
        <w:spacing w:after="0" w:line="189" w:lineRule="exact"/>
        <w:rPr>
          <w:sz w:val="20"/>
          <w:szCs w:val="20"/>
          <w:color w:val="auto"/>
        </w:rPr>
      </w:pPr>
    </w:p>
    <w:p>
      <w:pPr>
        <w:jc w:val="both"/>
        <w:ind w:left="640"/>
        <w:spacing w:after="0" w:line="235" w:lineRule="auto"/>
        <w:rPr>
          <w:sz w:val="20"/>
          <w:szCs w:val="20"/>
          <w:color w:val="auto"/>
        </w:rPr>
      </w:pPr>
      <w:r>
        <w:rPr>
          <w:rFonts w:ascii="Verdana" w:cs="Verdana" w:eastAsia="Verdana" w:hAnsi="Verdana"/>
          <w:sz w:val="18"/>
          <w:szCs w:val="18"/>
          <w:color w:val="auto"/>
        </w:rPr>
        <w:t xml:space="preserve">Except as provided in </w:t>
      </w:r>
      <w:r>
        <w:rPr>
          <w:rFonts w:ascii="Verdana" w:cs="Verdana" w:eastAsia="Verdana" w:hAnsi="Verdana"/>
          <w:sz w:val="18"/>
          <w:szCs w:val="18"/>
          <w:u w:val="single" w:color="auto"/>
          <w:color w:val="auto"/>
        </w:rPr>
        <w:t>Section 8</w:t>
      </w:r>
      <w:r>
        <w:rPr>
          <w:rFonts w:ascii="Verdana" w:cs="Verdana" w:eastAsia="Verdana" w:hAnsi="Verdana"/>
          <w:sz w:val="18"/>
          <w:szCs w:val="18"/>
          <w:color w:val="auto"/>
        </w:rPr>
        <w:t xml:space="preserve"> of this Agreement, a “Payout Percentage” is used to determine the Final Award under this Agreement. Subject to </w:t>
      </w:r>
      <w:r>
        <w:rPr>
          <w:rFonts w:ascii="Verdana" w:cs="Verdana" w:eastAsia="Verdana" w:hAnsi="Verdana"/>
          <w:sz w:val="18"/>
          <w:szCs w:val="18"/>
          <w:u w:val="single" w:color="auto"/>
          <w:color w:val="auto"/>
        </w:rPr>
        <w:t>Section 1(c)</w:t>
      </w:r>
      <w:r>
        <w:rPr>
          <w:rFonts w:ascii="Verdana" w:cs="Verdana" w:eastAsia="Verdana" w:hAnsi="Verdana"/>
          <w:sz w:val="18"/>
          <w:szCs w:val="18"/>
          <w:color w:val="auto"/>
        </w:rPr>
        <w:t xml:space="preserve"> of this Agreement, the “</w:t>
      </w:r>
      <w:r>
        <w:rPr>
          <w:rFonts w:ascii="Verdana" w:cs="Verdana" w:eastAsia="Verdana" w:hAnsi="Verdana"/>
          <w:sz w:val="18"/>
          <w:szCs w:val="18"/>
          <w:u w:val="single" w:color="auto"/>
          <w:color w:val="auto"/>
        </w:rPr>
        <w:t>Payout Percentage</w:t>
      </w:r>
      <w:r>
        <w:rPr>
          <w:rFonts w:ascii="Verdana" w:cs="Verdana" w:eastAsia="Verdana" w:hAnsi="Verdana"/>
          <w:sz w:val="18"/>
          <w:szCs w:val="18"/>
          <w:color w:val="auto"/>
        </w:rPr>
        <w:t>” shall be based upon the Company’s total shareholder return (“</w:t>
      </w:r>
      <w:r>
        <w:rPr>
          <w:rFonts w:ascii="Verdana" w:cs="Verdana" w:eastAsia="Verdana" w:hAnsi="Verdana"/>
          <w:sz w:val="18"/>
          <w:szCs w:val="18"/>
          <w:u w:val="single" w:color="auto"/>
          <w:color w:val="auto"/>
        </w:rPr>
        <w:t>TSR</w:t>
      </w:r>
      <w:r>
        <w:rPr>
          <w:rFonts w:ascii="Verdana" w:cs="Verdana" w:eastAsia="Verdana" w:hAnsi="Verdana"/>
          <w:sz w:val="18"/>
          <w:szCs w:val="18"/>
          <w:color w:val="auto"/>
        </w:rPr>
        <w:t xml:space="preserve">”) percentile ranking, as determined pursuant to </w:t>
      </w:r>
      <w:r>
        <w:rPr>
          <w:rFonts w:ascii="Verdana" w:cs="Verdana" w:eastAsia="Verdana" w:hAnsi="Verdana"/>
          <w:sz w:val="18"/>
          <w:szCs w:val="18"/>
          <w:u w:val="single" w:color="auto"/>
          <w:color w:val="auto"/>
        </w:rPr>
        <w:t>Section 2</w:t>
      </w:r>
      <w:r>
        <w:rPr>
          <w:rFonts w:ascii="Verdana" w:cs="Verdana" w:eastAsia="Verdana" w:hAnsi="Verdana"/>
          <w:sz w:val="18"/>
          <w:szCs w:val="18"/>
          <w:color w:val="auto"/>
        </w:rPr>
        <w:t xml:space="preserve"> of this Agreement, and the Company’s TSR percentile ranking relative to “Chart A” below.</w:t>
      </w:r>
    </w:p>
    <w:p>
      <w:pPr>
        <w:spacing w:after="0" w:line="207" w:lineRule="exact"/>
        <w:rPr>
          <w:sz w:val="20"/>
          <w:szCs w:val="20"/>
          <w:color w:val="auto"/>
        </w:rPr>
      </w:pPr>
    </w:p>
    <w:tbl>
      <w:tblPr>
        <w:tblLayout w:type="fixed"/>
        <w:tblInd w:w="1270" w:type="dxa"/>
        <w:tblCellMar>
          <w:top w:w="0" w:type="dxa"/>
          <w:left w:w="0" w:type="dxa"/>
          <w:bottom w:w="0" w:type="dxa"/>
          <w:right w:w="0" w:type="dxa"/>
        </w:tblCellMar>
      </w:tblPr>
      <w:tr>
        <w:trPr>
          <w:trHeight w:val="237"/>
        </w:trPr>
        <w:tc>
          <w:tcPr>
            <w:tcW w:w="3400" w:type="dxa"/>
            <w:vAlign w:val="bottom"/>
            <w:tcBorders>
              <w:top w:val="single" w:sz="8" w:color="auto"/>
              <w:left w:val="single" w:sz="8" w:color="auto"/>
              <w:bottom w:val="single" w:sz="8" w:color="auto"/>
            </w:tcBorders>
          </w:tcPr>
          <w:p>
            <w:pPr>
              <w:spacing w:after="0"/>
              <w:rPr>
                <w:sz w:val="20"/>
                <w:szCs w:val="20"/>
                <w:color w:val="auto"/>
              </w:rPr>
            </w:pPr>
          </w:p>
        </w:tc>
        <w:tc>
          <w:tcPr>
            <w:tcW w:w="4680" w:type="dxa"/>
            <w:vAlign w:val="bottom"/>
            <w:tcBorders>
              <w:top w:val="single" w:sz="8" w:color="auto"/>
              <w:bottom w:val="single" w:sz="8" w:color="auto"/>
              <w:right w:val="single" w:sz="8" w:color="auto"/>
            </w:tcBorders>
            <w:gridSpan w:val="2"/>
          </w:tcPr>
          <w:p>
            <w:pPr>
              <w:ind w:left="280"/>
              <w:spacing w:after="0"/>
              <w:rPr>
                <w:sz w:val="20"/>
                <w:szCs w:val="20"/>
                <w:color w:val="auto"/>
              </w:rPr>
            </w:pPr>
            <w:r>
              <w:rPr>
                <w:rFonts w:ascii="Verdana" w:cs="Verdana" w:eastAsia="Verdana" w:hAnsi="Verdana"/>
                <w:sz w:val="18"/>
                <w:szCs w:val="18"/>
                <w:b w:val="1"/>
                <w:bCs w:val="1"/>
                <w:color w:val="auto"/>
              </w:rPr>
              <w:t>Chart A</w:t>
            </w:r>
          </w:p>
        </w:tc>
      </w:tr>
      <w:tr>
        <w:trPr>
          <w:trHeight w:val="191"/>
        </w:trPr>
        <w:tc>
          <w:tcPr>
            <w:tcW w:w="3400" w:type="dxa"/>
            <w:vAlign w:val="bottom"/>
            <w:tcBorders>
              <w:left w:val="single" w:sz="8" w:color="auto"/>
            </w:tcBorders>
          </w:tcPr>
          <w:p>
            <w:pPr>
              <w:ind w:left="240"/>
              <w:spacing w:after="0" w:line="191" w:lineRule="exact"/>
              <w:rPr>
                <w:sz w:val="20"/>
                <w:szCs w:val="20"/>
                <w:color w:val="auto"/>
              </w:rPr>
            </w:pPr>
            <w:r>
              <w:rPr>
                <w:rFonts w:ascii="Verdana" w:cs="Verdana" w:eastAsia="Verdana" w:hAnsi="Verdana"/>
                <w:sz w:val="18"/>
                <w:szCs w:val="18"/>
                <w:b w:val="1"/>
                <w:bCs w:val="1"/>
                <w:color w:val="auto"/>
              </w:rPr>
              <w:t>TSR Performance Relative to</w:t>
            </w:r>
          </w:p>
        </w:tc>
        <w:tc>
          <w:tcPr>
            <w:tcW w:w="54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ind w:left="220"/>
              <w:spacing w:after="0" w:line="191" w:lineRule="exact"/>
              <w:rPr>
                <w:sz w:val="20"/>
                <w:szCs w:val="20"/>
                <w:color w:val="auto"/>
              </w:rPr>
            </w:pPr>
            <w:r>
              <w:rPr>
                <w:rFonts w:ascii="Verdana" w:cs="Verdana" w:eastAsia="Verdana" w:hAnsi="Verdana"/>
                <w:sz w:val="18"/>
                <w:szCs w:val="18"/>
                <w:b w:val="1"/>
                <w:bCs w:val="1"/>
                <w:color w:val="auto"/>
              </w:rPr>
              <w:t>Payout Percentage</w:t>
            </w:r>
          </w:p>
        </w:tc>
      </w:tr>
      <w:tr>
        <w:trPr>
          <w:trHeight w:val="269"/>
        </w:trPr>
        <w:tc>
          <w:tcPr>
            <w:tcW w:w="3400" w:type="dxa"/>
            <w:vAlign w:val="bottom"/>
            <w:tcBorders>
              <w:left w:val="single" w:sz="8" w:color="auto"/>
              <w:bottom w:val="single" w:sz="8" w:color="auto"/>
            </w:tcBorders>
          </w:tcPr>
          <w:p>
            <w:pPr>
              <w:ind w:left="240"/>
              <w:spacing w:after="0"/>
              <w:rPr>
                <w:sz w:val="20"/>
                <w:szCs w:val="20"/>
                <w:color w:val="auto"/>
              </w:rPr>
            </w:pPr>
            <w:r>
              <w:rPr>
                <w:rFonts w:ascii="Verdana" w:cs="Verdana" w:eastAsia="Verdana" w:hAnsi="Verdana"/>
                <w:sz w:val="18"/>
                <w:szCs w:val="18"/>
                <w:b w:val="1"/>
                <w:bCs w:val="1"/>
                <w:color w:val="auto"/>
              </w:rPr>
              <w:t>Companies in the Peer Group</w:t>
            </w:r>
          </w:p>
        </w:tc>
        <w:tc>
          <w:tcPr>
            <w:tcW w:w="540" w:type="dxa"/>
            <w:vAlign w:val="bottom"/>
            <w:tcBorders>
              <w:bottom w:val="single" w:sz="8" w:color="auto"/>
              <w:right w:val="single" w:sz="8" w:color="auto"/>
            </w:tcBorders>
          </w:tcPr>
          <w:p>
            <w:pPr>
              <w:spacing w:after="0"/>
              <w:rPr>
                <w:sz w:val="23"/>
                <w:szCs w:val="23"/>
                <w:color w:val="auto"/>
              </w:rPr>
            </w:pPr>
          </w:p>
        </w:tc>
        <w:tc>
          <w:tcPr>
            <w:tcW w:w="4140" w:type="dxa"/>
            <w:vAlign w:val="bottom"/>
            <w:tcBorders>
              <w:bottom w:val="single" w:sz="8" w:color="auto"/>
              <w:right w:val="single" w:sz="8" w:color="auto"/>
            </w:tcBorders>
          </w:tcPr>
          <w:p>
            <w:pPr>
              <w:ind w:left="220"/>
              <w:spacing w:after="0"/>
              <w:rPr>
                <w:sz w:val="20"/>
                <w:szCs w:val="20"/>
                <w:color w:val="auto"/>
              </w:rPr>
            </w:pPr>
            <w:r>
              <w:rPr>
                <w:rFonts w:ascii="Verdana" w:cs="Verdana" w:eastAsia="Verdana" w:hAnsi="Verdana"/>
                <w:sz w:val="18"/>
                <w:szCs w:val="18"/>
                <w:b w:val="1"/>
                <w:bCs w:val="1"/>
                <w:color w:val="auto"/>
              </w:rPr>
              <w:t>(% of Target)</w:t>
            </w:r>
          </w:p>
        </w:tc>
      </w:tr>
      <w:tr>
        <w:trPr>
          <w:trHeight w:val="256"/>
        </w:trPr>
        <w:tc>
          <w:tcPr>
            <w:tcW w:w="3400" w:type="dxa"/>
            <w:vAlign w:val="bottom"/>
            <w:tcBorders>
              <w:left w:val="single" w:sz="8" w:color="auto"/>
              <w:bottom w:val="single" w:sz="8" w:color="auto"/>
            </w:tcBorders>
          </w:tcPr>
          <w:p>
            <w:pPr>
              <w:ind w:left="240"/>
              <w:spacing w:after="0"/>
              <w:rPr>
                <w:sz w:val="20"/>
                <w:szCs w:val="20"/>
                <w:color w:val="auto"/>
              </w:rPr>
            </w:pPr>
            <w:r>
              <w:rPr>
                <w:rFonts w:ascii="Verdana" w:cs="Verdana" w:eastAsia="Verdana" w:hAnsi="Verdana"/>
                <w:sz w:val="18"/>
                <w:szCs w:val="18"/>
                <w:b w:val="1"/>
                <w:bCs w:val="1"/>
                <w:color w:val="auto"/>
              </w:rPr>
              <w:t>75th Percentile or Above</w:t>
            </w:r>
          </w:p>
        </w:tc>
        <w:tc>
          <w:tcPr>
            <w:tcW w:w="540" w:type="dxa"/>
            <w:vAlign w:val="bottom"/>
            <w:tcBorders>
              <w:bottom w:val="single" w:sz="8" w:color="auto"/>
              <w:right w:val="single" w:sz="8" w:color="auto"/>
            </w:tcBorders>
          </w:tcPr>
          <w:p>
            <w:pPr>
              <w:spacing w:after="0"/>
              <w:rPr>
                <w:sz w:val="22"/>
                <w:szCs w:val="22"/>
                <w:color w:val="auto"/>
              </w:rPr>
            </w:pPr>
          </w:p>
        </w:tc>
        <w:tc>
          <w:tcPr>
            <w:tcW w:w="4140" w:type="dxa"/>
            <w:vAlign w:val="bottom"/>
            <w:tcBorders>
              <w:bottom w:val="single" w:sz="8" w:color="auto"/>
              <w:right w:val="single" w:sz="8" w:color="auto"/>
            </w:tcBorders>
          </w:tcPr>
          <w:p>
            <w:pPr>
              <w:ind w:left="220"/>
              <w:spacing w:after="0"/>
              <w:rPr>
                <w:sz w:val="20"/>
                <w:szCs w:val="20"/>
                <w:color w:val="auto"/>
              </w:rPr>
            </w:pPr>
            <w:r>
              <w:rPr>
                <w:rFonts w:ascii="Verdana" w:cs="Verdana" w:eastAsia="Verdana" w:hAnsi="Verdana"/>
                <w:sz w:val="18"/>
                <w:szCs w:val="18"/>
                <w:b w:val="1"/>
                <w:bCs w:val="1"/>
                <w:color w:val="auto"/>
              </w:rPr>
              <w:t>200%</w:t>
            </w:r>
          </w:p>
        </w:tc>
      </w:tr>
      <w:tr>
        <w:trPr>
          <w:trHeight w:val="256"/>
        </w:trPr>
        <w:tc>
          <w:tcPr>
            <w:tcW w:w="3400" w:type="dxa"/>
            <w:vAlign w:val="bottom"/>
            <w:tcBorders>
              <w:left w:val="single" w:sz="8" w:color="auto"/>
              <w:bottom w:val="single" w:sz="8" w:color="auto"/>
            </w:tcBorders>
          </w:tcPr>
          <w:p>
            <w:pPr>
              <w:ind w:left="240"/>
              <w:spacing w:after="0"/>
              <w:rPr>
                <w:sz w:val="20"/>
                <w:szCs w:val="20"/>
                <w:color w:val="auto"/>
              </w:rPr>
            </w:pPr>
            <w:r>
              <w:rPr>
                <w:rFonts w:ascii="Verdana" w:cs="Verdana" w:eastAsia="Verdana" w:hAnsi="Verdana"/>
                <w:sz w:val="18"/>
                <w:szCs w:val="18"/>
                <w:b w:val="1"/>
                <w:bCs w:val="1"/>
                <w:color w:val="auto"/>
              </w:rPr>
              <w:t>55th Percentile - TARGET</w:t>
            </w:r>
          </w:p>
        </w:tc>
        <w:tc>
          <w:tcPr>
            <w:tcW w:w="540" w:type="dxa"/>
            <w:vAlign w:val="bottom"/>
            <w:tcBorders>
              <w:bottom w:val="single" w:sz="8" w:color="auto"/>
              <w:right w:val="single" w:sz="8" w:color="auto"/>
            </w:tcBorders>
          </w:tcPr>
          <w:p>
            <w:pPr>
              <w:spacing w:after="0"/>
              <w:rPr>
                <w:sz w:val="22"/>
                <w:szCs w:val="22"/>
                <w:color w:val="auto"/>
              </w:rPr>
            </w:pPr>
          </w:p>
        </w:tc>
        <w:tc>
          <w:tcPr>
            <w:tcW w:w="4140" w:type="dxa"/>
            <w:vAlign w:val="bottom"/>
            <w:tcBorders>
              <w:bottom w:val="single" w:sz="8" w:color="auto"/>
              <w:right w:val="single" w:sz="8" w:color="auto"/>
            </w:tcBorders>
          </w:tcPr>
          <w:p>
            <w:pPr>
              <w:ind w:left="220"/>
              <w:spacing w:after="0"/>
              <w:rPr>
                <w:sz w:val="20"/>
                <w:szCs w:val="20"/>
                <w:color w:val="auto"/>
              </w:rPr>
            </w:pPr>
            <w:r>
              <w:rPr>
                <w:rFonts w:ascii="Verdana" w:cs="Verdana" w:eastAsia="Verdana" w:hAnsi="Verdana"/>
                <w:sz w:val="18"/>
                <w:szCs w:val="18"/>
                <w:b w:val="1"/>
                <w:bCs w:val="1"/>
                <w:color w:val="auto"/>
              </w:rPr>
              <w:t>100%</w:t>
            </w:r>
          </w:p>
        </w:tc>
      </w:tr>
      <w:tr>
        <w:trPr>
          <w:trHeight w:val="256"/>
        </w:trPr>
        <w:tc>
          <w:tcPr>
            <w:tcW w:w="3400" w:type="dxa"/>
            <w:vAlign w:val="bottom"/>
            <w:tcBorders>
              <w:left w:val="single" w:sz="8" w:color="auto"/>
              <w:bottom w:val="single" w:sz="8" w:color="auto"/>
            </w:tcBorders>
          </w:tcPr>
          <w:p>
            <w:pPr>
              <w:ind w:left="240"/>
              <w:spacing w:after="0"/>
              <w:rPr>
                <w:sz w:val="20"/>
                <w:szCs w:val="20"/>
                <w:color w:val="auto"/>
              </w:rPr>
            </w:pPr>
            <w:r>
              <w:rPr>
                <w:rFonts w:ascii="Verdana" w:cs="Verdana" w:eastAsia="Verdana" w:hAnsi="Verdana"/>
                <w:sz w:val="18"/>
                <w:szCs w:val="18"/>
                <w:b w:val="1"/>
                <w:bCs w:val="1"/>
                <w:color w:val="auto"/>
              </w:rPr>
              <w:t>25th Percentile</w:t>
            </w:r>
          </w:p>
        </w:tc>
        <w:tc>
          <w:tcPr>
            <w:tcW w:w="540" w:type="dxa"/>
            <w:vAlign w:val="bottom"/>
            <w:tcBorders>
              <w:bottom w:val="single" w:sz="8" w:color="auto"/>
              <w:right w:val="single" w:sz="8" w:color="auto"/>
            </w:tcBorders>
          </w:tcPr>
          <w:p>
            <w:pPr>
              <w:spacing w:after="0"/>
              <w:rPr>
                <w:sz w:val="22"/>
                <w:szCs w:val="22"/>
                <w:color w:val="auto"/>
              </w:rPr>
            </w:pPr>
          </w:p>
        </w:tc>
        <w:tc>
          <w:tcPr>
            <w:tcW w:w="4140" w:type="dxa"/>
            <w:vAlign w:val="bottom"/>
            <w:tcBorders>
              <w:bottom w:val="single" w:sz="8" w:color="auto"/>
              <w:right w:val="single" w:sz="8" w:color="auto"/>
            </w:tcBorders>
          </w:tcPr>
          <w:p>
            <w:pPr>
              <w:ind w:left="220"/>
              <w:spacing w:after="0"/>
              <w:rPr>
                <w:sz w:val="20"/>
                <w:szCs w:val="20"/>
                <w:color w:val="auto"/>
              </w:rPr>
            </w:pPr>
            <w:r>
              <w:rPr>
                <w:rFonts w:ascii="Verdana" w:cs="Verdana" w:eastAsia="Verdana" w:hAnsi="Verdana"/>
                <w:sz w:val="18"/>
                <w:szCs w:val="18"/>
                <w:b w:val="1"/>
                <w:bCs w:val="1"/>
                <w:color w:val="auto"/>
              </w:rPr>
              <w:t>25%</w:t>
            </w:r>
          </w:p>
        </w:tc>
      </w:tr>
      <w:tr>
        <w:trPr>
          <w:trHeight w:val="256"/>
        </w:trPr>
        <w:tc>
          <w:tcPr>
            <w:tcW w:w="3400" w:type="dxa"/>
            <w:vAlign w:val="bottom"/>
            <w:tcBorders>
              <w:left w:val="single" w:sz="8" w:color="auto"/>
              <w:bottom w:val="single" w:sz="8" w:color="auto"/>
            </w:tcBorders>
          </w:tcPr>
          <w:p>
            <w:pPr>
              <w:ind w:left="240"/>
              <w:spacing w:after="0"/>
              <w:rPr>
                <w:sz w:val="20"/>
                <w:szCs w:val="20"/>
                <w:color w:val="auto"/>
              </w:rPr>
            </w:pPr>
            <w:r>
              <w:rPr>
                <w:rFonts w:ascii="Verdana" w:cs="Verdana" w:eastAsia="Verdana" w:hAnsi="Verdana"/>
                <w:sz w:val="18"/>
                <w:szCs w:val="18"/>
                <w:b w:val="1"/>
                <w:bCs w:val="1"/>
                <w:color w:val="auto"/>
              </w:rPr>
              <w:t>Below the 25th Percentile</w:t>
            </w:r>
          </w:p>
        </w:tc>
        <w:tc>
          <w:tcPr>
            <w:tcW w:w="540" w:type="dxa"/>
            <w:vAlign w:val="bottom"/>
            <w:tcBorders>
              <w:bottom w:val="single" w:sz="8" w:color="auto"/>
              <w:right w:val="single" w:sz="8" w:color="auto"/>
            </w:tcBorders>
          </w:tcPr>
          <w:p>
            <w:pPr>
              <w:spacing w:after="0"/>
              <w:rPr>
                <w:sz w:val="22"/>
                <w:szCs w:val="22"/>
                <w:color w:val="auto"/>
              </w:rPr>
            </w:pPr>
          </w:p>
        </w:tc>
        <w:tc>
          <w:tcPr>
            <w:tcW w:w="4140" w:type="dxa"/>
            <w:vAlign w:val="bottom"/>
            <w:tcBorders>
              <w:bottom w:val="single" w:sz="8" w:color="auto"/>
              <w:right w:val="single" w:sz="8" w:color="auto"/>
            </w:tcBorders>
          </w:tcPr>
          <w:p>
            <w:pPr>
              <w:ind w:left="220"/>
              <w:spacing w:after="0"/>
              <w:rPr>
                <w:sz w:val="20"/>
                <w:szCs w:val="20"/>
                <w:color w:val="auto"/>
              </w:rPr>
            </w:pPr>
            <w:r>
              <w:rPr>
                <w:rFonts w:ascii="Verdana" w:cs="Verdana" w:eastAsia="Verdana" w:hAnsi="Verdana"/>
                <w:sz w:val="18"/>
                <w:szCs w:val="18"/>
                <w:b w:val="1"/>
                <w:bCs w:val="1"/>
                <w:color w:val="auto"/>
              </w:rPr>
              <w:t>0%</w:t>
            </w:r>
          </w:p>
        </w:tc>
      </w:tr>
    </w:tbl>
    <w:p>
      <w:pPr>
        <w:spacing w:after="0" w:line="297" w:lineRule="exact"/>
        <w:rPr>
          <w:sz w:val="20"/>
          <w:szCs w:val="20"/>
          <w:color w:val="auto"/>
        </w:rPr>
      </w:pPr>
    </w:p>
    <w:p>
      <w:pPr>
        <w:ind w:left="1260" w:hanging="623"/>
        <w:spacing w:after="0"/>
        <w:tabs>
          <w:tab w:leader="none" w:pos="1260" w:val="left"/>
        </w:tabs>
        <w:numPr>
          <w:ilvl w:val="0"/>
          <w:numId w:val="159"/>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Relative TSR Comparison if Absolute TSR of Company is Less Than Negative 15%</w:t>
      </w:r>
    </w:p>
    <w:p>
      <w:pPr>
        <w:spacing w:after="0" w:line="189" w:lineRule="exact"/>
        <w:rPr>
          <w:sz w:val="20"/>
          <w:szCs w:val="20"/>
          <w:color w:val="auto"/>
        </w:rPr>
      </w:pPr>
    </w:p>
    <w:p>
      <w:pPr>
        <w:ind w:left="640"/>
        <w:spacing w:after="0" w:line="241" w:lineRule="auto"/>
        <w:rPr>
          <w:sz w:val="20"/>
          <w:szCs w:val="20"/>
          <w:color w:val="auto"/>
        </w:rPr>
      </w:pPr>
      <w:r>
        <w:rPr>
          <w:rFonts w:ascii="Verdana" w:cs="Verdana" w:eastAsia="Verdana" w:hAnsi="Verdana"/>
          <w:sz w:val="18"/>
          <w:szCs w:val="18"/>
          <w:color w:val="auto"/>
        </w:rPr>
        <w:t>Notwithstanding the foregoing, if the Company’s absolute TSR for the Performance Period is less than negative fifteen percent (-15%), the Final Award will be based on “Chart B”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Verdana" w:cs="Verdana" w:eastAsia="Verdana" w:hAnsi="Verdana"/>
          <w:sz w:val="16"/>
          <w:szCs w:val="16"/>
          <w:color w:val="auto"/>
        </w:rPr>
        <w:t>2026 RPSU Agreement (SVP_EVP)</w:t>
      </w:r>
    </w:p>
    <w:p>
      <w:pPr>
        <w:sectPr>
          <w:pgSz w:w="11900" w:h="16838" w:orient="portrait"/>
          <w:cols w:equalWidth="0" w:num="1">
            <w:col w:w="11240"/>
          </w:cols>
          <w:pgMar w:left="320" w:top="391" w:right="339" w:bottom="1440" w:gutter="0" w:footer="0" w:header="0"/>
        </w:sectPr>
      </w:pPr>
    </w:p>
    <w:bookmarkStart w:id="218" w:name="page219"/>
    <w:bookmarkEnd w:id="218"/>
    <w:p>
      <w:pPr>
        <w:spacing w:after="0" w:line="200" w:lineRule="exact"/>
        <w:rPr>
          <w:sz w:val="20"/>
          <w:szCs w:val="20"/>
          <w:color w:val="auto"/>
        </w:rPr>
      </w:pPr>
    </w:p>
    <w:p>
      <w:pPr>
        <w:spacing w:after="0" w:line="243" w:lineRule="exact"/>
        <w:rPr>
          <w:sz w:val="20"/>
          <w:szCs w:val="20"/>
          <w:color w:val="auto"/>
        </w:rPr>
      </w:pPr>
    </w:p>
    <w:tbl>
      <w:tblPr>
        <w:tblLayout w:type="fixed"/>
        <w:tblInd w:w="1270" w:type="dxa"/>
        <w:tblCellMar>
          <w:top w:w="0" w:type="dxa"/>
          <w:left w:w="0" w:type="dxa"/>
          <w:bottom w:w="0" w:type="dxa"/>
          <w:right w:w="0" w:type="dxa"/>
        </w:tblCellMar>
      </w:tblPr>
      <w:tr>
        <w:trPr>
          <w:trHeight w:val="302"/>
        </w:trPr>
        <w:tc>
          <w:tcPr>
            <w:tcW w:w="3240" w:type="dxa"/>
            <w:vAlign w:val="bottom"/>
            <w:tcBorders>
              <w:top w:val="single" w:sz="8" w:color="auto"/>
              <w:left w:val="single" w:sz="8" w:color="auto"/>
              <w:bottom w:val="single" w:sz="8" w:color="auto"/>
            </w:tcBorders>
          </w:tcPr>
          <w:p>
            <w:pPr>
              <w:spacing w:after="0"/>
              <w:rPr>
                <w:sz w:val="24"/>
                <w:szCs w:val="24"/>
                <w:color w:val="auto"/>
              </w:rPr>
            </w:pPr>
          </w:p>
        </w:tc>
        <w:tc>
          <w:tcPr>
            <w:tcW w:w="4640" w:type="dxa"/>
            <w:vAlign w:val="bottom"/>
            <w:tcBorders>
              <w:top w:val="single" w:sz="8" w:color="auto"/>
              <w:bottom w:val="single" w:sz="8" w:color="auto"/>
              <w:right w:val="single" w:sz="8" w:color="auto"/>
            </w:tcBorders>
            <w:gridSpan w:val="2"/>
          </w:tcPr>
          <w:p>
            <w:pPr>
              <w:ind w:left="340"/>
              <w:spacing w:after="0"/>
              <w:rPr>
                <w:sz w:val="20"/>
                <w:szCs w:val="20"/>
                <w:color w:val="auto"/>
              </w:rPr>
            </w:pPr>
            <w:r>
              <w:rPr>
                <w:rFonts w:ascii="Verdana" w:cs="Verdana" w:eastAsia="Verdana" w:hAnsi="Verdana"/>
                <w:sz w:val="18"/>
                <w:szCs w:val="18"/>
                <w:b w:val="1"/>
                <w:bCs w:val="1"/>
                <w:color w:val="auto"/>
              </w:rPr>
              <w:t>Chart B</w:t>
            </w:r>
          </w:p>
        </w:tc>
        <w:tc>
          <w:tcPr>
            <w:tcW w:w="0" w:type="dxa"/>
            <w:vAlign w:val="bottom"/>
          </w:tcPr>
          <w:p>
            <w:pPr>
              <w:spacing w:after="0"/>
              <w:rPr>
                <w:sz w:val="1"/>
                <w:szCs w:val="1"/>
                <w:color w:val="auto"/>
              </w:rPr>
            </w:pPr>
          </w:p>
        </w:tc>
      </w:tr>
      <w:tr>
        <w:trPr>
          <w:trHeight w:val="172"/>
        </w:trPr>
        <w:tc>
          <w:tcPr>
            <w:tcW w:w="3240" w:type="dxa"/>
            <w:vAlign w:val="bottom"/>
            <w:tcBorders>
              <w:left w:val="single" w:sz="8" w:color="auto"/>
            </w:tcBorders>
          </w:tcPr>
          <w:p>
            <w:pPr>
              <w:ind w:left="60"/>
              <w:spacing w:after="0" w:line="173" w:lineRule="exact"/>
              <w:rPr>
                <w:sz w:val="20"/>
                <w:szCs w:val="20"/>
                <w:color w:val="auto"/>
              </w:rPr>
            </w:pPr>
            <w:r>
              <w:rPr>
                <w:rFonts w:ascii="Verdana" w:cs="Verdana" w:eastAsia="Verdana" w:hAnsi="Verdana"/>
                <w:sz w:val="18"/>
                <w:szCs w:val="18"/>
                <w:b w:val="1"/>
                <w:bCs w:val="1"/>
                <w:color w:val="auto"/>
              </w:rPr>
              <w:t>TSR Performance Relative to</w:t>
            </w:r>
          </w:p>
        </w:tc>
        <w:tc>
          <w:tcPr>
            <w:tcW w:w="720" w:type="dxa"/>
            <w:vAlign w:val="bottom"/>
            <w:tcBorders>
              <w:right w:val="single" w:sz="8" w:color="auto"/>
            </w:tcBorders>
          </w:tcPr>
          <w:p>
            <w:pPr>
              <w:spacing w:after="0"/>
              <w:rPr>
                <w:sz w:val="14"/>
                <w:szCs w:val="14"/>
                <w:color w:val="auto"/>
              </w:rPr>
            </w:pPr>
          </w:p>
        </w:tc>
        <w:tc>
          <w:tcPr>
            <w:tcW w:w="3920" w:type="dxa"/>
            <w:vAlign w:val="bottom"/>
            <w:tcBorders>
              <w:right w:val="single" w:sz="8" w:color="auto"/>
            </w:tcBorders>
            <w:vMerge w:val="restart"/>
          </w:tcPr>
          <w:p>
            <w:pPr>
              <w:ind w:left="40"/>
              <w:spacing w:after="0"/>
              <w:rPr>
                <w:sz w:val="20"/>
                <w:szCs w:val="20"/>
                <w:color w:val="auto"/>
              </w:rPr>
            </w:pPr>
            <w:r>
              <w:rPr>
                <w:rFonts w:ascii="Verdana" w:cs="Verdana" w:eastAsia="Verdana" w:hAnsi="Verdana"/>
                <w:sz w:val="18"/>
                <w:szCs w:val="18"/>
                <w:b w:val="1"/>
                <w:bCs w:val="1"/>
                <w:color w:val="auto"/>
              </w:rPr>
              <w:t>Payout Percentage</w:t>
            </w:r>
          </w:p>
        </w:tc>
        <w:tc>
          <w:tcPr>
            <w:tcW w:w="0" w:type="dxa"/>
            <w:vAlign w:val="bottom"/>
          </w:tcPr>
          <w:p>
            <w:pPr>
              <w:spacing w:after="0"/>
              <w:rPr>
                <w:sz w:val="1"/>
                <w:szCs w:val="1"/>
                <w:color w:val="auto"/>
              </w:rPr>
            </w:pPr>
          </w:p>
        </w:tc>
      </w:tr>
      <w:tr>
        <w:trPr>
          <w:trHeight w:val="110"/>
        </w:trPr>
        <w:tc>
          <w:tcPr>
            <w:tcW w:w="3240" w:type="dxa"/>
            <w:vAlign w:val="bottom"/>
            <w:tcBorders>
              <w:left w:val="single" w:sz="8" w:color="auto"/>
            </w:tcBorders>
            <w:vMerge w:val="restart"/>
          </w:tcPr>
          <w:p>
            <w:pPr>
              <w:ind w:left="60"/>
              <w:spacing w:after="0"/>
              <w:rPr>
                <w:sz w:val="20"/>
                <w:szCs w:val="20"/>
                <w:color w:val="auto"/>
              </w:rPr>
            </w:pPr>
            <w:r>
              <w:rPr>
                <w:rFonts w:ascii="Verdana" w:cs="Verdana" w:eastAsia="Verdana" w:hAnsi="Verdana"/>
                <w:sz w:val="18"/>
                <w:szCs w:val="18"/>
                <w:b w:val="1"/>
                <w:bCs w:val="1"/>
                <w:color w:val="auto"/>
              </w:rPr>
              <w:t>Companies in Peer Group</w:t>
            </w:r>
          </w:p>
        </w:tc>
        <w:tc>
          <w:tcPr>
            <w:tcW w:w="720" w:type="dxa"/>
            <w:vAlign w:val="bottom"/>
            <w:tcBorders>
              <w:right w:val="single" w:sz="8" w:color="auto"/>
            </w:tcBorders>
          </w:tcPr>
          <w:p>
            <w:pPr>
              <w:spacing w:after="0"/>
              <w:rPr>
                <w:sz w:val="9"/>
                <w:szCs w:val="9"/>
                <w:color w:val="auto"/>
              </w:rPr>
            </w:pPr>
          </w:p>
        </w:tc>
        <w:tc>
          <w:tcPr>
            <w:tcW w:w="3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240" w:type="dxa"/>
            <w:vAlign w:val="bottom"/>
            <w:tcBorders>
              <w:left w:val="single" w:sz="8" w:color="auto"/>
            </w:tcBorders>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3920" w:type="dxa"/>
            <w:vAlign w:val="bottom"/>
            <w:tcBorders>
              <w:right w:val="single" w:sz="8" w:color="auto"/>
            </w:tcBorders>
            <w:vMerge w:val="restart"/>
          </w:tcPr>
          <w:p>
            <w:pPr>
              <w:ind w:left="40"/>
              <w:spacing w:after="0"/>
              <w:rPr>
                <w:sz w:val="20"/>
                <w:szCs w:val="20"/>
                <w:color w:val="auto"/>
              </w:rPr>
            </w:pPr>
            <w:r>
              <w:rPr>
                <w:rFonts w:ascii="Verdana" w:cs="Verdana" w:eastAsia="Verdana" w:hAnsi="Verdana"/>
                <w:sz w:val="18"/>
                <w:szCs w:val="18"/>
                <w:b w:val="1"/>
                <w:bCs w:val="1"/>
                <w:color w:val="auto"/>
              </w:rPr>
              <w:t>(% of Target)</w:t>
            </w:r>
          </w:p>
        </w:tc>
        <w:tc>
          <w:tcPr>
            <w:tcW w:w="0" w:type="dxa"/>
            <w:vAlign w:val="bottom"/>
          </w:tcPr>
          <w:p>
            <w:pPr>
              <w:spacing w:after="0"/>
              <w:rPr>
                <w:sz w:val="1"/>
                <w:szCs w:val="1"/>
                <w:color w:val="auto"/>
              </w:rPr>
            </w:pPr>
          </w:p>
        </w:tc>
      </w:tr>
      <w:tr>
        <w:trPr>
          <w:trHeight w:val="119"/>
        </w:trPr>
        <w:tc>
          <w:tcPr>
            <w:tcW w:w="3240" w:type="dxa"/>
            <w:vAlign w:val="bottom"/>
            <w:tcBorders>
              <w:left w:val="single" w:sz="8" w:color="auto"/>
              <w:bottom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39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3240" w:type="dxa"/>
            <w:vAlign w:val="bottom"/>
            <w:tcBorders>
              <w:left w:val="single" w:sz="8" w:color="auto"/>
            </w:tcBorders>
            <w:vMerge w:val="restart"/>
          </w:tcPr>
          <w:p>
            <w:pPr>
              <w:ind w:left="60"/>
              <w:spacing w:after="0"/>
              <w:rPr>
                <w:sz w:val="20"/>
                <w:szCs w:val="20"/>
                <w:color w:val="auto"/>
              </w:rPr>
            </w:pPr>
            <w:r>
              <w:rPr>
                <w:rFonts w:ascii="Verdana" w:cs="Verdana" w:eastAsia="Verdana" w:hAnsi="Verdana"/>
                <w:sz w:val="18"/>
                <w:szCs w:val="18"/>
                <w:b w:val="1"/>
                <w:bCs w:val="1"/>
                <w:color w:val="auto"/>
              </w:rPr>
              <w:t>75th Percentile or Above</w:t>
            </w:r>
          </w:p>
        </w:tc>
        <w:tc>
          <w:tcPr>
            <w:tcW w:w="720" w:type="dxa"/>
            <w:vAlign w:val="bottom"/>
            <w:tcBorders>
              <w:right w:val="single" w:sz="8" w:color="auto"/>
            </w:tcBorders>
          </w:tcPr>
          <w:p>
            <w:pPr>
              <w:spacing w:after="0"/>
              <w:rPr>
                <w:sz w:val="19"/>
                <w:szCs w:val="19"/>
                <w:color w:val="auto"/>
              </w:rPr>
            </w:pPr>
          </w:p>
        </w:tc>
        <w:tc>
          <w:tcPr>
            <w:tcW w:w="3920" w:type="dxa"/>
            <w:vAlign w:val="bottom"/>
            <w:tcBorders>
              <w:right w:val="single" w:sz="8" w:color="auto"/>
            </w:tcBorders>
          </w:tcPr>
          <w:p>
            <w:pPr>
              <w:spacing w:after="0"/>
              <w:rPr>
                <w:sz w:val="20"/>
                <w:szCs w:val="20"/>
                <w:color w:val="auto"/>
              </w:rPr>
            </w:pPr>
            <w:r>
              <w:rPr>
                <w:rFonts w:ascii="Verdana" w:cs="Verdana" w:eastAsia="Verdana" w:hAnsi="Verdana"/>
                <w:sz w:val="18"/>
                <w:szCs w:val="18"/>
                <w:b w:val="1"/>
                <w:bCs w:val="1"/>
                <w:color w:val="auto"/>
              </w:rPr>
              <w:t>200%</w:t>
            </w:r>
          </w:p>
        </w:tc>
        <w:tc>
          <w:tcPr>
            <w:tcW w:w="0" w:type="dxa"/>
            <w:vAlign w:val="bottom"/>
          </w:tcPr>
          <w:p>
            <w:pPr>
              <w:spacing w:after="0"/>
              <w:rPr>
                <w:sz w:val="1"/>
                <w:szCs w:val="1"/>
                <w:color w:val="auto"/>
              </w:rPr>
            </w:pPr>
          </w:p>
        </w:tc>
      </w:tr>
      <w:tr>
        <w:trPr>
          <w:trHeight w:val="61"/>
        </w:trPr>
        <w:tc>
          <w:tcPr>
            <w:tcW w:w="3240" w:type="dxa"/>
            <w:vAlign w:val="bottom"/>
            <w:tcBorders>
              <w:left w:val="single" w:sz="8" w:color="auto"/>
              <w:bottom w:val="single" w:sz="8" w:color="auto"/>
            </w:tcBorders>
            <w:vMerge w:val="continue"/>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3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3240" w:type="dxa"/>
            <w:vAlign w:val="bottom"/>
            <w:tcBorders>
              <w:left w:val="single" w:sz="8" w:color="auto"/>
            </w:tcBorders>
            <w:vMerge w:val="restart"/>
          </w:tcPr>
          <w:p>
            <w:pPr>
              <w:ind w:left="60"/>
              <w:spacing w:after="0"/>
              <w:rPr>
                <w:sz w:val="20"/>
                <w:szCs w:val="20"/>
                <w:color w:val="auto"/>
              </w:rPr>
            </w:pPr>
            <w:r>
              <w:rPr>
                <w:rFonts w:ascii="Verdana" w:cs="Verdana" w:eastAsia="Verdana" w:hAnsi="Verdana"/>
                <w:sz w:val="18"/>
                <w:szCs w:val="18"/>
                <w:b w:val="1"/>
                <w:bCs w:val="1"/>
                <w:color w:val="auto"/>
              </w:rPr>
              <w:t>65th Percentile - TARGET</w:t>
            </w:r>
          </w:p>
        </w:tc>
        <w:tc>
          <w:tcPr>
            <w:tcW w:w="720" w:type="dxa"/>
            <w:vAlign w:val="bottom"/>
            <w:tcBorders>
              <w:right w:val="single" w:sz="8" w:color="auto"/>
            </w:tcBorders>
          </w:tcPr>
          <w:p>
            <w:pPr>
              <w:spacing w:after="0"/>
              <w:rPr>
                <w:sz w:val="19"/>
                <w:szCs w:val="19"/>
                <w:color w:val="auto"/>
              </w:rPr>
            </w:pPr>
          </w:p>
        </w:tc>
        <w:tc>
          <w:tcPr>
            <w:tcW w:w="3920" w:type="dxa"/>
            <w:vAlign w:val="bottom"/>
            <w:tcBorders>
              <w:right w:val="single" w:sz="8" w:color="auto"/>
            </w:tcBorders>
          </w:tcPr>
          <w:p>
            <w:pPr>
              <w:spacing w:after="0"/>
              <w:rPr>
                <w:sz w:val="20"/>
                <w:szCs w:val="20"/>
                <w:color w:val="auto"/>
              </w:rPr>
            </w:pPr>
            <w:r>
              <w:rPr>
                <w:rFonts w:ascii="Verdana" w:cs="Verdana" w:eastAsia="Verdana" w:hAnsi="Verdana"/>
                <w:sz w:val="18"/>
                <w:szCs w:val="18"/>
                <w:b w:val="1"/>
                <w:bCs w:val="1"/>
                <w:color w:val="auto"/>
              </w:rPr>
              <w:t>100%</w:t>
            </w:r>
          </w:p>
        </w:tc>
        <w:tc>
          <w:tcPr>
            <w:tcW w:w="0" w:type="dxa"/>
            <w:vAlign w:val="bottom"/>
          </w:tcPr>
          <w:p>
            <w:pPr>
              <w:spacing w:after="0"/>
              <w:rPr>
                <w:sz w:val="1"/>
                <w:szCs w:val="1"/>
                <w:color w:val="auto"/>
              </w:rPr>
            </w:pPr>
          </w:p>
        </w:tc>
      </w:tr>
      <w:tr>
        <w:trPr>
          <w:trHeight w:val="61"/>
        </w:trPr>
        <w:tc>
          <w:tcPr>
            <w:tcW w:w="3240" w:type="dxa"/>
            <w:vAlign w:val="bottom"/>
            <w:tcBorders>
              <w:left w:val="single" w:sz="8" w:color="auto"/>
              <w:bottom w:val="single" w:sz="8" w:color="auto"/>
            </w:tcBorders>
            <w:vMerge w:val="continue"/>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3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3240" w:type="dxa"/>
            <w:vAlign w:val="bottom"/>
            <w:tcBorders>
              <w:left w:val="single" w:sz="8" w:color="auto"/>
            </w:tcBorders>
            <w:vMerge w:val="restart"/>
          </w:tcPr>
          <w:p>
            <w:pPr>
              <w:ind w:left="60"/>
              <w:spacing w:after="0"/>
              <w:rPr>
                <w:sz w:val="20"/>
                <w:szCs w:val="20"/>
                <w:color w:val="auto"/>
              </w:rPr>
            </w:pPr>
            <w:r>
              <w:rPr>
                <w:rFonts w:ascii="Verdana" w:cs="Verdana" w:eastAsia="Verdana" w:hAnsi="Verdana"/>
                <w:sz w:val="18"/>
                <w:szCs w:val="18"/>
                <w:b w:val="1"/>
                <w:bCs w:val="1"/>
                <w:color w:val="auto"/>
              </w:rPr>
              <w:t>25th Percentile</w:t>
            </w:r>
          </w:p>
        </w:tc>
        <w:tc>
          <w:tcPr>
            <w:tcW w:w="720" w:type="dxa"/>
            <w:vAlign w:val="bottom"/>
            <w:tcBorders>
              <w:right w:val="single" w:sz="8" w:color="auto"/>
            </w:tcBorders>
          </w:tcPr>
          <w:p>
            <w:pPr>
              <w:spacing w:after="0"/>
              <w:rPr>
                <w:sz w:val="19"/>
                <w:szCs w:val="19"/>
                <w:color w:val="auto"/>
              </w:rPr>
            </w:pPr>
          </w:p>
        </w:tc>
        <w:tc>
          <w:tcPr>
            <w:tcW w:w="3920" w:type="dxa"/>
            <w:vAlign w:val="bottom"/>
            <w:tcBorders>
              <w:right w:val="single" w:sz="8" w:color="auto"/>
            </w:tcBorders>
          </w:tcPr>
          <w:p>
            <w:pPr>
              <w:spacing w:after="0"/>
              <w:rPr>
                <w:sz w:val="20"/>
                <w:szCs w:val="20"/>
                <w:color w:val="auto"/>
              </w:rPr>
            </w:pPr>
            <w:r>
              <w:rPr>
                <w:rFonts w:ascii="Verdana" w:cs="Verdana" w:eastAsia="Verdana" w:hAnsi="Verdana"/>
                <w:sz w:val="18"/>
                <w:szCs w:val="18"/>
                <w:b w:val="1"/>
                <w:bCs w:val="1"/>
                <w:color w:val="auto"/>
              </w:rPr>
              <w:t>25%</w:t>
            </w:r>
          </w:p>
        </w:tc>
        <w:tc>
          <w:tcPr>
            <w:tcW w:w="0" w:type="dxa"/>
            <w:vAlign w:val="bottom"/>
          </w:tcPr>
          <w:p>
            <w:pPr>
              <w:spacing w:after="0"/>
              <w:rPr>
                <w:sz w:val="1"/>
                <w:szCs w:val="1"/>
                <w:color w:val="auto"/>
              </w:rPr>
            </w:pPr>
          </w:p>
        </w:tc>
      </w:tr>
      <w:tr>
        <w:trPr>
          <w:trHeight w:val="61"/>
        </w:trPr>
        <w:tc>
          <w:tcPr>
            <w:tcW w:w="3240" w:type="dxa"/>
            <w:vAlign w:val="bottom"/>
            <w:tcBorders>
              <w:left w:val="single" w:sz="8" w:color="auto"/>
              <w:bottom w:val="single" w:sz="8" w:color="auto"/>
            </w:tcBorders>
            <w:vMerge w:val="continue"/>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3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3240" w:type="dxa"/>
            <w:vAlign w:val="bottom"/>
            <w:tcBorders>
              <w:left w:val="single" w:sz="8" w:color="auto"/>
            </w:tcBorders>
            <w:vMerge w:val="restart"/>
          </w:tcPr>
          <w:p>
            <w:pPr>
              <w:ind w:left="60"/>
              <w:spacing w:after="0"/>
              <w:rPr>
                <w:sz w:val="20"/>
                <w:szCs w:val="20"/>
                <w:color w:val="auto"/>
              </w:rPr>
            </w:pPr>
            <w:r>
              <w:rPr>
                <w:rFonts w:ascii="Verdana" w:cs="Verdana" w:eastAsia="Verdana" w:hAnsi="Verdana"/>
                <w:sz w:val="18"/>
                <w:szCs w:val="18"/>
                <w:b w:val="1"/>
                <w:bCs w:val="1"/>
                <w:color w:val="auto"/>
              </w:rPr>
              <w:t>Below the 25th Percentile</w:t>
            </w:r>
          </w:p>
        </w:tc>
        <w:tc>
          <w:tcPr>
            <w:tcW w:w="720" w:type="dxa"/>
            <w:vAlign w:val="bottom"/>
            <w:tcBorders>
              <w:right w:val="single" w:sz="8" w:color="auto"/>
            </w:tcBorders>
          </w:tcPr>
          <w:p>
            <w:pPr>
              <w:spacing w:after="0"/>
              <w:rPr>
                <w:sz w:val="19"/>
                <w:szCs w:val="19"/>
                <w:color w:val="auto"/>
              </w:rPr>
            </w:pPr>
          </w:p>
        </w:tc>
        <w:tc>
          <w:tcPr>
            <w:tcW w:w="3920" w:type="dxa"/>
            <w:vAlign w:val="bottom"/>
            <w:tcBorders>
              <w:right w:val="single" w:sz="8" w:color="auto"/>
            </w:tcBorders>
          </w:tcPr>
          <w:p>
            <w:pPr>
              <w:spacing w:after="0"/>
              <w:rPr>
                <w:sz w:val="20"/>
                <w:szCs w:val="20"/>
                <w:color w:val="auto"/>
              </w:rPr>
            </w:pPr>
            <w:r>
              <w:rPr>
                <w:rFonts w:ascii="Verdana" w:cs="Verdana" w:eastAsia="Verdana" w:hAnsi="Verdana"/>
                <w:sz w:val="18"/>
                <w:szCs w:val="18"/>
                <w:b w:val="1"/>
                <w:bCs w:val="1"/>
                <w:color w:val="auto"/>
              </w:rPr>
              <w:t>0%</w:t>
            </w:r>
          </w:p>
        </w:tc>
        <w:tc>
          <w:tcPr>
            <w:tcW w:w="0" w:type="dxa"/>
            <w:vAlign w:val="bottom"/>
          </w:tcPr>
          <w:p>
            <w:pPr>
              <w:spacing w:after="0"/>
              <w:rPr>
                <w:sz w:val="1"/>
                <w:szCs w:val="1"/>
                <w:color w:val="auto"/>
              </w:rPr>
            </w:pPr>
          </w:p>
        </w:tc>
      </w:tr>
      <w:tr>
        <w:trPr>
          <w:trHeight w:val="61"/>
        </w:trPr>
        <w:tc>
          <w:tcPr>
            <w:tcW w:w="3240" w:type="dxa"/>
            <w:vAlign w:val="bottom"/>
            <w:tcBorders>
              <w:left w:val="single" w:sz="8" w:color="auto"/>
              <w:bottom w:val="single" w:sz="8" w:color="auto"/>
            </w:tcBorders>
            <w:vMerge w:val="continue"/>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3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620" w:hanging="615"/>
        <w:spacing w:after="0"/>
        <w:tabs>
          <w:tab w:leader="none" w:pos="620" w:val="left"/>
        </w:tabs>
        <w:numPr>
          <w:ilvl w:val="0"/>
          <w:numId w:val="160"/>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Measuring Performance and Relative TSR Ranking</w:t>
      </w:r>
    </w:p>
    <w:p>
      <w:pPr>
        <w:spacing w:after="0" w:line="162" w:lineRule="exact"/>
        <w:rPr>
          <w:rFonts w:ascii="Verdana" w:cs="Verdana" w:eastAsia="Verdana" w:hAnsi="Verdana"/>
          <w:sz w:val="18"/>
          <w:szCs w:val="18"/>
          <w:b w:val="1"/>
          <w:bCs w:val="1"/>
          <w:color w:val="auto"/>
        </w:rPr>
      </w:pPr>
    </w:p>
    <w:p>
      <w:pPr>
        <w:ind w:left="1260" w:hanging="623"/>
        <w:spacing w:after="0"/>
        <w:tabs>
          <w:tab w:leader="none" w:pos="1260" w:val="left"/>
        </w:tabs>
        <w:numPr>
          <w:ilvl w:val="1"/>
          <w:numId w:val="160"/>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Performance Measure and RPSUs</w:t>
      </w:r>
    </w:p>
    <w:p>
      <w:pPr>
        <w:spacing w:after="0" w:line="202" w:lineRule="exact"/>
        <w:rPr>
          <w:sz w:val="20"/>
          <w:szCs w:val="20"/>
          <w:color w:val="auto"/>
        </w:rPr>
      </w:pPr>
    </w:p>
    <w:p>
      <w:pPr>
        <w:jc w:val="both"/>
        <w:ind w:left="640"/>
        <w:spacing w:after="0" w:line="259" w:lineRule="auto"/>
        <w:rPr>
          <w:sz w:val="20"/>
          <w:szCs w:val="20"/>
          <w:color w:val="auto"/>
        </w:rPr>
      </w:pPr>
      <w:r>
        <w:rPr>
          <w:rFonts w:ascii="Verdana" w:cs="Verdana" w:eastAsia="Verdana" w:hAnsi="Verdana"/>
          <w:sz w:val="16"/>
          <w:szCs w:val="16"/>
          <w:color w:val="auto"/>
        </w:rPr>
        <w:t xml:space="preserve">For purposes of determining the Final Award, as soon as practicable after the completion of the Performance Period, (i) the TSRs of the Company and the companies set forth on </w:t>
      </w:r>
      <w:r>
        <w:rPr>
          <w:rFonts w:ascii="Verdana" w:cs="Verdana" w:eastAsia="Verdana" w:hAnsi="Verdana"/>
          <w:sz w:val="16"/>
          <w:szCs w:val="16"/>
          <w:u w:val="single" w:color="auto"/>
          <w:color w:val="auto"/>
        </w:rPr>
        <w:t>Exhibit A</w:t>
      </w:r>
      <w:r>
        <w:rPr>
          <w:rFonts w:ascii="Verdana" w:cs="Verdana" w:eastAsia="Verdana" w:hAnsi="Verdana"/>
          <w:sz w:val="16"/>
          <w:szCs w:val="16"/>
          <w:color w:val="auto"/>
        </w:rPr>
        <w:t>, which comprise the peer group for purposes of this Agreement (each company is referred to as a “</w:t>
      </w:r>
      <w:r>
        <w:rPr>
          <w:rFonts w:ascii="Verdana" w:cs="Verdana" w:eastAsia="Verdana" w:hAnsi="Verdana"/>
          <w:sz w:val="16"/>
          <w:szCs w:val="16"/>
          <w:u w:val="single" w:color="auto"/>
          <w:color w:val="auto"/>
        </w:rPr>
        <w:t>Peer Group Member</w:t>
      </w:r>
      <w:r>
        <w:rPr>
          <w:rFonts w:ascii="Verdana" w:cs="Verdana" w:eastAsia="Verdana" w:hAnsi="Verdana"/>
          <w:sz w:val="16"/>
          <w:szCs w:val="16"/>
          <w:color w:val="auto"/>
        </w:rPr>
        <w:t xml:space="preserve">”), shall be calculated pursuant to </w:t>
      </w:r>
      <w:r>
        <w:rPr>
          <w:rFonts w:ascii="Verdana" w:cs="Verdana" w:eastAsia="Verdana" w:hAnsi="Verdana"/>
          <w:sz w:val="16"/>
          <w:szCs w:val="16"/>
          <w:u w:val="single" w:color="auto"/>
          <w:color w:val="auto"/>
        </w:rPr>
        <w:t>Section 2(d)</w:t>
      </w:r>
      <w:r>
        <w:rPr>
          <w:rFonts w:ascii="Verdana" w:cs="Verdana" w:eastAsia="Verdana" w:hAnsi="Verdana"/>
          <w:sz w:val="16"/>
          <w:szCs w:val="16"/>
          <w:color w:val="auto"/>
        </w:rPr>
        <w:t xml:space="preserve"> and</w:t>
      </w:r>
    </w:p>
    <w:p>
      <w:pPr>
        <w:spacing w:after="0" w:line="2" w:lineRule="exact"/>
        <w:rPr>
          <w:sz w:val="20"/>
          <w:szCs w:val="20"/>
          <w:color w:val="auto"/>
        </w:rPr>
      </w:pPr>
    </w:p>
    <w:p>
      <w:pPr>
        <w:jc w:val="both"/>
        <w:ind w:left="640" w:hanging="3"/>
        <w:spacing w:after="0" w:line="237" w:lineRule="auto"/>
        <w:tabs>
          <w:tab w:leader="none" w:pos="960" w:val="left"/>
        </w:tabs>
        <w:numPr>
          <w:ilvl w:val="0"/>
          <w:numId w:val="161"/>
        </w:numPr>
        <w:rPr>
          <w:rFonts w:ascii="Verdana" w:cs="Verdana" w:eastAsia="Verdana" w:hAnsi="Verdana"/>
          <w:sz w:val="18"/>
          <w:szCs w:val="18"/>
          <w:color w:val="auto"/>
        </w:rPr>
      </w:pPr>
      <w:r>
        <w:rPr>
          <w:rFonts w:ascii="Verdana" w:cs="Verdana" w:eastAsia="Verdana" w:hAnsi="Verdana"/>
          <w:sz w:val="18"/>
          <w:szCs w:val="18"/>
          <w:color w:val="auto"/>
        </w:rPr>
        <w:t xml:space="preserve">the relative ranking of the Company’s TSR for the Performance Period, as compared to the TSR for each Peer Group Member for the Performance Period, shall be determined and expressed as a percentile ranking as described in </w:t>
      </w:r>
      <w:r>
        <w:rPr>
          <w:rFonts w:ascii="Verdana" w:cs="Verdana" w:eastAsia="Verdana" w:hAnsi="Verdana"/>
          <w:sz w:val="18"/>
          <w:szCs w:val="18"/>
          <w:u w:val="single" w:color="auto"/>
          <w:color w:val="auto"/>
        </w:rPr>
        <w:t>Section</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auto"/>
        </w:rPr>
        <w:t>2(b)</w:t>
      </w:r>
      <w:r>
        <w:rPr>
          <w:rFonts w:ascii="Verdana" w:cs="Verdana" w:eastAsia="Verdana" w:hAnsi="Verdana"/>
          <w:sz w:val="18"/>
          <w:szCs w:val="18"/>
          <w:color w:val="auto"/>
        </w:rPr>
        <w:t>.</w:t>
      </w:r>
    </w:p>
    <w:p>
      <w:pPr>
        <w:spacing w:after="0" w:line="168" w:lineRule="exact"/>
        <w:rPr>
          <w:sz w:val="20"/>
          <w:szCs w:val="20"/>
          <w:color w:val="auto"/>
        </w:rPr>
      </w:pPr>
    </w:p>
    <w:p>
      <w:pPr>
        <w:ind w:left="1260" w:hanging="623"/>
        <w:spacing w:after="0"/>
        <w:tabs>
          <w:tab w:leader="none" w:pos="1260" w:val="left"/>
        </w:tabs>
        <w:numPr>
          <w:ilvl w:val="0"/>
          <w:numId w:val="162"/>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Total Shareholder Percentile Ranking</w:t>
      </w:r>
    </w:p>
    <w:p>
      <w:pPr>
        <w:spacing w:after="0" w:line="189" w:lineRule="exact"/>
        <w:rPr>
          <w:sz w:val="20"/>
          <w:szCs w:val="20"/>
          <w:color w:val="auto"/>
        </w:rPr>
      </w:pPr>
    </w:p>
    <w:p>
      <w:pPr>
        <w:jc w:val="both"/>
        <w:ind w:left="640"/>
        <w:spacing w:after="0" w:line="237" w:lineRule="auto"/>
        <w:rPr>
          <w:sz w:val="20"/>
          <w:szCs w:val="20"/>
          <w:color w:val="auto"/>
        </w:rPr>
      </w:pPr>
      <w:r>
        <w:rPr>
          <w:rFonts w:ascii="Verdana" w:cs="Verdana" w:eastAsia="Verdana" w:hAnsi="Verdana"/>
          <w:sz w:val="18"/>
          <w:szCs w:val="18"/>
          <w:color w:val="auto"/>
        </w:rPr>
        <w:t>The Company’s TSR percentile ranking is based on the TSR to the Company’s stockholders during the Performance Period, inclusive of dividends paid, relative to the TSR during the Performance Period, inclusive of dividends paid, achieved by each of the Peer Group Members.</w:t>
      </w:r>
    </w:p>
    <w:p>
      <w:pPr>
        <w:spacing w:after="0" w:line="194" w:lineRule="exact"/>
        <w:rPr>
          <w:sz w:val="20"/>
          <w:szCs w:val="20"/>
          <w:color w:val="auto"/>
        </w:rPr>
      </w:pPr>
    </w:p>
    <w:p>
      <w:pPr>
        <w:jc w:val="both"/>
        <w:ind w:left="640"/>
        <w:spacing w:after="0" w:line="235" w:lineRule="auto"/>
        <w:rPr>
          <w:sz w:val="20"/>
          <w:szCs w:val="20"/>
          <w:color w:val="auto"/>
        </w:rPr>
      </w:pPr>
      <w:r>
        <w:rPr>
          <w:rFonts w:ascii="Verdana" w:cs="Verdana" w:eastAsia="Verdana" w:hAnsi="Verdana"/>
          <w:sz w:val="18"/>
          <w:szCs w:val="18"/>
          <w:color w:val="auto"/>
        </w:rPr>
        <w:t>The Company’s TSR percentile ranking shall be determined as follows: the TSR percentile ranking shall be determined by ranking the Company and each of the Peer Group Members from highest to lowest according to their respective TSRs. After this ranking, the percentile performance of the Company relative to the Peer Group Members will be determined as follows:</w:t>
      </w:r>
    </w:p>
    <w:p>
      <w:pPr>
        <w:spacing w:after="0" w:line="188" w:lineRule="exact"/>
        <w:rPr>
          <w:sz w:val="20"/>
          <w:szCs w:val="20"/>
          <w:color w:val="auto"/>
        </w:rPr>
      </w:pPr>
    </w:p>
    <w:p>
      <w:pPr>
        <w:jc w:val="right"/>
        <w:ind w:right="7800"/>
        <w:spacing w:after="0"/>
        <w:rPr>
          <w:sz w:val="20"/>
          <w:szCs w:val="20"/>
          <w:color w:val="auto"/>
        </w:rPr>
      </w:pPr>
      <w:r>
        <w:rPr>
          <w:rFonts w:ascii="Verdana" w:cs="Verdana" w:eastAsia="Verdana" w:hAnsi="Verdana"/>
          <w:sz w:val="18"/>
          <w:szCs w:val="18"/>
          <w:color w:val="auto"/>
        </w:rPr>
        <w:t xml:space="preserve">P=1 – </w:t>
      </w:r>
      <w:r>
        <w:rPr>
          <w:rFonts w:ascii="Verdana" w:cs="Verdana" w:eastAsia="Verdana" w:hAnsi="Verdana"/>
          <w:sz w:val="18"/>
          <w:szCs w:val="18"/>
          <w:u w:val="single" w:color="auto"/>
          <w:color w:val="auto"/>
        </w:rPr>
        <w:t>R-1</w:t>
      </w:r>
    </w:p>
    <w:p>
      <w:pPr>
        <w:jc w:val="right"/>
        <w:ind w:right="7840"/>
        <w:spacing w:after="0" w:line="230" w:lineRule="auto"/>
        <w:rPr>
          <w:sz w:val="20"/>
          <w:szCs w:val="20"/>
          <w:color w:val="auto"/>
        </w:rPr>
      </w:pPr>
      <w:r>
        <w:rPr>
          <w:rFonts w:ascii="Verdana" w:cs="Verdana" w:eastAsia="Verdana" w:hAnsi="Verdana"/>
          <w:sz w:val="18"/>
          <w:szCs w:val="18"/>
          <w:color w:val="auto"/>
        </w:rPr>
        <w:t>N-1</w:t>
      </w:r>
    </w:p>
    <w:p>
      <w:pPr>
        <w:spacing w:after="0" w:line="1" w:lineRule="exact"/>
        <w:rPr>
          <w:sz w:val="20"/>
          <w:szCs w:val="20"/>
          <w:color w:val="auto"/>
        </w:rPr>
      </w:pPr>
    </w:p>
    <w:p>
      <w:pPr>
        <w:ind w:left="640"/>
        <w:spacing w:after="0"/>
        <w:tabs>
          <w:tab w:leader="none" w:pos="1480" w:val="left"/>
        </w:tabs>
        <w:rPr>
          <w:sz w:val="20"/>
          <w:szCs w:val="20"/>
          <w:color w:val="auto"/>
        </w:rPr>
      </w:pPr>
      <w:r>
        <w:rPr>
          <w:rFonts w:ascii="Verdana" w:cs="Verdana" w:eastAsia="Verdana" w:hAnsi="Verdana"/>
          <w:sz w:val="18"/>
          <w:szCs w:val="18"/>
          <w:color w:val="auto"/>
        </w:rPr>
        <w:t>where:</w:t>
        <w:tab/>
        <w:t>“P” represents the percentile performance</w:t>
      </w:r>
    </w:p>
    <w:p>
      <w:pPr>
        <w:spacing w:after="0" w:line="202" w:lineRule="exact"/>
        <w:rPr>
          <w:sz w:val="20"/>
          <w:szCs w:val="20"/>
          <w:color w:val="auto"/>
        </w:rPr>
      </w:pPr>
    </w:p>
    <w:p>
      <w:pPr>
        <w:ind w:left="880"/>
        <w:spacing w:after="0"/>
        <w:rPr>
          <w:sz w:val="20"/>
          <w:szCs w:val="20"/>
          <w:color w:val="auto"/>
        </w:rPr>
      </w:pPr>
      <w:r>
        <w:rPr>
          <w:rFonts w:ascii="Verdana" w:cs="Verdana" w:eastAsia="Verdana" w:hAnsi="Verdana"/>
          <w:sz w:val="18"/>
          <w:szCs w:val="18"/>
          <w:color w:val="auto"/>
        </w:rPr>
        <w:t>“N” represents the number of Peer Group Members, including the Company, as of the vesting date.</w:t>
      </w:r>
    </w:p>
    <w:p>
      <w:pPr>
        <w:spacing w:after="0" w:line="202" w:lineRule="exact"/>
        <w:rPr>
          <w:sz w:val="20"/>
          <w:szCs w:val="20"/>
          <w:color w:val="auto"/>
        </w:rPr>
      </w:pPr>
    </w:p>
    <w:p>
      <w:pPr>
        <w:ind w:left="880"/>
        <w:spacing w:after="0"/>
        <w:rPr>
          <w:sz w:val="20"/>
          <w:szCs w:val="20"/>
          <w:color w:val="auto"/>
        </w:rPr>
      </w:pPr>
      <w:r>
        <w:rPr>
          <w:rFonts w:ascii="Verdana" w:cs="Verdana" w:eastAsia="Verdana" w:hAnsi="Verdana"/>
          <w:sz w:val="18"/>
          <w:szCs w:val="18"/>
          <w:color w:val="auto"/>
        </w:rPr>
        <w:t>“R” represents the Company’s ranking among the Peer Group Members.</w:t>
      </w:r>
    </w:p>
    <w:p>
      <w:pPr>
        <w:spacing w:after="0" w:line="176" w:lineRule="exact"/>
        <w:rPr>
          <w:sz w:val="20"/>
          <w:szCs w:val="20"/>
          <w:color w:val="auto"/>
        </w:rPr>
      </w:pPr>
    </w:p>
    <w:p>
      <w:pPr>
        <w:jc w:val="both"/>
        <w:ind w:left="1900" w:hanging="632"/>
        <w:spacing w:after="0" w:line="206" w:lineRule="auto"/>
        <w:tabs>
          <w:tab w:leader="none" w:pos="1891" w:val="left"/>
        </w:tabs>
        <w:numPr>
          <w:ilvl w:val="0"/>
          <w:numId w:val="163"/>
        </w:numPr>
        <w:rPr>
          <w:rFonts w:ascii="Verdana" w:cs="Verdana" w:eastAsia="Verdana" w:hAnsi="Verdana"/>
          <w:sz w:val="18"/>
          <w:szCs w:val="18"/>
          <w:b w:val="1"/>
          <w:bCs w:val="1"/>
          <w:color w:val="010000"/>
        </w:rPr>
      </w:pPr>
      <w:r>
        <w:rPr>
          <w:rFonts w:ascii="Verdana" w:cs="Verdana" w:eastAsia="Verdana" w:hAnsi="Verdana"/>
          <w:sz w:val="18"/>
          <w:szCs w:val="18"/>
          <w:color w:val="auto"/>
        </w:rPr>
        <w:t>In the event a bankruptcy proceeding is commenced during the Performance Period with respect to any Peer Group Member, or if at any time during the Performance Period a Peer Group Member is liquidated or delisted, such company shall be treated as having a TSR of negative one hundred percent (-100%) for the Performance Period for purposes of TSR percentile ranking.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2960" w:val="left"/>
        </w:tabs>
        <w:rPr>
          <w:sz w:val="20"/>
          <w:szCs w:val="20"/>
          <w:color w:val="auto"/>
        </w:rPr>
      </w:pPr>
      <w:r>
        <w:rPr>
          <w:rFonts w:ascii="Verdana" w:cs="Verdana" w:eastAsia="Verdana" w:hAnsi="Verdana"/>
          <w:sz w:val="16"/>
          <w:szCs w:val="16"/>
          <w:color w:val="auto"/>
        </w:rPr>
        <w:t>2026 RPSU Agreement (SVP_EVP)</w:t>
      </w:r>
      <w:r>
        <w:rPr>
          <w:sz w:val="20"/>
          <w:szCs w:val="20"/>
          <w:color w:val="auto"/>
        </w:rPr>
        <w:tab/>
      </w:r>
      <w:r>
        <w:rPr>
          <w:rFonts w:ascii="Verdana" w:cs="Verdana" w:eastAsia="Verdana" w:hAnsi="Verdana"/>
          <w:sz w:val="15"/>
          <w:szCs w:val="15"/>
          <w:color w:val="auto"/>
        </w:rPr>
        <w:t>4</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200" w:lineRule="exact"/>
        <w:rPr>
          <w:sz w:val="20"/>
          <w:szCs w:val="20"/>
          <w:color w:val="auto"/>
        </w:rPr>
      </w:pPr>
    </w:p>
    <w:p>
      <w:pPr>
        <w:spacing w:after="0" w:line="206" w:lineRule="exact"/>
        <w:rPr>
          <w:sz w:val="20"/>
          <w:szCs w:val="20"/>
          <w:color w:val="auto"/>
        </w:rPr>
      </w:pPr>
    </w:p>
    <w:p>
      <w:pPr>
        <w:jc w:val="both"/>
        <w:ind w:left="1900" w:hanging="632"/>
        <w:spacing w:after="0" w:line="200" w:lineRule="auto"/>
        <w:tabs>
          <w:tab w:leader="none" w:pos="1899" w:val="left"/>
        </w:tabs>
        <w:numPr>
          <w:ilvl w:val="1"/>
          <w:numId w:val="164"/>
        </w:numPr>
        <w:rPr>
          <w:rFonts w:ascii="Verdana" w:cs="Verdana" w:eastAsia="Verdana" w:hAnsi="Verdana"/>
          <w:sz w:val="18"/>
          <w:szCs w:val="18"/>
          <w:b w:val="1"/>
          <w:bCs w:val="1"/>
          <w:color w:val="010000"/>
        </w:rPr>
      </w:pPr>
      <w:r>
        <w:rPr>
          <w:rFonts w:ascii="Verdana" w:cs="Verdana" w:eastAsia="Verdana" w:hAnsi="Verdana"/>
          <w:sz w:val="18"/>
          <w:szCs w:val="18"/>
          <w:color w:val="auto"/>
        </w:rPr>
        <w:t>In the event that a merger, acquisition or business combination of a Peer Group Member by or with another Peer Group Member is consummated during the Performance Period, then the entity that survives as a result of such merger, acquisition, or business combination will be considered a Peer Group Member for purposes of TSR percentile ranking for the Performance Period; the Peer Group Member that is not the entity that survives as a result of such merger, acquisition or business combination, shall be removed and treated as if it had never been in the peer group for purposes of the TSR percentile ranking for the Performance Period.</w:t>
      </w:r>
    </w:p>
    <w:p>
      <w:pPr>
        <w:spacing w:after="0" w:line="171" w:lineRule="exact"/>
        <w:rPr>
          <w:rFonts w:ascii="Verdana" w:cs="Verdana" w:eastAsia="Verdana" w:hAnsi="Verdana"/>
          <w:sz w:val="18"/>
          <w:szCs w:val="18"/>
          <w:b w:val="1"/>
          <w:bCs w:val="1"/>
          <w:color w:val="010000"/>
        </w:rPr>
      </w:pPr>
    </w:p>
    <w:p>
      <w:pPr>
        <w:jc w:val="both"/>
        <w:ind w:left="1900" w:hanging="632"/>
        <w:spacing w:after="0" w:line="203" w:lineRule="auto"/>
        <w:tabs>
          <w:tab w:leader="none" w:pos="1893" w:val="left"/>
        </w:tabs>
        <w:numPr>
          <w:ilvl w:val="1"/>
          <w:numId w:val="164"/>
        </w:numPr>
        <w:rPr>
          <w:rFonts w:ascii="Verdana" w:cs="Verdana" w:eastAsia="Verdana" w:hAnsi="Verdana"/>
          <w:sz w:val="18"/>
          <w:szCs w:val="18"/>
          <w:b w:val="1"/>
          <w:bCs w:val="1"/>
          <w:color w:val="010000"/>
        </w:rPr>
      </w:pPr>
      <w:r>
        <w:rPr>
          <w:rFonts w:ascii="Verdana" w:cs="Verdana" w:eastAsia="Verdana" w:hAnsi="Verdana"/>
          <w:sz w:val="18"/>
          <w:szCs w:val="18"/>
          <w:color w:val="auto"/>
        </w:rPr>
        <w:t>In the event that a merger, acquisition or business combination of a Peer Group Member by or with an entity that is not a Peer Group Member is consummated during the Performance Period, and such Peer Group Member is the entity that survives as a result of such merger, acquisition, or business combination, then such Peer Group Member will continue to be considered a Peer Group Member for purposes of TSR percentile ranking for the Performance Period.</w:t>
      </w:r>
    </w:p>
    <w:p>
      <w:pPr>
        <w:spacing w:after="0" w:line="153" w:lineRule="exact"/>
        <w:rPr>
          <w:rFonts w:ascii="Verdana" w:cs="Verdana" w:eastAsia="Verdana" w:hAnsi="Verdana"/>
          <w:sz w:val="18"/>
          <w:szCs w:val="18"/>
          <w:b w:val="1"/>
          <w:bCs w:val="1"/>
          <w:color w:val="010000"/>
        </w:rPr>
      </w:pPr>
    </w:p>
    <w:p>
      <w:pPr>
        <w:jc w:val="both"/>
        <w:ind w:left="1900" w:hanging="632"/>
        <w:spacing w:after="0" w:line="202" w:lineRule="auto"/>
        <w:tabs>
          <w:tab w:leader="none" w:pos="1887" w:val="left"/>
        </w:tabs>
        <w:numPr>
          <w:ilvl w:val="1"/>
          <w:numId w:val="164"/>
        </w:numPr>
        <w:rPr>
          <w:rFonts w:ascii="Verdana" w:cs="Verdana" w:eastAsia="Verdana" w:hAnsi="Verdana"/>
          <w:sz w:val="18"/>
          <w:szCs w:val="18"/>
          <w:b w:val="1"/>
          <w:bCs w:val="1"/>
          <w:color w:val="010000"/>
        </w:rPr>
      </w:pPr>
      <w:r>
        <w:rPr>
          <w:rFonts w:ascii="Verdana" w:cs="Verdana" w:eastAsia="Verdana" w:hAnsi="Verdana"/>
          <w:sz w:val="18"/>
          <w:szCs w:val="18"/>
          <w:color w:val="auto"/>
        </w:rPr>
        <w:t>In the event that (i) a Peer Group Member ceases to be a publicly-traded company, or (ii) a merger, acquisition or business combination of a Peer Group Member by or with an entity that is not a Peer Group Member is consummated during the Performance Period, and such Peer Group Member is not the entity that survives as a result of such merger, acquisition, or business combination, then such Peer Group Member shall be removed and treated as if it had never been in the peer group for purposes of TSR percentile ranking for the Performance Period.</w:t>
      </w:r>
    </w:p>
    <w:p>
      <w:pPr>
        <w:spacing w:after="0" w:line="158" w:lineRule="exact"/>
        <w:rPr>
          <w:rFonts w:ascii="Verdana" w:cs="Verdana" w:eastAsia="Verdana" w:hAnsi="Verdana"/>
          <w:sz w:val="18"/>
          <w:szCs w:val="18"/>
          <w:b w:val="1"/>
          <w:bCs w:val="1"/>
          <w:color w:val="010000"/>
        </w:rPr>
      </w:pPr>
    </w:p>
    <w:p>
      <w:pPr>
        <w:jc w:val="both"/>
        <w:ind w:left="1900" w:hanging="632"/>
        <w:spacing w:after="0" w:line="202" w:lineRule="auto"/>
        <w:tabs>
          <w:tab w:leader="none" w:pos="1893" w:val="left"/>
        </w:tabs>
        <w:numPr>
          <w:ilvl w:val="1"/>
          <w:numId w:val="164"/>
        </w:numPr>
        <w:rPr>
          <w:rFonts w:ascii="Verdana" w:cs="Verdana" w:eastAsia="Verdana" w:hAnsi="Verdana"/>
          <w:sz w:val="18"/>
          <w:szCs w:val="18"/>
          <w:b w:val="1"/>
          <w:bCs w:val="1"/>
          <w:color w:val="010000"/>
        </w:rPr>
      </w:pPr>
      <w:r>
        <w:rPr>
          <w:rFonts w:ascii="Verdana" w:cs="Verdana" w:eastAsia="Verdana" w:hAnsi="Verdana"/>
          <w:sz w:val="18"/>
          <w:szCs w:val="18"/>
          <w:color w:val="auto"/>
        </w:rPr>
        <w:t>In the event of a distribution of stock from a Peer Group Member (including the Company) consisting of shares of a new publicly traded company (a “spin-off”), the Peer Group Member shall remain a Peer Group Member and the stock distribution will be treated as a dividend from the Peer Group Member (including the Company) based on the closing price of the shares of the spin-off company on its first day of trading. The performance of the shares of the spin-off company shall not thereafter be treated for purposes of calculating TSR.</w:t>
      </w:r>
    </w:p>
    <w:p>
      <w:pPr>
        <w:spacing w:after="0" w:line="158" w:lineRule="exact"/>
        <w:rPr>
          <w:rFonts w:ascii="Verdana" w:cs="Verdana" w:eastAsia="Verdana" w:hAnsi="Verdana"/>
          <w:sz w:val="18"/>
          <w:szCs w:val="18"/>
          <w:b w:val="1"/>
          <w:bCs w:val="1"/>
          <w:color w:val="010000"/>
        </w:rPr>
      </w:pPr>
    </w:p>
    <w:p>
      <w:pPr>
        <w:ind w:left="1260" w:hanging="623"/>
        <w:spacing w:after="0"/>
        <w:tabs>
          <w:tab w:leader="none" w:pos="1260" w:val="left"/>
        </w:tabs>
        <w:numPr>
          <w:ilvl w:val="0"/>
          <w:numId w:val="165"/>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Performance Period</w:t>
      </w:r>
    </w:p>
    <w:p>
      <w:pPr>
        <w:spacing w:after="0" w:line="202" w:lineRule="exact"/>
        <w:rPr>
          <w:sz w:val="20"/>
          <w:szCs w:val="20"/>
          <w:color w:val="auto"/>
        </w:rPr>
      </w:pPr>
    </w:p>
    <w:p>
      <w:pPr>
        <w:ind w:left="640"/>
        <w:spacing w:after="0" w:line="241" w:lineRule="auto"/>
        <w:rPr>
          <w:sz w:val="20"/>
          <w:szCs w:val="20"/>
          <w:color w:val="auto"/>
        </w:rPr>
      </w:pPr>
      <w:r>
        <w:rPr>
          <w:rFonts w:ascii="Verdana" w:cs="Verdana" w:eastAsia="Verdana" w:hAnsi="Verdana"/>
          <w:sz w:val="18"/>
          <w:szCs w:val="18"/>
          <w:color w:val="auto"/>
        </w:rPr>
        <w:t>The Performance Period, for purposes of this Agreement, shall be determined by the Committee and shall be the period set forth in the Grant Notice.</w:t>
      </w:r>
    </w:p>
    <w:p>
      <w:pPr>
        <w:spacing w:after="0" w:line="166" w:lineRule="exact"/>
        <w:rPr>
          <w:sz w:val="20"/>
          <w:szCs w:val="20"/>
          <w:color w:val="auto"/>
        </w:rPr>
      </w:pPr>
    </w:p>
    <w:p>
      <w:pPr>
        <w:ind w:left="1260" w:hanging="623"/>
        <w:spacing w:after="0"/>
        <w:tabs>
          <w:tab w:leader="none" w:pos="1260" w:val="left"/>
        </w:tabs>
        <w:numPr>
          <w:ilvl w:val="0"/>
          <w:numId w:val="166"/>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Performance Goal and TSR</w:t>
      </w:r>
    </w:p>
    <w:p>
      <w:pPr>
        <w:spacing w:after="0" w:line="189" w:lineRule="exact"/>
        <w:rPr>
          <w:sz w:val="20"/>
          <w:szCs w:val="20"/>
          <w:color w:val="auto"/>
        </w:rPr>
      </w:pPr>
    </w:p>
    <w:p>
      <w:pPr>
        <w:jc w:val="both"/>
        <w:ind w:left="640"/>
        <w:spacing w:after="0" w:line="233" w:lineRule="auto"/>
        <w:rPr>
          <w:sz w:val="20"/>
          <w:szCs w:val="20"/>
          <w:color w:val="auto"/>
        </w:rPr>
      </w:pPr>
      <w:r>
        <w:rPr>
          <w:rFonts w:ascii="Verdana" w:cs="Verdana" w:eastAsia="Verdana" w:hAnsi="Verdana"/>
          <w:sz w:val="18"/>
          <w:szCs w:val="18"/>
          <w:color w:val="auto"/>
        </w:rPr>
        <w:t>For purposes of this Agreement, TSR for the Company and each of the Peer Group Members shall be measured by dividing (A) the difference between the average closing price of a share of such company’s common stock on the principal exchange on which such stock trades for the twenty (20) trading days occurring immediately after and including the first day of the Performance Period (the “</w:t>
      </w:r>
      <w:r>
        <w:rPr>
          <w:rFonts w:ascii="Verdana" w:cs="Verdana" w:eastAsia="Verdana" w:hAnsi="Verdana"/>
          <w:sz w:val="18"/>
          <w:szCs w:val="18"/>
          <w:u w:val="single" w:color="auto"/>
          <w:color w:val="auto"/>
        </w:rPr>
        <w:t>Beginning Average Value</w:t>
      </w:r>
      <w:r>
        <w:rPr>
          <w:rFonts w:ascii="Verdana" w:cs="Verdana" w:eastAsia="Verdana" w:hAnsi="Verdana"/>
          <w:sz w:val="18"/>
          <w:szCs w:val="18"/>
          <w:color w:val="auto"/>
        </w:rPr>
        <w:t>”) including the impact of dividends that are reinvested on the ex-dividend date and the average closing price of a share of such stock on the principal exchange on which such stock trades for the twenty (20) trading days immediately prior to and including the last day of the Performance Period (the “</w:t>
      </w:r>
      <w:r>
        <w:rPr>
          <w:rFonts w:ascii="Verdana" w:cs="Verdana" w:eastAsia="Verdana" w:hAnsi="Verdana"/>
          <w:sz w:val="18"/>
          <w:szCs w:val="18"/>
          <w:u w:val="single" w:color="auto"/>
          <w:color w:val="auto"/>
        </w:rPr>
        <w:t>Ending Average Value</w:t>
      </w:r>
      <w:r>
        <w:rPr>
          <w:rFonts w:ascii="Verdana" w:cs="Verdana" w:eastAsia="Verdana" w:hAnsi="Verdana"/>
          <w:sz w:val="18"/>
          <w:szCs w:val="18"/>
          <w:color w:val="auto"/>
        </w:rPr>
        <w:t>”) (appropriately adjusted for any stock dividend, stock split, spin-off, merger or other similar corporate events affecting such stock) including the impact of dividends that are reinvested on the ex-dividend date, by (B) the Beginning Average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2960" w:val="left"/>
        </w:tabs>
        <w:rPr>
          <w:sz w:val="20"/>
          <w:szCs w:val="20"/>
          <w:color w:val="auto"/>
        </w:rPr>
      </w:pPr>
      <w:r>
        <w:rPr>
          <w:rFonts w:ascii="Verdana" w:cs="Verdana" w:eastAsia="Verdana" w:hAnsi="Verdana"/>
          <w:sz w:val="16"/>
          <w:szCs w:val="16"/>
          <w:color w:val="auto"/>
        </w:rPr>
        <w:t>2026 RPSU Agreement (SVP_EVP)</w:t>
      </w:r>
      <w:r>
        <w:rPr>
          <w:sz w:val="20"/>
          <w:szCs w:val="20"/>
          <w:color w:val="auto"/>
        </w:rPr>
        <w:tab/>
      </w:r>
      <w:r>
        <w:rPr>
          <w:rFonts w:ascii="Verdana" w:cs="Verdana" w:eastAsia="Verdana" w:hAnsi="Verdana"/>
          <w:sz w:val="15"/>
          <w:szCs w:val="15"/>
          <w:color w:val="auto"/>
        </w:rPr>
        <w:t>5</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200" w:lineRule="exact"/>
        <w:rPr>
          <w:sz w:val="20"/>
          <w:szCs w:val="20"/>
          <w:color w:val="auto"/>
        </w:rPr>
      </w:pPr>
    </w:p>
    <w:p>
      <w:pPr>
        <w:spacing w:after="0" w:line="232" w:lineRule="exact"/>
        <w:rPr>
          <w:sz w:val="20"/>
          <w:szCs w:val="20"/>
          <w:color w:val="auto"/>
        </w:rPr>
      </w:pPr>
    </w:p>
    <w:p>
      <w:pPr>
        <w:jc w:val="both"/>
        <w:ind w:left="640"/>
        <w:spacing w:after="0" w:line="235" w:lineRule="auto"/>
        <w:rPr>
          <w:sz w:val="20"/>
          <w:szCs w:val="20"/>
          <w:color w:val="auto"/>
        </w:rPr>
      </w:pPr>
      <w:r>
        <w:rPr>
          <w:rFonts w:ascii="Verdana" w:cs="Verdana" w:eastAsia="Verdana" w:hAnsi="Verdana"/>
          <w:sz w:val="18"/>
          <w:szCs w:val="18"/>
          <w:color w:val="auto"/>
        </w:rPr>
        <w:t xml:space="preserve">For the avoidance of doubt, it is intended that the foregoing calculation of TSR shall take into account not only the reinvestment of dividends in a share of common stock of the Company or any Peer Group Member, as applicable, but also capital appreciation or depreciation in the shares deemed acquired by such reinvestment. All determinations under this </w:t>
      </w:r>
      <w:r>
        <w:rPr>
          <w:rFonts w:ascii="Verdana" w:cs="Verdana" w:eastAsia="Verdana" w:hAnsi="Verdana"/>
          <w:sz w:val="18"/>
          <w:szCs w:val="18"/>
          <w:u w:val="single" w:color="auto"/>
          <w:color w:val="auto"/>
        </w:rPr>
        <w:t>Section 2(d)</w:t>
      </w:r>
      <w:r>
        <w:rPr>
          <w:rFonts w:ascii="Verdana" w:cs="Verdana" w:eastAsia="Verdana" w:hAnsi="Verdana"/>
          <w:sz w:val="18"/>
          <w:szCs w:val="18"/>
          <w:color w:val="auto"/>
        </w:rPr>
        <w:t xml:space="preserve"> shall be made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144145</wp:posOffset>
            </wp:positionV>
            <wp:extent cx="6241415" cy="4845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50">
                      <a:extLst>
                        <a:ext uri="{28A0092B-C50C-407E-A947-70E740481C1C}"/>
                      </a:extLst>
                    </a:blip>
                    <a:srcRect/>
                    <a:stretch>
                      <a:fillRect/>
                    </a:stretch>
                  </pic:blipFill>
                  <pic:spPr bwMode="auto">
                    <a:xfrm>
                      <a:off x="0" y="0"/>
                      <a:ext cx="6241415" cy="484505"/>
                    </a:xfrm>
                    <a:prstGeom prst="rect">
                      <a:avLst/>
                    </a:prstGeom>
                    <a:noFill/>
                  </pic:spPr>
                </pic:pic>
              </a:graphicData>
            </a:graphic>
          </wp:anchor>
        </w:drawing>
      </w:r>
    </w:p>
    <w:p>
      <w:pPr>
        <w:spacing w:after="0" w:line="215" w:lineRule="exact"/>
        <w:rPr>
          <w:sz w:val="20"/>
          <w:szCs w:val="20"/>
          <w:color w:val="auto"/>
        </w:rPr>
      </w:pPr>
    </w:p>
    <w:p>
      <w:pPr>
        <w:ind w:left="700"/>
        <w:spacing w:after="0"/>
        <w:rPr>
          <w:sz w:val="20"/>
          <w:szCs w:val="20"/>
          <w:color w:val="auto"/>
        </w:rPr>
      </w:pPr>
      <w:r>
        <w:rPr>
          <w:rFonts w:ascii="Verdana" w:cs="Verdana" w:eastAsia="Verdana" w:hAnsi="Verdana"/>
          <w:sz w:val="18"/>
          <w:szCs w:val="18"/>
          <w:b w:val="1"/>
          <w:bCs w:val="1"/>
          <w:color w:val="auto"/>
        </w:rPr>
        <w:t>Illustration of formula described above</w:t>
      </w:r>
    </w:p>
    <w:p>
      <w:pPr>
        <w:spacing w:after="0" w:line="10" w:lineRule="exact"/>
        <w:rPr>
          <w:sz w:val="20"/>
          <w:szCs w:val="20"/>
          <w:color w:val="auto"/>
        </w:rPr>
      </w:pPr>
    </w:p>
    <w:tbl>
      <w:tblPr>
        <w:tblLayout w:type="fixed"/>
        <w:tblInd w:w="640" w:type="dxa"/>
        <w:tblCellMar>
          <w:top w:w="0" w:type="dxa"/>
          <w:left w:w="0" w:type="dxa"/>
          <w:bottom w:w="0" w:type="dxa"/>
          <w:right w:w="0" w:type="dxa"/>
        </w:tblCellMar>
      </w:tblPr>
      <w:tr>
        <w:trPr>
          <w:trHeight w:val="244"/>
        </w:trPr>
        <w:tc>
          <w:tcPr>
            <w:tcW w:w="2720" w:type="dxa"/>
            <w:vAlign w:val="bottom"/>
            <w:tcBorders>
              <w:top w:val="single" w:sz="8" w:color="auto"/>
            </w:tcBorders>
          </w:tcPr>
          <w:p>
            <w:pPr>
              <w:ind w:left="20"/>
              <w:spacing w:after="0"/>
              <w:rPr>
                <w:sz w:val="20"/>
                <w:szCs w:val="20"/>
                <w:color w:val="auto"/>
              </w:rPr>
            </w:pPr>
            <w:r>
              <w:rPr>
                <w:rFonts w:ascii="Verdana" w:cs="Verdana" w:eastAsia="Verdana" w:hAnsi="Verdana"/>
                <w:sz w:val="18"/>
                <w:szCs w:val="18"/>
                <w:color w:val="auto"/>
              </w:rPr>
              <w:t>Total Shareholder Return</w:t>
            </w:r>
          </w:p>
        </w:tc>
        <w:tc>
          <w:tcPr>
            <w:tcW w:w="980" w:type="dxa"/>
            <w:vAlign w:val="bottom"/>
            <w:tcBorders>
              <w:top w:val="single" w:sz="8" w:color="auto"/>
            </w:tcBorders>
          </w:tcPr>
          <w:p>
            <w:pPr>
              <w:jc w:val="right"/>
              <w:ind w:right="252"/>
              <w:spacing w:after="0"/>
              <w:rPr>
                <w:sz w:val="20"/>
                <w:szCs w:val="20"/>
                <w:color w:val="auto"/>
              </w:rPr>
            </w:pPr>
            <w:r>
              <w:rPr>
                <w:rFonts w:ascii="Verdana" w:cs="Verdana" w:eastAsia="Verdana" w:hAnsi="Verdana"/>
                <w:sz w:val="18"/>
                <w:szCs w:val="18"/>
                <w:color w:val="auto"/>
              </w:rPr>
              <w:t>=</w:t>
            </w:r>
          </w:p>
        </w:tc>
        <w:tc>
          <w:tcPr>
            <w:tcW w:w="6120" w:type="dxa"/>
            <w:vAlign w:val="bottom"/>
            <w:tcBorders>
              <w:top w:val="single" w:sz="8" w:color="auto"/>
            </w:tcBorders>
            <w:gridSpan w:val="2"/>
          </w:tcPr>
          <w:p>
            <w:pPr>
              <w:spacing w:after="0"/>
              <w:rPr>
                <w:sz w:val="20"/>
                <w:szCs w:val="20"/>
                <w:color w:val="auto"/>
              </w:rPr>
            </w:pPr>
            <w:r>
              <w:rPr>
                <w:rFonts w:ascii="Verdana" w:cs="Verdana" w:eastAsia="Verdana" w:hAnsi="Verdana"/>
                <w:sz w:val="18"/>
                <w:szCs w:val="18"/>
                <w:color w:val="auto"/>
                <w:w w:val="97"/>
              </w:rPr>
              <w:t>Ending Average Value – Beginning Average Value Beginning Average</w:t>
            </w:r>
          </w:p>
        </w:tc>
      </w:tr>
      <w:tr>
        <w:trPr>
          <w:trHeight w:val="229"/>
        </w:trPr>
        <w:tc>
          <w:tcPr>
            <w:tcW w:w="2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340" w:type="dxa"/>
            <w:vAlign w:val="bottom"/>
            <w:tcBorders>
              <w:top w:val="single" w:sz="8" w:color="auto"/>
            </w:tcBorders>
          </w:tcPr>
          <w:p>
            <w:pPr>
              <w:spacing w:after="0"/>
              <w:rPr>
                <w:sz w:val="20"/>
                <w:szCs w:val="20"/>
                <w:color w:val="auto"/>
              </w:rPr>
            </w:pPr>
            <w:r>
              <w:rPr>
                <w:rFonts w:ascii="Verdana" w:cs="Verdana" w:eastAsia="Verdana" w:hAnsi="Verdana"/>
                <w:sz w:val="18"/>
                <w:szCs w:val="18"/>
                <w:color w:val="auto"/>
              </w:rPr>
              <w:t>Value</w:t>
            </w:r>
          </w:p>
        </w:tc>
        <w:tc>
          <w:tcPr>
            <w:tcW w:w="1780" w:type="dxa"/>
            <w:vAlign w:val="bottom"/>
          </w:tcPr>
          <w:p>
            <w:pPr>
              <w:spacing w:after="0"/>
              <w:rPr>
                <w:sz w:val="19"/>
                <w:szCs w:val="19"/>
                <w:color w:val="auto"/>
              </w:rPr>
            </w:pPr>
          </w:p>
        </w:tc>
      </w:tr>
    </w:tbl>
    <w:p>
      <w:pPr>
        <w:spacing w:after="0" w:line="285" w:lineRule="exact"/>
        <w:rPr>
          <w:sz w:val="20"/>
          <w:szCs w:val="20"/>
          <w:color w:val="auto"/>
        </w:rPr>
      </w:pPr>
    </w:p>
    <w:p>
      <w:pPr>
        <w:ind w:left="620" w:hanging="615"/>
        <w:spacing w:after="0"/>
        <w:tabs>
          <w:tab w:leader="none" w:pos="620" w:val="left"/>
        </w:tabs>
        <w:numPr>
          <w:ilvl w:val="0"/>
          <w:numId w:val="167"/>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Settlement of Final Award</w:t>
      </w:r>
    </w:p>
    <w:p>
      <w:pPr>
        <w:spacing w:after="0" w:line="189" w:lineRule="exact"/>
        <w:rPr>
          <w:rFonts w:ascii="Verdana" w:cs="Verdana" w:eastAsia="Verdana" w:hAnsi="Verdana"/>
          <w:sz w:val="18"/>
          <w:szCs w:val="18"/>
          <w:b w:val="1"/>
          <w:bCs w:val="1"/>
          <w:color w:val="auto"/>
        </w:rPr>
      </w:pPr>
    </w:p>
    <w:p>
      <w:pPr>
        <w:jc w:val="both"/>
        <w:ind w:left="640"/>
        <w:spacing w:after="0" w:line="232" w:lineRule="auto"/>
        <w:rPr>
          <w:rFonts w:ascii="Verdana" w:cs="Verdana" w:eastAsia="Verdana" w:hAnsi="Verdana"/>
          <w:sz w:val="18"/>
          <w:szCs w:val="18"/>
          <w:b w:val="1"/>
          <w:bCs w:val="1"/>
          <w:color w:val="auto"/>
        </w:rPr>
      </w:pPr>
      <w:r>
        <w:rPr>
          <w:rFonts w:ascii="Verdana" w:cs="Verdana" w:eastAsia="Verdana" w:hAnsi="Verdana"/>
          <w:sz w:val="18"/>
          <w:szCs w:val="18"/>
          <w:color w:val="auto"/>
        </w:rPr>
        <w:t xml:space="preserve">As soon as reasonably practicable following completion of all determinations and certifications contemplated by </w:t>
      </w:r>
      <w:r>
        <w:rPr>
          <w:rFonts w:ascii="Verdana" w:cs="Verdana" w:eastAsia="Verdana" w:hAnsi="Verdana"/>
          <w:sz w:val="18"/>
          <w:szCs w:val="18"/>
          <w:u w:val="single" w:color="auto"/>
          <w:color w:val="auto"/>
        </w:rPr>
        <w:t>Sections 1</w:t>
      </w:r>
      <w:r>
        <w:rPr>
          <w:rFonts w:ascii="Verdana" w:cs="Verdana" w:eastAsia="Verdana" w:hAnsi="Verdana"/>
          <w:sz w:val="18"/>
          <w:szCs w:val="18"/>
          <w:color w:val="auto"/>
        </w:rPr>
        <w:t xml:space="preserve"> and </w:t>
      </w:r>
      <w:r>
        <w:rPr>
          <w:rFonts w:ascii="Verdana" w:cs="Verdana" w:eastAsia="Verdana" w:hAnsi="Verdana"/>
          <w:sz w:val="18"/>
          <w:szCs w:val="18"/>
          <w:u w:val="single" w:color="auto"/>
          <w:color w:val="auto"/>
        </w:rPr>
        <w:t>2</w:t>
      </w:r>
      <w:r>
        <w:rPr>
          <w:rFonts w:ascii="Verdana" w:cs="Verdana" w:eastAsia="Verdana" w:hAnsi="Verdana"/>
          <w:sz w:val="18"/>
          <w:szCs w:val="18"/>
          <w:color w:val="auto"/>
        </w:rPr>
        <w:t xml:space="preserve">, but in no event later than March 15 of the year following the year in which the Performance Period ends, subject to satisfaction of applicable tax withholding obligations in accordance with </w:t>
      </w:r>
      <w:r>
        <w:rPr>
          <w:rFonts w:ascii="Verdana" w:cs="Verdana" w:eastAsia="Verdana" w:hAnsi="Verdana"/>
          <w:sz w:val="18"/>
          <w:szCs w:val="18"/>
          <w:u w:val="single" w:color="auto"/>
          <w:color w:val="auto"/>
        </w:rPr>
        <w:t>Section 12(g)</w:t>
      </w:r>
      <w:r>
        <w:rPr>
          <w:rFonts w:ascii="Verdana" w:cs="Verdana" w:eastAsia="Verdana" w:hAnsi="Verdana"/>
          <w:sz w:val="18"/>
          <w:szCs w:val="18"/>
          <w:color w:val="auto"/>
        </w:rPr>
        <w:t xml:space="preserve">, the Company shall cause to be paid to the Participant the number of shares of the Company’s Common Stock equal to number of RPSUs representing the Final Award, as determined under </w:t>
      </w:r>
      <w:r>
        <w:rPr>
          <w:rFonts w:ascii="Verdana" w:cs="Verdana" w:eastAsia="Verdana" w:hAnsi="Verdana"/>
          <w:sz w:val="18"/>
          <w:szCs w:val="18"/>
          <w:u w:val="single" w:color="auto"/>
          <w:color w:val="auto"/>
        </w:rPr>
        <w:t>Section 1</w:t>
      </w:r>
      <w:r>
        <w:rPr>
          <w:rFonts w:ascii="Verdana" w:cs="Verdana" w:eastAsia="Verdana" w:hAnsi="Verdana"/>
          <w:sz w:val="18"/>
          <w:szCs w:val="18"/>
          <w:color w:val="auto"/>
        </w:rPr>
        <w:t xml:space="preserve"> of this Agreement (the “</w:t>
      </w:r>
      <w:r>
        <w:rPr>
          <w:rFonts w:ascii="Verdana" w:cs="Verdana" w:eastAsia="Verdana" w:hAnsi="Verdana"/>
          <w:sz w:val="18"/>
          <w:szCs w:val="18"/>
          <w:u w:val="single" w:color="auto"/>
          <w:color w:val="auto"/>
        </w:rPr>
        <w:t>Awarded Shares</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auto"/>
        </w:rPr>
        <w:t>provided</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auto"/>
        </w:rPr>
        <w:t>however</w:t>
      </w:r>
      <w:r>
        <w:rPr>
          <w:rFonts w:ascii="Verdana" w:cs="Verdana" w:eastAsia="Verdana" w:hAnsi="Verdana"/>
          <w:sz w:val="18"/>
          <w:szCs w:val="18"/>
          <w:color w:val="auto"/>
        </w:rPr>
        <w:t xml:space="preserve">, that if the Participant incurs a Termination of Service that qualifies for payment of a Final Award as described in </w:t>
      </w:r>
      <w:r>
        <w:rPr>
          <w:rFonts w:ascii="Verdana" w:cs="Verdana" w:eastAsia="Verdana" w:hAnsi="Verdana"/>
          <w:sz w:val="18"/>
          <w:szCs w:val="18"/>
          <w:u w:val="single" w:color="auto"/>
          <w:color w:val="auto"/>
        </w:rPr>
        <w:t>Section 8</w:t>
      </w:r>
      <w:r>
        <w:rPr>
          <w:rFonts w:ascii="Verdana" w:cs="Verdana" w:eastAsia="Verdana" w:hAnsi="Verdana"/>
          <w:sz w:val="18"/>
          <w:szCs w:val="18"/>
          <w:color w:val="auto"/>
        </w:rPr>
        <w:t xml:space="preserve">, then such payment shall be made on the next administratively feasible regularly scheduled payroll date but at no time more than sixty (60) days after the date a Final Award, if any, is determined or becomes payable, as described in the applicable subsection of </w:t>
      </w:r>
      <w:r>
        <w:rPr>
          <w:rFonts w:ascii="Verdana" w:cs="Verdana" w:eastAsia="Verdana" w:hAnsi="Verdana"/>
          <w:sz w:val="18"/>
          <w:szCs w:val="18"/>
          <w:u w:val="single" w:color="auto"/>
          <w:color w:val="auto"/>
        </w:rPr>
        <w:t>Section 8</w:t>
      </w:r>
      <w:r>
        <w:rPr>
          <w:rFonts w:ascii="Verdana" w:cs="Verdana" w:eastAsia="Verdana" w:hAnsi="Verdana"/>
          <w:sz w:val="18"/>
          <w:szCs w:val="18"/>
          <w:color w:val="auto"/>
        </w:rPr>
        <w:t xml:space="preserve">, and, in accordance with </w:t>
      </w:r>
      <w:r>
        <w:rPr>
          <w:rFonts w:ascii="Verdana" w:cs="Verdana" w:eastAsia="Verdana" w:hAnsi="Verdana"/>
          <w:sz w:val="18"/>
          <w:szCs w:val="18"/>
          <w:u w:val="single" w:color="auto"/>
          <w:color w:val="auto"/>
        </w:rPr>
        <w:t>Section 12(g)</w:t>
      </w:r>
      <w:r>
        <w:rPr>
          <w:rFonts w:ascii="Verdana" w:cs="Verdana" w:eastAsia="Verdana" w:hAnsi="Verdana"/>
          <w:sz w:val="18"/>
          <w:szCs w:val="18"/>
          <w:color w:val="auto"/>
        </w:rPr>
        <w:t>, the Fair Market Value of the RPSUs shall be determined as of such date, less applicable taxes.</w:t>
      </w:r>
    </w:p>
    <w:p>
      <w:pPr>
        <w:spacing w:after="0" w:line="201" w:lineRule="exact"/>
        <w:rPr>
          <w:rFonts w:ascii="Verdana" w:cs="Verdana" w:eastAsia="Verdana" w:hAnsi="Verdana"/>
          <w:sz w:val="18"/>
          <w:szCs w:val="18"/>
          <w:b w:val="1"/>
          <w:bCs w:val="1"/>
          <w:color w:val="auto"/>
        </w:rPr>
      </w:pPr>
    </w:p>
    <w:p>
      <w:pPr>
        <w:jc w:val="both"/>
        <w:ind w:left="640"/>
        <w:spacing w:after="0" w:line="234" w:lineRule="auto"/>
        <w:rPr>
          <w:rFonts w:ascii="Verdana" w:cs="Verdana" w:eastAsia="Verdana" w:hAnsi="Verdana"/>
          <w:sz w:val="18"/>
          <w:szCs w:val="18"/>
          <w:b w:val="1"/>
          <w:bCs w:val="1"/>
          <w:color w:val="auto"/>
        </w:rPr>
      </w:pPr>
      <w:r>
        <w:rPr>
          <w:rFonts w:ascii="Verdana" w:cs="Verdana" w:eastAsia="Verdana" w:hAnsi="Verdana"/>
          <w:sz w:val="18"/>
          <w:szCs w:val="18"/>
          <w:i w:val="1"/>
          <w:iCs w:val="1"/>
          <w:color w:val="auto"/>
        </w:rPr>
        <w:t>Post-Settlement Holding Period</w:t>
      </w:r>
      <w:r>
        <w:rPr>
          <w:rFonts w:ascii="Verdana" w:cs="Verdana" w:eastAsia="Verdana" w:hAnsi="Verdana"/>
          <w:sz w:val="18"/>
          <w:szCs w:val="18"/>
          <w:color w:val="auto"/>
        </w:rPr>
        <w:t>. Participant may not pledge, sell, assign or otherwise transfer the Awarded Shares</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(which shall include any stock dividends issued or issuable thereon) until one (1) year after the settlement of the Final Award (the “</w:t>
      </w:r>
      <w:r>
        <w:rPr>
          <w:rFonts w:ascii="Verdana" w:cs="Verdana" w:eastAsia="Verdana" w:hAnsi="Verdana"/>
          <w:sz w:val="18"/>
          <w:szCs w:val="18"/>
          <w:u w:val="single" w:color="auto"/>
          <w:color w:val="auto"/>
        </w:rPr>
        <w:t>Post-Settlement Holding Period</w:t>
      </w:r>
      <w:r>
        <w:rPr>
          <w:rFonts w:ascii="Verdana" w:cs="Verdana" w:eastAsia="Verdana" w:hAnsi="Verdana"/>
          <w:sz w:val="18"/>
          <w:szCs w:val="18"/>
          <w:color w:val="auto"/>
        </w:rPr>
        <w:t>”). During the Post-Settlement Holding Period, Participant will be able to vote the Awarded Shares and receive any dividends issued, if any, with respect to the Awarded Shares. Notwithstanding the foregoing, these restrictions with respect to Awarded Shares (regardless of whether they have settled) shall immediately lapse upon Participant’s death or Disability, or a Change in Control of the Company.</w:t>
      </w:r>
    </w:p>
    <w:p>
      <w:pPr>
        <w:spacing w:after="0" w:line="194" w:lineRule="exact"/>
        <w:rPr>
          <w:rFonts w:ascii="Verdana" w:cs="Verdana" w:eastAsia="Verdana" w:hAnsi="Verdana"/>
          <w:sz w:val="18"/>
          <w:szCs w:val="18"/>
          <w:b w:val="1"/>
          <w:bCs w:val="1"/>
          <w:color w:val="auto"/>
        </w:rPr>
      </w:pPr>
    </w:p>
    <w:p>
      <w:pPr>
        <w:jc w:val="both"/>
        <w:ind w:left="640"/>
        <w:spacing w:after="0" w:line="268" w:lineRule="auto"/>
        <w:rPr>
          <w:rFonts w:ascii="Verdana" w:cs="Verdana" w:eastAsia="Verdana" w:hAnsi="Verdana"/>
          <w:sz w:val="18"/>
          <w:szCs w:val="18"/>
          <w:b w:val="1"/>
          <w:bCs w:val="1"/>
          <w:color w:val="auto"/>
        </w:rPr>
      </w:pPr>
      <w:r>
        <w:rPr>
          <w:rFonts w:ascii="Verdana" w:cs="Verdana" w:eastAsia="Verdana" w:hAnsi="Verdana"/>
          <w:sz w:val="16"/>
          <w:szCs w:val="16"/>
          <w:color w:val="auto"/>
        </w:rPr>
        <w:t xml:space="preserve">Notwithstanding the foregoing provisions of this </w:t>
      </w:r>
      <w:r>
        <w:rPr>
          <w:rFonts w:ascii="Verdana" w:cs="Verdana" w:eastAsia="Verdana" w:hAnsi="Verdana"/>
          <w:sz w:val="16"/>
          <w:szCs w:val="16"/>
          <w:u w:val="single" w:color="auto"/>
          <w:color w:val="auto"/>
        </w:rPr>
        <w:t>Section 3</w:t>
      </w:r>
      <w:r>
        <w:rPr>
          <w:rFonts w:ascii="Verdana" w:cs="Verdana" w:eastAsia="Verdana" w:hAnsi="Verdana"/>
          <w:sz w:val="16"/>
          <w:szCs w:val="16"/>
          <w:color w:val="auto"/>
        </w:rPr>
        <w:t xml:space="preserve"> to the contrary, if at the time of the Participant’s separation from service within the meaning of Code Section 409A, the Participant is a “specified employee” within the meaning of Code Section 409A, any payment hereunder that constitutes a “deferral of compensation” under Code Section 409A and that would otherwise become due on account of such separation from service shall be delayed, and payment shall be made in full upon the earlier of (a) a date during the thirty (30) day period commencing six (6) months and one (1) day following such separation from service and (b) the date of the Participant’s death.</w:t>
      </w:r>
    </w:p>
    <w:p>
      <w:pPr>
        <w:spacing w:after="0" w:line="144" w:lineRule="exact"/>
        <w:rPr>
          <w:rFonts w:ascii="Verdana" w:cs="Verdana" w:eastAsia="Verdana" w:hAnsi="Verdana"/>
          <w:sz w:val="18"/>
          <w:szCs w:val="18"/>
          <w:b w:val="1"/>
          <w:bCs w:val="1"/>
          <w:color w:val="auto"/>
        </w:rPr>
      </w:pPr>
    </w:p>
    <w:p>
      <w:pPr>
        <w:ind w:left="620" w:hanging="615"/>
        <w:spacing w:after="0"/>
        <w:tabs>
          <w:tab w:leader="none" w:pos="620" w:val="left"/>
        </w:tabs>
        <w:numPr>
          <w:ilvl w:val="0"/>
          <w:numId w:val="167"/>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Dividend Equivalent Rights</w:t>
      </w:r>
    </w:p>
    <w:p>
      <w:pPr>
        <w:spacing w:after="0" w:line="202" w:lineRule="exact"/>
        <w:rPr>
          <w:rFonts w:ascii="Verdana" w:cs="Verdana" w:eastAsia="Verdana" w:hAnsi="Verdana"/>
          <w:sz w:val="18"/>
          <w:szCs w:val="18"/>
          <w:b w:val="1"/>
          <w:bCs w:val="1"/>
          <w:color w:val="auto"/>
        </w:rPr>
      </w:pPr>
    </w:p>
    <w:p>
      <w:pPr>
        <w:ind w:left="640"/>
        <w:spacing w:after="0" w:line="241" w:lineRule="auto"/>
        <w:rPr>
          <w:rFonts w:ascii="Verdana" w:cs="Verdana" w:eastAsia="Verdana" w:hAnsi="Verdana"/>
          <w:sz w:val="18"/>
          <w:szCs w:val="18"/>
          <w:b w:val="1"/>
          <w:bCs w:val="1"/>
          <w:color w:val="auto"/>
        </w:rPr>
      </w:pPr>
      <w:r>
        <w:rPr>
          <w:rFonts w:ascii="Verdana" w:cs="Verdana" w:eastAsia="Verdana" w:hAnsi="Verdana"/>
          <w:sz w:val="18"/>
          <w:szCs w:val="18"/>
          <w:color w:val="auto"/>
        </w:rPr>
        <w:t>Cash dividends on shares of Common Stock issuable hereunder shall be credited to a dividend book entry account on behalf of the Participant with respect to the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2960" w:val="left"/>
        </w:tabs>
        <w:rPr>
          <w:sz w:val="20"/>
          <w:szCs w:val="20"/>
          <w:color w:val="auto"/>
        </w:rPr>
      </w:pPr>
      <w:r>
        <w:rPr>
          <w:rFonts w:ascii="Verdana" w:cs="Verdana" w:eastAsia="Verdana" w:hAnsi="Verdana"/>
          <w:sz w:val="16"/>
          <w:szCs w:val="16"/>
          <w:color w:val="auto"/>
        </w:rPr>
        <w:t>2026 RPSU Agreement (SVP_EVP)</w:t>
      </w:r>
      <w:r>
        <w:rPr>
          <w:sz w:val="20"/>
          <w:szCs w:val="20"/>
          <w:color w:val="auto"/>
        </w:rPr>
        <w:tab/>
      </w:r>
      <w:r>
        <w:rPr>
          <w:rFonts w:ascii="Verdana" w:cs="Verdana" w:eastAsia="Verdana" w:hAnsi="Verdana"/>
          <w:sz w:val="15"/>
          <w:szCs w:val="15"/>
          <w:color w:val="auto"/>
        </w:rPr>
        <w:t>6</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200" w:lineRule="exact"/>
        <w:rPr>
          <w:sz w:val="20"/>
          <w:szCs w:val="20"/>
          <w:color w:val="auto"/>
        </w:rPr>
      </w:pPr>
    </w:p>
    <w:p>
      <w:pPr>
        <w:spacing w:after="0" w:line="232" w:lineRule="exact"/>
        <w:rPr>
          <w:sz w:val="20"/>
          <w:szCs w:val="20"/>
          <w:color w:val="auto"/>
        </w:rPr>
      </w:pPr>
    </w:p>
    <w:p>
      <w:pPr>
        <w:jc w:val="both"/>
        <w:ind w:left="640"/>
        <w:spacing w:after="0" w:line="264" w:lineRule="auto"/>
        <w:rPr>
          <w:sz w:val="20"/>
          <w:szCs w:val="20"/>
          <w:color w:val="auto"/>
        </w:rPr>
      </w:pPr>
      <w:r>
        <w:rPr>
          <w:rFonts w:ascii="Verdana" w:cs="Verdana" w:eastAsia="Verdana" w:hAnsi="Verdana"/>
          <w:sz w:val="16"/>
          <w:szCs w:val="16"/>
          <w:color w:val="auto"/>
        </w:rPr>
        <w:t xml:space="preserve">Award; </w:t>
      </w:r>
      <w:r>
        <w:rPr>
          <w:rFonts w:ascii="Verdana" w:cs="Verdana" w:eastAsia="Verdana" w:hAnsi="Verdana"/>
          <w:sz w:val="16"/>
          <w:szCs w:val="16"/>
          <w:u w:val="single" w:color="auto"/>
          <w:color w:val="auto"/>
        </w:rPr>
        <w:t>provided</w:t>
      </w:r>
      <w:r>
        <w:rPr>
          <w:rFonts w:ascii="Verdana" w:cs="Verdana" w:eastAsia="Verdana" w:hAnsi="Verdana"/>
          <w:sz w:val="16"/>
          <w:szCs w:val="16"/>
          <w:color w:val="auto"/>
        </w:rPr>
        <w:t xml:space="preserve"> that such cash dividends shall be deemed to be reinvested in shares of Common Stock immediately following the time declared at the then Fair Market Value of the Common Stock and shall be paid at the same time that the Final Award is delivered to the Participant in accordance with the provisions hereof. Stock dividends on shares of Common Stock issuable hereunder shall be credited to a dividend book entry account on behalf of the Participant with respect to the Target Award; </w:t>
      </w:r>
      <w:r>
        <w:rPr>
          <w:rFonts w:ascii="Verdana" w:cs="Verdana" w:eastAsia="Verdana" w:hAnsi="Verdana"/>
          <w:sz w:val="16"/>
          <w:szCs w:val="16"/>
          <w:u w:val="single" w:color="auto"/>
          <w:color w:val="auto"/>
        </w:rPr>
        <w:t>provided</w:t>
      </w:r>
      <w:r>
        <w:rPr>
          <w:rFonts w:ascii="Verdana" w:cs="Verdana" w:eastAsia="Verdana" w:hAnsi="Verdana"/>
          <w:sz w:val="16"/>
          <w:szCs w:val="16"/>
          <w:color w:val="auto"/>
        </w:rPr>
        <w:t xml:space="preserve"> that such stock dividends shall be paid at the same time that the Final Award is delivered to the Participant in accordance with the provisions hereof. Notwithstanding the foregoing, in the event that there are insufficient shares of Common Stock available in the Plan to settle the accrued dividend book entry account in shares of Common Stock, such accrued book entry account shall be settled in cash in an amount equal to the Fair Market Value of such shares of Common Stock at the time of settlement. Except as otherwise provided herein, the Participant shall have no rights as a stockholder with respect to any shares of Common Stock underlying any RPSU unless and until the Participant has become the holder of record of such shares.</w:t>
      </w:r>
    </w:p>
    <w:p>
      <w:pPr>
        <w:spacing w:after="0" w:line="361" w:lineRule="exact"/>
        <w:rPr>
          <w:sz w:val="20"/>
          <w:szCs w:val="20"/>
          <w:color w:val="auto"/>
        </w:rPr>
      </w:pPr>
    </w:p>
    <w:p>
      <w:pPr>
        <w:ind w:left="620" w:hanging="615"/>
        <w:spacing w:after="0"/>
        <w:tabs>
          <w:tab w:leader="none" w:pos="620" w:val="left"/>
        </w:tabs>
        <w:numPr>
          <w:ilvl w:val="0"/>
          <w:numId w:val="168"/>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Transfer of RPSUs</w:t>
      </w:r>
    </w:p>
    <w:p>
      <w:pPr>
        <w:spacing w:after="0" w:line="202" w:lineRule="exact"/>
        <w:rPr>
          <w:rFonts w:ascii="Verdana" w:cs="Verdana" w:eastAsia="Verdana" w:hAnsi="Verdana"/>
          <w:sz w:val="18"/>
          <w:szCs w:val="18"/>
          <w:b w:val="1"/>
          <w:bCs w:val="1"/>
          <w:color w:val="auto"/>
        </w:rPr>
      </w:pPr>
    </w:p>
    <w:p>
      <w:pPr>
        <w:jc w:val="both"/>
        <w:ind w:left="640"/>
        <w:spacing w:after="0" w:line="235" w:lineRule="auto"/>
        <w:rPr>
          <w:rFonts w:ascii="Verdana" w:cs="Verdana" w:eastAsia="Verdana" w:hAnsi="Verdana"/>
          <w:sz w:val="18"/>
          <w:szCs w:val="18"/>
          <w:b w:val="1"/>
          <w:bCs w:val="1"/>
          <w:color w:val="auto"/>
        </w:rPr>
      </w:pPr>
      <w:r>
        <w:rPr>
          <w:rFonts w:ascii="Verdana" w:cs="Verdana" w:eastAsia="Verdana" w:hAnsi="Verdana"/>
          <w:sz w:val="18"/>
          <w:szCs w:val="18"/>
          <w:color w:val="auto"/>
        </w:rPr>
        <w:t xml:space="preserve">Unless otherwise permitted by the Committee or </w:t>
      </w:r>
      <w:r>
        <w:rPr>
          <w:rFonts w:ascii="Verdana" w:cs="Verdana" w:eastAsia="Verdana" w:hAnsi="Verdana"/>
          <w:sz w:val="18"/>
          <w:szCs w:val="18"/>
          <w:u w:val="single" w:color="auto"/>
          <w:color w:val="auto"/>
        </w:rPr>
        <w:t>Section 14</w:t>
      </w:r>
      <w:r>
        <w:rPr>
          <w:rFonts w:ascii="Verdana" w:cs="Verdana" w:eastAsia="Verdana" w:hAnsi="Verdana"/>
          <w:sz w:val="18"/>
          <w:szCs w:val="18"/>
          <w:color w:val="auto"/>
        </w:rPr>
        <w:t xml:space="preserve"> of the Plan, no award or right granted hereunder may be sold, transferred, pledged, assigned or otherwise alienated or hypothecated, other than pursuant to a will or the laws of descent and distribution. Any attempted disposition in violation of this </w:t>
      </w:r>
      <w:r>
        <w:rPr>
          <w:rFonts w:ascii="Verdana" w:cs="Verdana" w:eastAsia="Verdana" w:hAnsi="Verdana"/>
          <w:sz w:val="18"/>
          <w:szCs w:val="18"/>
          <w:u w:val="single" w:color="auto"/>
          <w:color w:val="auto"/>
        </w:rPr>
        <w:t>Section 5</w:t>
      </w:r>
      <w:r>
        <w:rPr>
          <w:rFonts w:ascii="Verdana" w:cs="Verdana" w:eastAsia="Verdana" w:hAnsi="Verdana"/>
          <w:sz w:val="18"/>
          <w:szCs w:val="18"/>
          <w:color w:val="auto"/>
        </w:rPr>
        <w:t xml:space="preserve"> and </w:t>
      </w:r>
      <w:r>
        <w:rPr>
          <w:rFonts w:ascii="Verdana" w:cs="Verdana" w:eastAsia="Verdana" w:hAnsi="Verdana"/>
          <w:sz w:val="18"/>
          <w:szCs w:val="18"/>
          <w:u w:val="single" w:color="auto"/>
          <w:color w:val="auto"/>
        </w:rPr>
        <w:t>Section 14</w:t>
      </w:r>
      <w:r>
        <w:rPr>
          <w:rFonts w:ascii="Verdana" w:cs="Verdana" w:eastAsia="Verdana" w:hAnsi="Verdana"/>
          <w:sz w:val="18"/>
          <w:szCs w:val="18"/>
          <w:color w:val="auto"/>
        </w:rPr>
        <w:t xml:space="preserve"> of the Plan shall be void.</w:t>
      </w:r>
    </w:p>
    <w:p>
      <w:pPr>
        <w:spacing w:after="0" w:line="169" w:lineRule="exact"/>
        <w:rPr>
          <w:rFonts w:ascii="Verdana" w:cs="Verdana" w:eastAsia="Verdana" w:hAnsi="Verdana"/>
          <w:sz w:val="18"/>
          <w:szCs w:val="18"/>
          <w:b w:val="1"/>
          <w:bCs w:val="1"/>
          <w:color w:val="auto"/>
        </w:rPr>
      </w:pPr>
    </w:p>
    <w:p>
      <w:pPr>
        <w:ind w:left="620" w:hanging="615"/>
        <w:spacing w:after="0"/>
        <w:tabs>
          <w:tab w:leader="none" w:pos="620" w:val="left"/>
        </w:tabs>
        <w:numPr>
          <w:ilvl w:val="0"/>
          <w:numId w:val="168"/>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Status of Participant</w:t>
      </w:r>
    </w:p>
    <w:p>
      <w:pPr>
        <w:spacing w:after="0" w:line="189" w:lineRule="exact"/>
        <w:rPr>
          <w:rFonts w:ascii="Verdana" w:cs="Verdana" w:eastAsia="Verdana" w:hAnsi="Verdana"/>
          <w:sz w:val="18"/>
          <w:szCs w:val="18"/>
          <w:b w:val="1"/>
          <w:bCs w:val="1"/>
          <w:color w:val="auto"/>
        </w:rPr>
      </w:pPr>
    </w:p>
    <w:p>
      <w:pPr>
        <w:jc w:val="both"/>
        <w:ind w:left="640"/>
        <w:spacing w:after="0" w:line="234" w:lineRule="auto"/>
        <w:rPr>
          <w:rFonts w:ascii="Verdana" w:cs="Verdana" w:eastAsia="Verdana" w:hAnsi="Verdana"/>
          <w:sz w:val="18"/>
          <w:szCs w:val="18"/>
          <w:b w:val="1"/>
          <w:bCs w:val="1"/>
          <w:color w:val="auto"/>
        </w:rPr>
      </w:pPr>
      <w:r>
        <w:rPr>
          <w:rFonts w:ascii="Verdana" w:cs="Verdana" w:eastAsia="Verdana" w:hAnsi="Verdana"/>
          <w:sz w:val="18"/>
          <w:szCs w:val="18"/>
          <w:color w:val="auto"/>
        </w:rPr>
        <w:t>The Participant shall not be, and, except as otherwise provided herein, shall not have rights as, a stockholder of the Company with respect to any of the shares of Common Stock subject to, or underlying, the Target Award or Final Award, unless such shares have been issued and delivered to the Participant pursuant to the terms of this Agreement. The Company shall not be required to issue or transfer any certificates for shares of Common Stock until all applicable requirements of law have been complied with and such shares have been duly listed on any securities exchange on which the Common Stock may then be listed.</w:t>
      </w:r>
    </w:p>
    <w:p>
      <w:pPr>
        <w:spacing w:after="0" w:line="167" w:lineRule="exact"/>
        <w:rPr>
          <w:rFonts w:ascii="Verdana" w:cs="Verdana" w:eastAsia="Verdana" w:hAnsi="Verdana"/>
          <w:sz w:val="18"/>
          <w:szCs w:val="18"/>
          <w:b w:val="1"/>
          <w:bCs w:val="1"/>
          <w:color w:val="auto"/>
        </w:rPr>
      </w:pPr>
    </w:p>
    <w:p>
      <w:pPr>
        <w:ind w:left="620" w:hanging="615"/>
        <w:spacing w:after="0"/>
        <w:tabs>
          <w:tab w:leader="none" w:pos="620" w:val="left"/>
        </w:tabs>
        <w:numPr>
          <w:ilvl w:val="0"/>
          <w:numId w:val="168"/>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No Effect on Capital Structure</w:t>
      </w:r>
    </w:p>
    <w:p>
      <w:pPr>
        <w:spacing w:after="0" w:line="189" w:lineRule="exact"/>
        <w:rPr>
          <w:rFonts w:ascii="Verdana" w:cs="Verdana" w:eastAsia="Verdana" w:hAnsi="Verdana"/>
          <w:sz w:val="18"/>
          <w:szCs w:val="18"/>
          <w:b w:val="1"/>
          <w:bCs w:val="1"/>
          <w:color w:val="auto"/>
        </w:rPr>
      </w:pPr>
    </w:p>
    <w:p>
      <w:pPr>
        <w:jc w:val="both"/>
        <w:ind w:left="640"/>
        <w:spacing w:after="0" w:line="237" w:lineRule="auto"/>
        <w:rPr>
          <w:rFonts w:ascii="Verdana" w:cs="Verdana" w:eastAsia="Verdana" w:hAnsi="Verdana"/>
          <w:sz w:val="18"/>
          <w:szCs w:val="18"/>
          <w:b w:val="1"/>
          <w:bCs w:val="1"/>
          <w:color w:val="auto"/>
        </w:rPr>
      </w:pPr>
      <w:r>
        <w:rPr>
          <w:rFonts w:ascii="Verdana" w:cs="Verdana" w:eastAsia="Verdana" w:hAnsi="Verdana"/>
          <w:sz w:val="18"/>
          <w:szCs w:val="18"/>
          <w:color w:val="auto"/>
        </w:rPr>
        <w:t>No award or right granted hereunder shall affect the right of the Company or any Subsidiary to reclassify, recapitalize or otherwise change its capital or debt structure or to merge, consolidate, convey any or all of its assets, dissolve, liquidate, windup, or otherwise reorganize.</w:t>
      </w:r>
    </w:p>
    <w:p>
      <w:pPr>
        <w:spacing w:after="0" w:line="167" w:lineRule="exact"/>
        <w:rPr>
          <w:rFonts w:ascii="Verdana" w:cs="Verdana" w:eastAsia="Verdana" w:hAnsi="Verdana"/>
          <w:sz w:val="18"/>
          <w:szCs w:val="18"/>
          <w:b w:val="1"/>
          <w:bCs w:val="1"/>
          <w:color w:val="auto"/>
        </w:rPr>
      </w:pPr>
    </w:p>
    <w:p>
      <w:pPr>
        <w:ind w:left="620" w:hanging="615"/>
        <w:spacing w:after="0"/>
        <w:tabs>
          <w:tab w:leader="none" w:pos="620" w:val="left"/>
        </w:tabs>
        <w:numPr>
          <w:ilvl w:val="0"/>
          <w:numId w:val="168"/>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Expiration and Forfeiture of Award</w:t>
      </w:r>
    </w:p>
    <w:p>
      <w:pPr>
        <w:spacing w:after="0" w:line="202" w:lineRule="exact"/>
        <w:rPr>
          <w:rFonts w:ascii="Verdana" w:cs="Verdana" w:eastAsia="Verdana" w:hAnsi="Verdana"/>
          <w:sz w:val="18"/>
          <w:szCs w:val="18"/>
          <w:b w:val="1"/>
          <w:bCs w:val="1"/>
          <w:color w:val="auto"/>
        </w:rPr>
      </w:pPr>
    </w:p>
    <w:p>
      <w:pPr>
        <w:jc w:val="both"/>
        <w:ind w:left="640"/>
        <w:spacing w:after="0" w:line="237" w:lineRule="auto"/>
        <w:rPr>
          <w:rFonts w:ascii="Verdana" w:cs="Verdana" w:eastAsia="Verdana" w:hAnsi="Verdana"/>
          <w:sz w:val="18"/>
          <w:szCs w:val="18"/>
          <w:b w:val="1"/>
          <w:bCs w:val="1"/>
          <w:color w:val="auto"/>
        </w:rPr>
      </w:pPr>
      <w:r>
        <w:rPr>
          <w:rFonts w:ascii="Verdana" w:cs="Verdana" w:eastAsia="Verdana" w:hAnsi="Verdana"/>
          <w:sz w:val="18"/>
          <w:szCs w:val="18"/>
          <w:color w:val="auto"/>
        </w:rPr>
        <w:t xml:space="preserve">The Final Award, if any, shall be paid and/or expire in the circumstances described in this </w:t>
      </w:r>
      <w:r>
        <w:rPr>
          <w:rFonts w:ascii="Verdana" w:cs="Verdana" w:eastAsia="Verdana" w:hAnsi="Verdana"/>
          <w:sz w:val="18"/>
          <w:szCs w:val="18"/>
          <w:u w:val="single" w:color="auto"/>
          <w:color w:val="auto"/>
        </w:rPr>
        <w:t>Section 8</w:t>
      </w:r>
      <w:r>
        <w:rPr>
          <w:rFonts w:ascii="Verdana" w:cs="Verdana" w:eastAsia="Verdana" w:hAnsi="Verdana"/>
          <w:sz w:val="18"/>
          <w:szCs w:val="18"/>
          <w:color w:val="auto"/>
        </w:rPr>
        <w:t>. As used herein, “</w:t>
      </w:r>
      <w:r>
        <w:rPr>
          <w:rFonts w:ascii="Verdana" w:cs="Verdana" w:eastAsia="Verdana" w:hAnsi="Verdana"/>
          <w:sz w:val="18"/>
          <w:szCs w:val="18"/>
          <w:u w:val="single" w:color="auto"/>
          <w:color w:val="auto"/>
        </w:rPr>
        <w:t>Termination of Service</w:t>
      </w:r>
      <w:r>
        <w:rPr>
          <w:rFonts w:ascii="Verdana" w:cs="Verdana" w:eastAsia="Verdana" w:hAnsi="Verdana"/>
          <w:sz w:val="18"/>
          <w:szCs w:val="18"/>
          <w:color w:val="auto"/>
        </w:rPr>
        <w:t>” means termination of a Participant’s employment by, or service to, the Company, including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2960" w:val="left"/>
        </w:tabs>
        <w:rPr>
          <w:sz w:val="20"/>
          <w:szCs w:val="20"/>
          <w:color w:val="auto"/>
        </w:rPr>
      </w:pPr>
      <w:r>
        <w:rPr>
          <w:rFonts w:ascii="Verdana" w:cs="Verdana" w:eastAsia="Verdana" w:hAnsi="Verdana"/>
          <w:sz w:val="16"/>
          <w:szCs w:val="16"/>
          <w:color w:val="auto"/>
        </w:rPr>
        <w:t>2026 RPSU Agreement (SVP_EVP)</w:t>
      </w:r>
      <w:r>
        <w:rPr>
          <w:sz w:val="20"/>
          <w:szCs w:val="20"/>
          <w:color w:val="auto"/>
        </w:rPr>
        <w:tab/>
      </w:r>
      <w:r>
        <w:rPr>
          <w:rFonts w:ascii="Verdana" w:cs="Verdana" w:eastAsia="Verdana" w:hAnsi="Verdana"/>
          <w:sz w:val="15"/>
          <w:szCs w:val="15"/>
          <w:color w:val="auto"/>
        </w:rPr>
        <w:t>7</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200" w:lineRule="exact"/>
        <w:rPr>
          <w:sz w:val="20"/>
          <w:szCs w:val="20"/>
          <w:color w:val="auto"/>
        </w:rPr>
      </w:pPr>
    </w:p>
    <w:p>
      <w:pPr>
        <w:spacing w:after="0" w:line="205" w:lineRule="exact"/>
        <w:rPr>
          <w:sz w:val="20"/>
          <w:szCs w:val="20"/>
          <w:color w:val="auto"/>
        </w:rPr>
      </w:pPr>
    </w:p>
    <w:p>
      <w:pPr>
        <w:ind w:left="1260" w:hanging="623"/>
        <w:spacing w:after="0"/>
        <w:tabs>
          <w:tab w:leader="none" w:pos="1260" w:val="left"/>
        </w:tabs>
        <w:numPr>
          <w:ilvl w:val="0"/>
          <w:numId w:val="169"/>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Death</w:t>
      </w:r>
    </w:p>
    <w:p>
      <w:pPr>
        <w:spacing w:after="0" w:line="202" w:lineRule="exact"/>
        <w:rPr>
          <w:sz w:val="20"/>
          <w:szCs w:val="20"/>
          <w:color w:val="auto"/>
        </w:rPr>
      </w:pPr>
    </w:p>
    <w:p>
      <w:pPr>
        <w:jc w:val="both"/>
        <w:ind w:left="640"/>
        <w:spacing w:after="0" w:line="237" w:lineRule="auto"/>
        <w:rPr>
          <w:sz w:val="20"/>
          <w:szCs w:val="20"/>
          <w:color w:val="auto"/>
        </w:rPr>
      </w:pPr>
      <w:r>
        <w:rPr>
          <w:rFonts w:ascii="Verdana" w:cs="Verdana" w:eastAsia="Verdana" w:hAnsi="Verdana"/>
          <w:sz w:val="18"/>
          <w:szCs w:val="18"/>
          <w:color w:val="auto"/>
        </w:rPr>
        <w:t xml:space="preserve">Upon a Termination of Service by reason of death, a Final Award equal to one hundred percent (100%) of the Target Award shall be paid to the Participant’s legal representatives, heirs, legatees, or distributees in accordance with </w:t>
      </w:r>
      <w:r>
        <w:rPr>
          <w:rFonts w:ascii="Verdana" w:cs="Verdana" w:eastAsia="Verdana" w:hAnsi="Verdana"/>
          <w:sz w:val="18"/>
          <w:szCs w:val="18"/>
          <w:u w:val="single" w:color="auto"/>
          <w:color w:val="auto"/>
        </w:rPr>
        <w:t>Section</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auto"/>
        </w:rPr>
        <w:t>3</w:t>
      </w:r>
      <w:r>
        <w:rPr>
          <w:rFonts w:ascii="Verdana" w:cs="Verdana" w:eastAsia="Verdana" w:hAnsi="Verdana"/>
          <w:sz w:val="18"/>
          <w:szCs w:val="18"/>
          <w:color w:val="auto"/>
        </w:rPr>
        <w:t>.</w:t>
      </w:r>
    </w:p>
    <w:p>
      <w:pPr>
        <w:spacing w:after="0" w:line="168" w:lineRule="exact"/>
        <w:rPr>
          <w:sz w:val="20"/>
          <w:szCs w:val="20"/>
          <w:color w:val="auto"/>
        </w:rPr>
      </w:pPr>
    </w:p>
    <w:p>
      <w:pPr>
        <w:ind w:left="1260" w:hanging="623"/>
        <w:spacing w:after="0"/>
        <w:tabs>
          <w:tab w:leader="none" w:pos="1260" w:val="left"/>
        </w:tabs>
        <w:numPr>
          <w:ilvl w:val="0"/>
          <w:numId w:val="170"/>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Retirement</w:t>
      </w:r>
    </w:p>
    <w:p>
      <w:pPr>
        <w:spacing w:after="0" w:line="189" w:lineRule="exact"/>
        <w:rPr>
          <w:sz w:val="20"/>
          <w:szCs w:val="20"/>
          <w:color w:val="auto"/>
        </w:rPr>
      </w:pPr>
    </w:p>
    <w:p>
      <w:pPr>
        <w:jc w:val="both"/>
        <w:ind w:left="640"/>
        <w:spacing w:after="0" w:line="273" w:lineRule="auto"/>
        <w:rPr>
          <w:sz w:val="20"/>
          <w:szCs w:val="20"/>
          <w:color w:val="auto"/>
        </w:rPr>
      </w:pPr>
      <w:r>
        <w:rPr>
          <w:rFonts w:ascii="Verdana" w:cs="Verdana" w:eastAsia="Verdana" w:hAnsi="Verdana"/>
          <w:sz w:val="16"/>
          <w:szCs w:val="16"/>
          <w:color w:val="auto"/>
        </w:rPr>
        <w:t xml:space="preserve">Upon a Termination of Service in the event of Retirement, the Award shall continue to vest according to the vesting schedule; provided that Retirement occurs more than twelve (12) months following the Date of Grant. Upon vesting, the Award shall be issued and delivered to the Participant in accordance with </w:t>
      </w:r>
      <w:r>
        <w:rPr>
          <w:rFonts w:ascii="Verdana" w:cs="Verdana" w:eastAsia="Verdana" w:hAnsi="Verdana"/>
          <w:sz w:val="16"/>
          <w:szCs w:val="16"/>
          <w:u w:val="single" w:color="auto"/>
          <w:color w:val="auto"/>
        </w:rPr>
        <w:t>Sections 1</w:t>
      </w:r>
      <w:r>
        <w:rPr>
          <w:rFonts w:ascii="Verdana" w:cs="Verdana" w:eastAsia="Verdana" w:hAnsi="Verdana"/>
          <w:sz w:val="16"/>
          <w:szCs w:val="16"/>
          <w:color w:val="auto"/>
        </w:rPr>
        <w:t xml:space="preserve"> and </w:t>
      </w:r>
      <w:r>
        <w:rPr>
          <w:rFonts w:ascii="Verdana" w:cs="Verdana" w:eastAsia="Verdana" w:hAnsi="Verdana"/>
          <w:sz w:val="16"/>
          <w:szCs w:val="16"/>
          <w:u w:val="single" w:color="auto"/>
          <w:color w:val="auto"/>
        </w:rPr>
        <w:t>2</w:t>
      </w:r>
      <w:r>
        <w:rPr>
          <w:rFonts w:ascii="Verdana" w:cs="Verdana" w:eastAsia="Verdana" w:hAnsi="Verdana"/>
          <w:sz w:val="16"/>
          <w:szCs w:val="16"/>
          <w:color w:val="auto"/>
        </w:rPr>
        <w:t xml:space="preserve">, and any such Final Award shall be paid to the Participant in accordance with </w:t>
      </w:r>
      <w:r>
        <w:rPr>
          <w:rFonts w:ascii="Verdana" w:cs="Verdana" w:eastAsia="Verdana" w:hAnsi="Verdana"/>
          <w:sz w:val="16"/>
          <w:szCs w:val="16"/>
          <w:u w:val="single" w:color="auto"/>
          <w:color w:val="auto"/>
        </w:rPr>
        <w:t>Section 3</w:t>
      </w:r>
      <w:r>
        <w:rPr>
          <w:rFonts w:ascii="Verdana" w:cs="Verdana" w:eastAsia="Verdana" w:hAnsi="Verdana"/>
          <w:sz w:val="16"/>
          <w:szCs w:val="16"/>
          <w:color w:val="auto"/>
        </w:rPr>
        <w:t>, subject to the Post-Settlement Holding Period.</w:t>
      </w:r>
    </w:p>
    <w:p>
      <w:pPr>
        <w:spacing w:after="0" w:line="142" w:lineRule="exact"/>
        <w:rPr>
          <w:sz w:val="20"/>
          <w:szCs w:val="20"/>
          <w:color w:val="auto"/>
        </w:rPr>
      </w:pPr>
    </w:p>
    <w:p>
      <w:pPr>
        <w:ind w:left="1260" w:hanging="623"/>
        <w:spacing w:after="0"/>
        <w:tabs>
          <w:tab w:leader="none" w:pos="1260" w:val="left"/>
        </w:tabs>
        <w:numPr>
          <w:ilvl w:val="0"/>
          <w:numId w:val="171"/>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Disability</w:t>
      </w:r>
    </w:p>
    <w:p>
      <w:pPr>
        <w:spacing w:after="0" w:line="189" w:lineRule="exact"/>
        <w:rPr>
          <w:sz w:val="20"/>
          <w:szCs w:val="20"/>
          <w:color w:val="auto"/>
        </w:rPr>
      </w:pPr>
    </w:p>
    <w:p>
      <w:pPr>
        <w:ind w:left="640"/>
        <w:spacing w:after="0" w:line="241" w:lineRule="auto"/>
        <w:rPr>
          <w:sz w:val="20"/>
          <w:szCs w:val="20"/>
          <w:color w:val="auto"/>
        </w:rPr>
      </w:pPr>
      <w:r>
        <w:rPr>
          <w:rFonts w:ascii="Verdana" w:cs="Verdana" w:eastAsia="Verdana" w:hAnsi="Verdana"/>
          <w:sz w:val="18"/>
          <w:szCs w:val="18"/>
          <w:color w:val="auto"/>
        </w:rPr>
        <w:t xml:space="preserve">Upon a Termination of Service as a result of Disability, a Final Award equal to one hundred percent (100%) of the Target Award shall be paid to the Participant in accordance with </w:t>
      </w:r>
      <w:r>
        <w:rPr>
          <w:rFonts w:ascii="Verdana" w:cs="Verdana" w:eastAsia="Verdana" w:hAnsi="Verdana"/>
          <w:sz w:val="18"/>
          <w:szCs w:val="18"/>
          <w:u w:val="single" w:color="auto"/>
          <w:color w:val="auto"/>
        </w:rPr>
        <w:t>Section 3</w:t>
      </w:r>
      <w:r>
        <w:rPr>
          <w:rFonts w:ascii="Verdana" w:cs="Verdana" w:eastAsia="Verdana" w:hAnsi="Verdana"/>
          <w:sz w:val="18"/>
          <w:szCs w:val="18"/>
          <w:color w:val="auto"/>
        </w:rPr>
        <w:t>.</w:t>
      </w:r>
    </w:p>
    <w:p>
      <w:pPr>
        <w:spacing w:after="0" w:line="166" w:lineRule="exact"/>
        <w:rPr>
          <w:sz w:val="20"/>
          <w:szCs w:val="20"/>
          <w:color w:val="auto"/>
        </w:rPr>
      </w:pPr>
    </w:p>
    <w:p>
      <w:pPr>
        <w:ind w:left="1260" w:hanging="623"/>
        <w:spacing w:after="0"/>
        <w:tabs>
          <w:tab w:leader="none" w:pos="1260" w:val="left"/>
        </w:tabs>
        <w:numPr>
          <w:ilvl w:val="0"/>
          <w:numId w:val="172"/>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Change in Control</w:t>
      </w:r>
    </w:p>
    <w:p>
      <w:pPr>
        <w:spacing w:after="0" w:line="202" w:lineRule="exact"/>
        <w:rPr>
          <w:sz w:val="20"/>
          <w:szCs w:val="20"/>
          <w:color w:val="auto"/>
        </w:rPr>
      </w:pPr>
    </w:p>
    <w:p>
      <w:pPr>
        <w:jc w:val="both"/>
        <w:ind w:left="640"/>
        <w:spacing w:after="0" w:line="233" w:lineRule="auto"/>
        <w:rPr>
          <w:sz w:val="20"/>
          <w:szCs w:val="20"/>
          <w:color w:val="auto"/>
        </w:rPr>
      </w:pPr>
      <w:r>
        <w:rPr>
          <w:rFonts w:ascii="Verdana" w:cs="Verdana" w:eastAsia="Verdana" w:hAnsi="Verdana"/>
          <w:sz w:val="18"/>
          <w:szCs w:val="18"/>
          <w:color w:val="auto"/>
        </w:rPr>
        <w:t xml:space="preserve">Notwithstanding any provision in this </w:t>
      </w:r>
      <w:r>
        <w:rPr>
          <w:rFonts w:ascii="Verdana" w:cs="Verdana" w:eastAsia="Verdana" w:hAnsi="Verdana"/>
          <w:sz w:val="18"/>
          <w:szCs w:val="18"/>
          <w:u w:val="single" w:color="auto"/>
          <w:color w:val="auto"/>
        </w:rPr>
        <w:t>Section 8</w:t>
      </w:r>
      <w:r>
        <w:rPr>
          <w:rFonts w:ascii="Verdana" w:cs="Verdana" w:eastAsia="Verdana" w:hAnsi="Verdana"/>
          <w:sz w:val="18"/>
          <w:szCs w:val="18"/>
          <w:color w:val="auto"/>
        </w:rPr>
        <w:t xml:space="preserve"> to the contrary, upon a Termination of Service without Cause in connection with a Change in Control, the Final Award payable to the Participant, if any, shall be determined by the Committee and shall be paid to the Participant in accordance with </w:t>
      </w:r>
      <w:r>
        <w:rPr>
          <w:rFonts w:ascii="Verdana" w:cs="Verdana" w:eastAsia="Verdana" w:hAnsi="Verdana"/>
          <w:sz w:val="18"/>
          <w:szCs w:val="18"/>
          <w:u w:val="single" w:color="auto"/>
          <w:color w:val="auto"/>
        </w:rPr>
        <w:t>Section 3</w:t>
      </w:r>
      <w:r>
        <w:rPr>
          <w:rFonts w:ascii="Verdana" w:cs="Verdana" w:eastAsia="Verdana" w:hAnsi="Verdana"/>
          <w:sz w:val="18"/>
          <w:szCs w:val="18"/>
          <w:color w:val="auto"/>
        </w:rPr>
        <w:t>. A Termination of Service without Cause may be treated as being in connection with a Change in Control only if such termination occurs during the period beginning six (6) months prior to the Change in Control and ending twenty-four (24) months following the Change in Control. The Committee shall determine, in its sole and absolute discretion, whether there was a Termination of Service without Cause in connection with a Change in Control.</w:t>
      </w:r>
    </w:p>
    <w:p>
      <w:pPr>
        <w:spacing w:after="0" w:line="171" w:lineRule="exact"/>
        <w:rPr>
          <w:sz w:val="20"/>
          <w:szCs w:val="20"/>
          <w:color w:val="auto"/>
        </w:rPr>
      </w:pPr>
    </w:p>
    <w:p>
      <w:pPr>
        <w:ind w:left="1260" w:hanging="623"/>
        <w:spacing w:after="0"/>
        <w:tabs>
          <w:tab w:leader="none" w:pos="1260" w:val="left"/>
        </w:tabs>
        <w:numPr>
          <w:ilvl w:val="0"/>
          <w:numId w:val="173"/>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Eligible Termination</w:t>
      </w:r>
    </w:p>
    <w:p>
      <w:pPr>
        <w:spacing w:after="0" w:line="189" w:lineRule="exact"/>
        <w:rPr>
          <w:sz w:val="20"/>
          <w:szCs w:val="20"/>
          <w:color w:val="auto"/>
        </w:rPr>
      </w:pPr>
    </w:p>
    <w:p>
      <w:pPr>
        <w:jc w:val="both"/>
        <w:ind w:left="640"/>
        <w:spacing w:after="0" w:line="263" w:lineRule="auto"/>
        <w:rPr>
          <w:sz w:val="20"/>
          <w:szCs w:val="20"/>
          <w:color w:val="auto"/>
        </w:rPr>
      </w:pPr>
      <w:r>
        <w:rPr>
          <w:rFonts w:ascii="Verdana" w:cs="Verdana" w:eastAsia="Verdana" w:hAnsi="Verdana"/>
          <w:sz w:val="16"/>
          <w:szCs w:val="16"/>
          <w:color w:val="auto"/>
        </w:rPr>
        <w:t xml:space="preserve">Upon a Termination of Service by reason of an Eligible Termination (as defined below), the Participant shall continue to be eligible to receive a Final Award, if any, as though the Participant was continuously employed by the Company, including any of its Subsidiaries, throughout the Performance Period. At the end of the Performance Period, the Company will determine the Final Award that the Participant would have received had the Participant been continuously employed by the Company throughout the Performance Period in accordance with </w:t>
      </w:r>
      <w:r>
        <w:rPr>
          <w:rFonts w:ascii="Verdana" w:cs="Verdana" w:eastAsia="Verdana" w:hAnsi="Verdana"/>
          <w:sz w:val="16"/>
          <w:szCs w:val="16"/>
          <w:u w:val="single" w:color="auto"/>
          <w:color w:val="auto"/>
        </w:rPr>
        <w:t>Sections 1</w:t>
      </w:r>
      <w:r>
        <w:rPr>
          <w:rFonts w:ascii="Verdana" w:cs="Verdana" w:eastAsia="Verdana" w:hAnsi="Verdana"/>
          <w:sz w:val="16"/>
          <w:szCs w:val="16"/>
          <w:color w:val="auto"/>
        </w:rPr>
        <w:t xml:space="preserve"> and </w:t>
      </w:r>
      <w:r>
        <w:rPr>
          <w:rFonts w:ascii="Verdana" w:cs="Verdana" w:eastAsia="Verdana" w:hAnsi="Verdana"/>
          <w:sz w:val="16"/>
          <w:szCs w:val="16"/>
          <w:u w:val="single" w:color="auto"/>
          <w:color w:val="auto"/>
        </w:rPr>
        <w:t>2</w:t>
      </w:r>
      <w:r>
        <w:rPr>
          <w:rFonts w:ascii="Verdana" w:cs="Verdana" w:eastAsia="Verdana" w:hAnsi="Verdana"/>
          <w:sz w:val="16"/>
          <w:szCs w:val="16"/>
          <w:color w:val="auto"/>
        </w:rPr>
        <w:t xml:space="preserve"> (the “</w:t>
      </w:r>
      <w:r>
        <w:rPr>
          <w:rFonts w:ascii="Verdana" w:cs="Verdana" w:eastAsia="Verdana" w:hAnsi="Verdana"/>
          <w:sz w:val="16"/>
          <w:szCs w:val="16"/>
          <w:u w:val="single" w:color="auto"/>
          <w:color w:val="auto"/>
        </w:rPr>
        <w:t>Performance</w:t>
      </w:r>
      <w:r>
        <w:rPr>
          <w:rFonts w:ascii="Verdana" w:cs="Verdana" w:eastAsia="Verdana" w:hAnsi="Verdana"/>
          <w:sz w:val="16"/>
          <w:szCs w:val="16"/>
          <w:color w:val="auto"/>
        </w:rPr>
        <w:t xml:space="preserve"> </w:t>
      </w:r>
      <w:r>
        <w:rPr>
          <w:rFonts w:ascii="Verdana" w:cs="Verdana" w:eastAsia="Verdana" w:hAnsi="Verdana"/>
          <w:sz w:val="16"/>
          <w:szCs w:val="16"/>
          <w:u w:val="single" w:color="auto"/>
          <w:color w:val="auto"/>
        </w:rPr>
        <w:t>Award</w:t>
      </w:r>
      <w:r>
        <w:rPr>
          <w:rFonts w:ascii="Verdana" w:cs="Verdana" w:eastAsia="Verdana" w:hAnsi="Verdana"/>
          <w:sz w:val="16"/>
          <w:szCs w:val="16"/>
          <w:color w:val="auto"/>
        </w:rPr>
        <w:t>”). The Performance Award shall then be pro-rated such that the total number of shares of Common Stock paid to the Participant shall be the percentage of the Performance Award that is equal to the percentage of time that the Participant was actually continuously employed by the Company, including any of its Subsidiaries, during the Performance Period (the “</w:t>
      </w:r>
      <w:r>
        <w:rPr>
          <w:rFonts w:ascii="Verdana" w:cs="Verdana" w:eastAsia="Verdana" w:hAnsi="Verdana"/>
          <w:sz w:val="16"/>
          <w:szCs w:val="16"/>
          <w:u w:val="single" w:color="auto"/>
          <w:color w:val="auto"/>
        </w:rPr>
        <w:t>Pro-rated Performance Award</w:t>
      </w:r>
      <w:r>
        <w:rPr>
          <w:rFonts w:ascii="Verdana" w:cs="Verdana" w:eastAsia="Verdana" w:hAnsi="Verdana"/>
          <w:sz w:val="16"/>
          <w:szCs w:val="16"/>
          <w:color w:val="auto"/>
        </w:rPr>
        <w:t xml:space="preserve">”). The Pro-rated Performance Award shall become payable to the Participant on the later to occur of (A) the date that the Final Award would have be delivered in accordance with </w:t>
      </w:r>
      <w:r>
        <w:rPr>
          <w:rFonts w:ascii="Verdana" w:cs="Verdana" w:eastAsia="Verdana" w:hAnsi="Verdana"/>
          <w:sz w:val="16"/>
          <w:szCs w:val="16"/>
          <w:u w:val="single" w:color="auto"/>
          <w:color w:val="auto"/>
        </w:rPr>
        <w:t>Section 3</w:t>
      </w:r>
      <w:r>
        <w:rPr>
          <w:rFonts w:ascii="Verdana" w:cs="Verdana" w:eastAsia="Verdana" w:hAnsi="Verdana"/>
          <w:sz w:val="16"/>
          <w:szCs w:val="16"/>
          <w:color w:val="auto"/>
        </w:rPr>
        <w:t xml:space="preserve"> had the Participant been continuously employed by the Company throughout the Performance Period, and (B) on or about the fifteenth (15th) day of the month that follows the month in which the Release (as defined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2960" w:val="left"/>
        </w:tabs>
        <w:rPr>
          <w:sz w:val="20"/>
          <w:szCs w:val="20"/>
          <w:color w:val="auto"/>
        </w:rPr>
      </w:pPr>
      <w:r>
        <w:rPr>
          <w:rFonts w:ascii="Verdana" w:cs="Verdana" w:eastAsia="Verdana" w:hAnsi="Verdana"/>
          <w:sz w:val="16"/>
          <w:szCs w:val="16"/>
          <w:color w:val="auto"/>
        </w:rPr>
        <w:t>2026 RPSU Agreement (SVP_EVP)</w:t>
      </w:r>
      <w:r>
        <w:rPr>
          <w:sz w:val="20"/>
          <w:szCs w:val="20"/>
          <w:color w:val="auto"/>
        </w:rPr>
        <w:tab/>
      </w:r>
      <w:r>
        <w:rPr>
          <w:rFonts w:ascii="Verdana" w:cs="Verdana" w:eastAsia="Verdana" w:hAnsi="Verdana"/>
          <w:sz w:val="15"/>
          <w:szCs w:val="15"/>
          <w:color w:val="auto"/>
        </w:rPr>
        <w:t>8</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200" w:lineRule="exact"/>
        <w:rPr>
          <w:sz w:val="20"/>
          <w:szCs w:val="20"/>
          <w:color w:val="auto"/>
        </w:rPr>
      </w:pPr>
    </w:p>
    <w:p>
      <w:pPr>
        <w:spacing w:after="0" w:line="232" w:lineRule="exact"/>
        <w:rPr>
          <w:sz w:val="20"/>
          <w:szCs w:val="20"/>
          <w:color w:val="auto"/>
        </w:rPr>
      </w:pPr>
    </w:p>
    <w:p>
      <w:pPr>
        <w:jc w:val="both"/>
        <w:ind w:left="640"/>
        <w:spacing w:after="0" w:line="259" w:lineRule="auto"/>
        <w:rPr>
          <w:sz w:val="20"/>
          <w:szCs w:val="20"/>
          <w:color w:val="auto"/>
        </w:rPr>
      </w:pPr>
      <w:r>
        <w:rPr>
          <w:rFonts w:ascii="Verdana" w:cs="Verdana" w:eastAsia="Verdana" w:hAnsi="Verdana"/>
          <w:sz w:val="16"/>
          <w:szCs w:val="16"/>
          <w:color w:val="auto"/>
        </w:rPr>
        <w:t>below) becomes irrevocable; provided, that (i) in the event the aggregate consideration and revocation period applicable to the Release ends after December 15 or spans two (2) calendar years, the applicable date under this clause (B) will be on or about January 15 of the second calendar year and, (ii) in the event the aggregate consideration and revocation period applicable to the Release ends on or before December 15, the applicable date under this clause</w:t>
      </w:r>
    </w:p>
    <w:p>
      <w:pPr>
        <w:spacing w:after="0" w:line="3" w:lineRule="exact"/>
        <w:rPr>
          <w:sz w:val="20"/>
          <w:szCs w:val="20"/>
          <w:color w:val="auto"/>
        </w:rPr>
      </w:pPr>
    </w:p>
    <w:p>
      <w:pPr>
        <w:jc w:val="both"/>
        <w:ind w:left="640" w:hanging="3"/>
        <w:spacing w:after="0" w:line="235" w:lineRule="auto"/>
        <w:tabs>
          <w:tab w:leader="none" w:pos="994" w:val="left"/>
        </w:tabs>
        <w:numPr>
          <w:ilvl w:val="0"/>
          <w:numId w:val="174"/>
        </w:numPr>
        <w:rPr>
          <w:rFonts w:ascii="Verdana" w:cs="Verdana" w:eastAsia="Verdana" w:hAnsi="Verdana"/>
          <w:sz w:val="18"/>
          <w:szCs w:val="18"/>
          <w:color w:val="auto"/>
        </w:rPr>
      </w:pPr>
      <w:r>
        <w:rPr>
          <w:rFonts w:ascii="Verdana" w:cs="Verdana" w:eastAsia="Verdana" w:hAnsi="Verdana"/>
          <w:sz w:val="18"/>
          <w:szCs w:val="18"/>
          <w:color w:val="auto"/>
        </w:rPr>
        <w:t xml:space="preserve">will be December 20th. Upon becoming payable, the Pro-rated Performance Award shall be paid to the Participant in accordance with </w:t>
      </w:r>
      <w:r>
        <w:rPr>
          <w:rFonts w:ascii="Verdana" w:cs="Verdana" w:eastAsia="Verdana" w:hAnsi="Verdana"/>
          <w:sz w:val="18"/>
          <w:szCs w:val="18"/>
          <w:u w:val="single" w:color="auto"/>
          <w:color w:val="auto"/>
        </w:rPr>
        <w:t>Section 3</w:t>
      </w:r>
      <w:r>
        <w:rPr>
          <w:rFonts w:ascii="Verdana" w:cs="Verdana" w:eastAsia="Verdana" w:hAnsi="Verdana"/>
          <w:sz w:val="18"/>
          <w:szCs w:val="18"/>
          <w:color w:val="auto"/>
        </w:rPr>
        <w:t xml:space="preserve">, provided, for the avoidance of doubt, that any payment pursuant to </w:t>
      </w:r>
      <w:r>
        <w:rPr>
          <w:rFonts w:ascii="Verdana" w:cs="Verdana" w:eastAsia="Verdana" w:hAnsi="Verdana"/>
          <w:sz w:val="18"/>
          <w:szCs w:val="18"/>
          <w:u w:val="single" w:color="auto"/>
          <w:color w:val="auto"/>
        </w:rPr>
        <w:t>Section 3</w:t>
      </w:r>
      <w:r>
        <w:rPr>
          <w:rFonts w:ascii="Verdana" w:cs="Verdana" w:eastAsia="Verdana" w:hAnsi="Verdana"/>
          <w:sz w:val="18"/>
          <w:szCs w:val="18"/>
          <w:color w:val="auto"/>
        </w:rPr>
        <w:t xml:space="preserve"> with respect to a Pro-Rated Award shall be made within two and one-half months of the end of such calendar year, and shall be subject to the Post-Settlement Holding Period.</w:t>
      </w:r>
    </w:p>
    <w:p>
      <w:pPr>
        <w:spacing w:after="0" w:line="196" w:lineRule="exact"/>
        <w:rPr>
          <w:sz w:val="20"/>
          <w:szCs w:val="20"/>
          <w:color w:val="auto"/>
        </w:rPr>
      </w:pPr>
    </w:p>
    <w:p>
      <w:pPr>
        <w:jc w:val="both"/>
        <w:ind w:left="640"/>
        <w:spacing w:after="0" w:line="265" w:lineRule="auto"/>
        <w:rPr>
          <w:sz w:val="20"/>
          <w:szCs w:val="20"/>
          <w:color w:val="auto"/>
        </w:rPr>
      </w:pPr>
      <w:r>
        <w:rPr>
          <w:rFonts w:ascii="Verdana" w:cs="Verdana" w:eastAsia="Verdana" w:hAnsi="Verdana"/>
          <w:sz w:val="16"/>
          <w:szCs w:val="16"/>
          <w:color w:val="auto"/>
        </w:rPr>
        <w:t xml:space="preserve">For purposes of this </w:t>
      </w:r>
      <w:r>
        <w:rPr>
          <w:rFonts w:ascii="Verdana" w:cs="Verdana" w:eastAsia="Verdana" w:hAnsi="Verdana"/>
          <w:sz w:val="16"/>
          <w:szCs w:val="16"/>
          <w:u w:val="single" w:color="auto"/>
          <w:color w:val="auto"/>
        </w:rPr>
        <w:t>Section 8(e)</w:t>
      </w:r>
      <w:r>
        <w:rPr>
          <w:rFonts w:ascii="Verdana" w:cs="Verdana" w:eastAsia="Verdana" w:hAnsi="Verdana"/>
          <w:sz w:val="16"/>
          <w:szCs w:val="16"/>
          <w:color w:val="auto"/>
        </w:rPr>
        <w:t>, “</w:t>
      </w:r>
      <w:r>
        <w:rPr>
          <w:rFonts w:ascii="Verdana" w:cs="Verdana" w:eastAsia="Verdana" w:hAnsi="Verdana"/>
          <w:sz w:val="16"/>
          <w:szCs w:val="16"/>
          <w:u w:val="single" w:color="auto"/>
          <w:color w:val="auto"/>
        </w:rPr>
        <w:t>Eligible Termination</w:t>
      </w:r>
      <w:r>
        <w:rPr>
          <w:rFonts w:ascii="Verdana" w:cs="Verdana" w:eastAsia="Verdana" w:hAnsi="Verdana"/>
          <w:sz w:val="16"/>
          <w:szCs w:val="16"/>
          <w:color w:val="auto"/>
        </w:rPr>
        <w:t>” means an involuntary Termination of Service in connection with the sale of a business segment, restructuring or reduction in workforce. In order to be deemed an Eligible Termination, the Participant must execute and not revoke a general release of claims in favor of the Company in a form and with terms and conditions drafted by and acceptable to the Company, which is executed, and not revoked, by the Participant as a condition to receiving the benefit described herein (the “</w:t>
      </w:r>
      <w:r>
        <w:rPr>
          <w:rFonts w:ascii="Verdana" w:cs="Verdana" w:eastAsia="Verdana" w:hAnsi="Verdana"/>
          <w:sz w:val="16"/>
          <w:szCs w:val="16"/>
          <w:u w:val="single" w:color="auto"/>
          <w:color w:val="auto"/>
        </w:rPr>
        <w:t>Release</w:t>
      </w:r>
      <w:r>
        <w:rPr>
          <w:rFonts w:ascii="Verdana" w:cs="Verdana" w:eastAsia="Verdana" w:hAnsi="Verdana"/>
          <w:sz w:val="16"/>
          <w:szCs w:val="16"/>
          <w:color w:val="auto"/>
        </w:rPr>
        <w:t xml:space="preserve">”). For the avoidance of doubt: (i) an involuntary Termination of Service by reason of a Change in Control, Cause, death, Disability, Good Reason, or not for Cause is not an Eligible Termination and (ii) in the event an Eligible Termination occurs and the Participant also meets the requirements for Retirement, the Award shall be paid in accordance with </w:t>
      </w:r>
      <w:r>
        <w:rPr>
          <w:rFonts w:ascii="Verdana" w:cs="Verdana" w:eastAsia="Verdana" w:hAnsi="Verdana"/>
          <w:sz w:val="16"/>
          <w:szCs w:val="16"/>
          <w:u w:val="single" w:color="auto"/>
          <w:color w:val="auto"/>
        </w:rPr>
        <w:t>Section 8(b)</w:t>
      </w:r>
      <w:r>
        <w:rPr>
          <w:rFonts w:ascii="Verdana" w:cs="Verdana" w:eastAsia="Verdana" w:hAnsi="Verdana"/>
          <w:sz w:val="16"/>
          <w:szCs w:val="16"/>
          <w:color w:val="auto"/>
        </w:rPr>
        <w:t>. The Company shall determine, in its sole and absolute discretion, whether a Termination of Service was by reason of an Eligible Termination.</w:t>
      </w:r>
    </w:p>
    <w:p>
      <w:pPr>
        <w:spacing w:after="0" w:line="147" w:lineRule="exact"/>
        <w:rPr>
          <w:sz w:val="20"/>
          <w:szCs w:val="20"/>
          <w:color w:val="auto"/>
        </w:rPr>
      </w:pPr>
    </w:p>
    <w:p>
      <w:pPr>
        <w:ind w:left="1260" w:hanging="623"/>
        <w:spacing w:after="0" w:line="226" w:lineRule="auto"/>
        <w:tabs>
          <w:tab w:leader="none" w:pos="1248" w:val="left"/>
        </w:tabs>
        <w:numPr>
          <w:ilvl w:val="0"/>
          <w:numId w:val="175"/>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Termination of Service Other Than as a Result of Death, Retirement, Disability, Eligible Termination, or Change in Control</w:t>
      </w:r>
    </w:p>
    <w:p>
      <w:pPr>
        <w:spacing w:after="0" w:line="180" w:lineRule="exact"/>
        <w:rPr>
          <w:sz w:val="20"/>
          <w:szCs w:val="20"/>
          <w:color w:val="auto"/>
        </w:rPr>
      </w:pPr>
    </w:p>
    <w:p>
      <w:pPr>
        <w:jc w:val="both"/>
        <w:ind w:left="640"/>
        <w:spacing w:after="0" w:line="234" w:lineRule="auto"/>
        <w:rPr>
          <w:sz w:val="20"/>
          <w:szCs w:val="20"/>
          <w:color w:val="auto"/>
        </w:rPr>
      </w:pPr>
      <w:r>
        <w:rPr>
          <w:rFonts w:ascii="Verdana" w:cs="Verdana" w:eastAsia="Verdana" w:hAnsi="Verdana"/>
          <w:sz w:val="18"/>
          <w:szCs w:val="18"/>
          <w:color w:val="auto"/>
        </w:rPr>
        <w:t>Upon a Termination of Service by any reason other than death, Retirement, Disability, Eligible Termination or without Cause in connection with a Change in Control, including, without limitation, as a result of retirement or disability that does not meet the requirements set forth in the definitions of such terms in the Plan, voluntary resignation or termination for Cause, any award or right granted hereunder shall expire and be forfeited, and no Final Award or dividend equivalent related thereto shall be paid.</w:t>
      </w:r>
    </w:p>
    <w:p>
      <w:pPr>
        <w:spacing w:after="0" w:line="170" w:lineRule="exact"/>
        <w:rPr>
          <w:sz w:val="20"/>
          <w:szCs w:val="20"/>
          <w:color w:val="auto"/>
        </w:rPr>
      </w:pPr>
    </w:p>
    <w:p>
      <w:pPr>
        <w:ind w:left="1260" w:hanging="623"/>
        <w:spacing w:after="0"/>
        <w:tabs>
          <w:tab w:leader="none" w:pos="1260" w:val="left"/>
        </w:tabs>
        <w:numPr>
          <w:ilvl w:val="0"/>
          <w:numId w:val="176"/>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Clawback/Repayment as a Result of Misconduct</w:t>
      </w:r>
    </w:p>
    <w:p>
      <w:pPr>
        <w:spacing w:after="0" w:line="189" w:lineRule="exact"/>
        <w:rPr>
          <w:sz w:val="20"/>
          <w:szCs w:val="20"/>
          <w:color w:val="auto"/>
        </w:rPr>
      </w:pPr>
    </w:p>
    <w:p>
      <w:pPr>
        <w:jc w:val="both"/>
        <w:ind w:left="640"/>
        <w:spacing w:after="0" w:line="232" w:lineRule="auto"/>
        <w:rPr>
          <w:sz w:val="20"/>
          <w:szCs w:val="20"/>
          <w:color w:val="auto"/>
        </w:rPr>
      </w:pPr>
      <w:r>
        <w:rPr>
          <w:rFonts w:ascii="Verdana" w:cs="Verdana" w:eastAsia="Verdana" w:hAnsi="Verdana"/>
          <w:sz w:val="18"/>
          <w:szCs w:val="18"/>
          <w:color w:val="auto"/>
        </w:rPr>
        <w:t>Unless otherwise determined by the Committee, if the Company is required to prepare a material restatement of its financial statements as a result of misconduct, and the Committee determines that the Participant knowingly engaged in the misconduct, was grossly negligent with respect to such misconduct, or acted knowingly or with gross negligence in failing to prevent the misconduct, or the Committee concludes that the Participant engaged in willful fraud, embezzlement or other similar activity (including acts of omission) materially detrimental to the Company, the Company may require the Participant (or the Participant’s beneficiary) to reimburse the Company for all or any portion of the Final Award, and/or to forfeit the proceeds of any sale (including any sales to the Company) of any Company securities acquired by or on behalf of the Participant (or the Participant’s beneficiary) pursuant to the Final Award paid under this Agreement during the twelve (12) month period following the first public filing of the financial document requiring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2960" w:val="left"/>
        </w:tabs>
        <w:rPr>
          <w:sz w:val="20"/>
          <w:szCs w:val="20"/>
          <w:color w:val="auto"/>
        </w:rPr>
      </w:pPr>
      <w:r>
        <w:rPr>
          <w:rFonts w:ascii="Verdana" w:cs="Verdana" w:eastAsia="Verdana" w:hAnsi="Verdana"/>
          <w:sz w:val="16"/>
          <w:szCs w:val="16"/>
          <w:color w:val="auto"/>
        </w:rPr>
        <w:t>2026 RPSU Agreement (SVP_EVP)</w:t>
      </w:r>
      <w:r>
        <w:rPr>
          <w:sz w:val="20"/>
          <w:szCs w:val="20"/>
          <w:color w:val="auto"/>
        </w:rPr>
        <w:tab/>
      </w:r>
      <w:r>
        <w:rPr>
          <w:rFonts w:ascii="Verdana" w:cs="Verdana" w:eastAsia="Verdana" w:hAnsi="Verdana"/>
          <w:sz w:val="15"/>
          <w:szCs w:val="15"/>
          <w:color w:val="auto"/>
        </w:rPr>
        <w:t>9</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200" w:lineRule="exact"/>
        <w:rPr>
          <w:sz w:val="20"/>
          <w:szCs w:val="20"/>
          <w:color w:val="auto"/>
        </w:rPr>
      </w:pPr>
    </w:p>
    <w:p>
      <w:pPr>
        <w:spacing w:after="0" w:line="232" w:lineRule="exact"/>
        <w:rPr>
          <w:sz w:val="20"/>
          <w:szCs w:val="20"/>
          <w:color w:val="auto"/>
        </w:rPr>
      </w:pPr>
    </w:p>
    <w:p>
      <w:pPr>
        <w:jc w:val="both"/>
        <w:ind w:left="640"/>
        <w:spacing w:after="0" w:line="234" w:lineRule="auto"/>
        <w:rPr>
          <w:sz w:val="20"/>
          <w:szCs w:val="20"/>
          <w:color w:val="auto"/>
        </w:rPr>
      </w:pPr>
      <w:r>
        <w:rPr>
          <w:rFonts w:ascii="Verdana" w:cs="Verdana" w:eastAsia="Verdana" w:hAnsi="Verdana"/>
          <w:sz w:val="18"/>
          <w:szCs w:val="18"/>
          <w:color w:val="auto"/>
        </w:rPr>
        <w:t>or during the twelve (12) month period following the date of the Participant’s misconduct, including any Awarded Shares subject to the Post-Settlement Holding Period. To the extent that the Participant is subject to the Company’s Clawback Policy, effective as of October 1, 2023, as it may be amended from time to time (the “</w:t>
      </w:r>
      <w:r>
        <w:rPr>
          <w:rFonts w:ascii="Verdana" w:cs="Verdana" w:eastAsia="Verdana" w:hAnsi="Verdana"/>
          <w:sz w:val="18"/>
          <w:szCs w:val="18"/>
          <w:u w:val="single" w:color="auto"/>
          <w:color w:val="auto"/>
        </w:rPr>
        <w:t>Clawback Policy</w:t>
      </w:r>
      <w:r>
        <w:rPr>
          <w:rFonts w:ascii="Verdana" w:cs="Verdana" w:eastAsia="Verdana" w:hAnsi="Verdana"/>
          <w:sz w:val="18"/>
          <w:szCs w:val="18"/>
          <w:color w:val="auto"/>
        </w:rPr>
        <w:t>”), notwithstanding the foregoing, the Clawback Policy shall be applicable to this Agreement and any award or right granted hereunder.</w:t>
      </w:r>
    </w:p>
    <w:p>
      <w:pPr>
        <w:spacing w:after="0" w:line="170" w:lineRule="exact"/>
        <w:rPr>
          <w:sz w:val="20"/>
          <w:szCs w:val="20"/>
          <w:color w:val="auto"/>
        </w:rPr>
      </w:pPr>
    </w:p>
    <w:p>
      <w:pPr>
        <w:ind w:left="620" w:hanging="615"/>
        <w:spacing w:after="0"/>
        <w:tabs>
          <w:tab w:leader="none" w:pos="620" w:val="left"/>
        </w:tabs>
        <w:numPr>
          <w:ilvl w:val="0"/>
          <w:numId w:val="177"/>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Committee Authority</w:t>
      </w:r>
    </w:p>
    <w:p>
      <w:pPr>
        <w:spacing w:after="0" w:line="202" w:lineRule="exact"/>
        <w:rPr>
          <w:rFonts w:ascii="Verdana" w:cs="Verdana" w:eastAsia="Verdana" w:hAnsi="Verdana"/>
          <w:sz w:val="18"/>
          <w:szCs w:val="18"/>
          <w:b w:val="1"/>
          <w:bCs w:val="1"/>
          <w:color w:val="auto"/>
        </w:rPr>
      </w:pPr>
    </w:p>
    <w:p>
      <w:pPr>
        <w:jc w:val="both"/>
        <w:ind w:left="640"/>
        <w:spacing w:after="0" w:line="280" w:lineRule="auto"/>
        <w:rPr>
          <w:rFonts w:ascii="Verdana" w:cs="Verdana" w:eastAsia="Verdana" w:hAnsi="Verdana"/>
          <w:sz w:val="18"/>
          <w:szCs w:val="18"/>
          <w:b w:val="1"/>
          <w:bCs w:val="1"/>
          <w:color w:val="auto"/>
        </w:rPr>
      </w:pPr>
      <w:r>
        <w:rPr>
          <w:rFonts w:ascii="Verdana" w:cs="Verdana" w:eastAsia="Verdana" w:hAnsi="Verdana"/>
          <w:sz w:val="16"/>
          <w:szCs w:val="16"/>
          <w:color w:val="auto"/>
        </w:rPr>
        <w:t>Any question concerning the interpretation of this Agreement, any adjustments required to be made under the Plan, and any controversy that may arise under the Plan or the Grant Agreement shall be determined by the Committee in its sole discretion. Any decisions by the Committee regarding the Plan or this Agreement shall be final and binding.</w:t>
      </w:r>
    </w:p>
    <w:p>
      <w:pPr>
        <w:spacing w:after="0" w:line="135" w:lineRule="exact"/>
        <w:rPr>
          <w:rFonts w:ascii="Verdana" w:cs="Verdana" w:eastAsia="Verdana" w:hAnsi="Verdana"/>
          <w:sz w:val="18"/>
          <w:szCs w:val="18"/>
          <w:b w:val="1"/>
          <w:bCs w:val="1"/>
          <w:color w:val="auto"/>
        </w:rPr>
      </w:pPr>
    </w:p>
    <w:p>
      <w:pPr>
        <w:ind w:left="640" w:hanging="635"/>
        <w:spacing w:after="0"/>
        <w:tabs>
          <w:tab w:leader="none" w:pos="640" w:val="left"/>
        </w:tabs>
        <w:numPr>
          <w:ilvl w:val="0"/>
          <w:numId w:val="177"/>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Plan Controls</w:t>
      </w:r>
    </w:p>
    <w:p>
      <w:pPr>
        <w:spacing w:after="0" w:line="189" w:lineRule="exact"/>
        <w:rPr>
          <w:rFonts w:ascii="Verdana" w:cs="Verdana" w:eastAsia="Verdana" w:hAnsi="Verdana"/>
          <w:sz w:val="18"/>
          <w:szCs w:val="18"/>
          <w:b w:val="1"/>
          <w:bCs w:val="1"/>
          <w:color w:val="auto"/>
        </w:rPr>
      </w:pPr>
    </w:p>
    <w:p>
      <w:pPr>
        <w:jc w:val="both"/>
        <w:ind w:left="640"/>
        <w:spacing w:after="0" w:line="237" w:lineRule="auto"/>
        <w:rPr>
          <w:rFonts w:ascii="Verdana" w:cs="Verdana" w:eastAsia="Verdana" w:hAnsi="Verdana"/>
          <w:sz w:val="18"/>
          <w:szCs w:val="18"/>
          <w:b w:val="1"/>
          <w:bCs w:val="1"/>
          <w:color w:val="auto"/>
        </w:rPr>
      </w:pPr>
      <w:r>
        <w:rPr>
          <w:rFonts w:ascii="Verdana" w:cs="Verdana" w:eastAsia="Verdana" w:hAnsi="Verdana"/>
          <w:sz w:val="18"/>
          <w:szCs w:val="18"/>
          <w:color w:val="auto"/>
        </w:rPr>
        <w:t>The terms of this Agreement are governed by the terms of the Plan, as it exists on the Date of the Grant and as the Plan may be amended from time to time thereafter. In the event of any conflict between the provisions of this Agreement and the provisions of the Plan, the terms of the Plan shall control.</w:t>
      </w:r>
    </w:p>
    <w:p>
      <w:pPr>
        <w:spacing w:after="0" w:line="167" w:lineRule="exact"/>
        <w:rPr>
          <w:rFonts w:ascii="Verdana" w:cs="Verdana" w:eastAsia="Verdana" w:hAnsi="Verdana"/>
          <w:sz w:val="18"/>
          <w:szCs w:val="18"/>
          <w:b w:val="1"/>
          <w:bCs w:val="1"/>
          <w:color w:val="auto"/>
        </w:rPr>
      </w:pPr>
    </w:p>
    <w:p>
      <w:pPr>
        <w:ind w:left="640" w:hanging="635"/>
        <w:spacing w:after="0"/>
        <w:tabs>
          <w:tab w:leader="none" w:pos="640" w:val="left"/>
        </w:tabs>
        <w:numPr>
          <w:ilvl w:val="0"/>
          <w:numId w:val="177"/>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Limitation on Rights; No Right to Future Grants</w:t>
      </w:r>
    </w:p>
    <w:p>
      <w:pPr>
        <w:spacing w:after="0" w:line="189" w:lineRule="exact"/>
        <w:rPr>
          <w:rFonts w:ascii="Verdana" w:cs="Verdana" w:eastAsia="Verdana" w:hAnsi="Verdana"/>
          <w:sz w:val="18"/>
          <w:szCs w:val="18"/>
          <w:b w:val="1"/>
          <w:bCs w:val="1"/>
          <w:color w:val="auto"/>
        </w:rPr>
      </w:pPr>
    </w:p>
    <w:p>
      <w:pPr>
        <w:jc w:val="both"/>
        <w:ind w:left="640"/>
        <w:spacing w:after="0" w:line="262" w:lineRule="auto"/>
        <w:rPr>
          <w:rFonts w:ascii="Verdana" w:cs="Verdana" w:eastAsia="Verdana" w:hAnsi="Verdana"/>
          <w:sz w:val="18"/>
          <w:szCs w:val="18"/>
          <w:b w:val="1"/>
          <w:bCs w:val="1"/>
          <w:color w:val="auto"/>
        </w:rPr>
      </w:pPr>
      <w:r>
        <w:rPr>
          <w:rFonts w:ascii="Verdana" w:cs="Verdana" w:eastAsia="Verdana" w:hAnsi="Verdana"/>
          <w:sz w:val="16"/>
          <w:szCs w:val="16"/>
          <w:color w:val="auto"/>
        </w:rPr>
        <w:t xml:space="preserve">By entering into this Agreement and accepting this Award, the Participant acknowledges that: (a) the Plan is discretionary and may be modified, suspended or terminated by the Company at any time, as provided in the Plan; </w:t>
      </w:r>
      <w:r>
        <w:rPr>
          <w:rFonts w:ascii="Verdana" w:cs="Verdana" w:eastAsia="Verdana" w:hAnsi="Verdana"/>
          <w:sz w:val="16"/>
          <w:szCs w:val="16"/>
          <w:u w:val="single" w:color="auto"/>
          <w:color w:val="auto"/>
        </w:rPr>
        <w:t>provided</w:t>
      </w:r>
      <w:r>
        <w:rPr>
          <w:rFonts w:ascii="Verdana" w:cs="Verdana" w:eastAsia="Verdana" w:hAnsi="Verdana"/>
          <w:sz w:val="16"/>
          <w:szCs w:val="16"/>
          <w:color w:val="auto"/>
        </w:rPr>
        <w:t xml:space="preserve"> that, except as provided in </w:t>
      </w:r>
      <w:r>
        <w:rPr>
          <w:rFonts w:ascii="Verdana" w:cs="Verdana" w:eastAsia="Verdana" w:hAnsi="Verdana"/>
          <w:sz w:val="16"/>
          <w:szCs w:val="16"/>
          <w:u w:val="single" w:color="auto"/>
          <w:color w:val="auto"/>
        </w:rPr>
        <w:t>Section 18</w:t>
      </w:r>
      <w:r>
        <w:rPr>
          <w:rFonts w:ascii="Verdana" w:cs="Verdana" w:eastAsia="Verdana" w:hAnsi="Verdana"/>
          <w:sz w:val="16"/>
          <w:szCs w:val="16"/>
          <w:color w:val="auto"/>
        </w:rPr>
        <w:t xml:space="preserve"> of the Plan, no amendment to this Agreement shall adversely affect in a material manner the Participant’s rights hereunder without his or her written consent; (b) the grant of any award hereunder is a one-time benefit and does not create any contractual or other right to receive future grants of awards or benefits in lieu of awards; (c) all determinations with respect to any such future grants, including, but not limited to, the times when awards will be granted, the number of shares subject to each award, the award price, if any, and the time or times when each award will be settled, will be at the sole discretion of the Company; (d) participation in the Plan is voluntary; (e) the value of an award is an extraordinary item that is outside the scope of the Participant’s employment contract, if any, unless expressly provided for in any such employment contract; (f) an award is not part of normal or expected compensation for any purpose, including without limitation for calculating any benefits, severance, resignation, termination, redundancy, end of service payments, bonuses, long-service awards, pension or retirement benefits or similar payments, and the Participant will have no entitlement to compensation or damages as a consequence of any forfeiture pursuant to </w:t>
      </w:r>
      <w:r>
        <w:rPr>
          <w:rFonts w:ascii="Verdana" w:cs="Verdana" w:eastAsia="Verdana" w:hAnsi="Verdana"/>
          <w:sz w:val="16"/>
          <w:szCs w:val="16"/>
          <w:u w:val="single" w:color="auto"/>
          <w:color w:val="auto"/>
        </w:rPr>
        <w:t>Section 8</w:t>
      </w:r>
      <w:r>
        <w:rPr>
          <w:rFonts w:ascii="Verdana" w:cs="Verdana" w:eastAsia="Verdana" w:hAnsi="Verdana"/>
          <w:sz w:val="16"/>
          <w:szCs w:val="16"/>
          <w:color w:val="auto"/>
        </w:rPr>
        <w:t>; (g) the future value of the Common Stock subject to the award is unknown and cannot be predicted with certainty; (h) neither the Plan, the award nor the issuance of the shares underlying the award confers upon the Participant any right to continue in the employ or service of (or any other relationship with) the Company or any Subsidiary, nor do they limit in any respect the right of the Company or any Subsidiary to terminate the Participant’s employment or other relationship with the Company or any Subsidiary, as the case may be, at any time with or without Cause; and (i) the grant of the award will not be interpreted to form an employment relationship or contract with the Company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2960" w:val="left"/>
        </w:tabs>
        <w:rPr>
          <w:sz w:val="20"/>
          <w:szCs w:val="20"/>
          <w:color w:val="auto"/>
        </w:rPr>
      </w:pPr>
      <w:r>
        <w:rPr>
          <w:rFonts w:ascii="Verdana" w:cs="Verdana" w:eastAsia="Verdana" w:hAnsi="Verdana"/>
          <w:sz w:val="16"/>
          <w:szCs w:val="16"/>
          <w:color w:val="auto"/>
        </w:rPr>
        <w:t>2026 RPSU Agreement (SVP_EVP)</w:t>
      </w:r>
      <w:r>
        <w:rPr>
          <w:sz w:val="20"/>
          <w:szCs w:val="20"/>
          <w:color w:val="auto"/>
        </w:rPr>
        <w:tab/>
      </w:r>
      <w:r>
        <w:rPr>
          <w:rFonts w:ascii="Verdana" w:cs="Verdana" w:eastAsia="Verdana" w:hAnsi="Verdana"/>
          <w:sz w:val="16"/>
          <w:szCs w:val="16"/>
          <w:color w:val="auto"/>
        </w:rPr>
        <w:t>10</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200" w:lineRule="exact"/>
        <w:rPr>
          <w:sz w:val="20"/>
          <w:szCs w:val="20"/>
          <w:color w:val="auto"/>
        </w:rPr>
      </w:pPr>
    </w:p>
    <w:p>
      <w:pPr>
        <w:spacing w:after="0" w:line="206" w:lineRule="exact"/>
        <w:rPr>
          <w:sz w:val="20"/>
          <w:szCs w:val="20"/>
          <w:color w:val="auto"/>
        </w:rPr>
      </w:pPr>
    </w:p>
    <w:p>
      <w:pPr>
        <w:ind w:left="640" w:hanging="635"/>
        <w:spacing w:after="0"/>
        <w:tabs>
          <w:tab w:leader="none" w:pos="640" w:val="left"/>
        </w:tabs>
        <w:numPr>
          <w:ilvl w:val="0"/>
          <w:numId w:val="178"/>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General Provisions</w:t>
      </w:r>
    </w:p>
    <w:p>
      <w:pPr>
        <w:spacing w:after="0" w:line="175" w:lineRule="exact"/>
        <w:rPr>
          <w:rFonts w:ascii="Verdana" w:cs="Verdana" w:eastAsia="Verdana" w:hAnsi="Verdana"/>
          <w:sz w:val="18"/>
          <w:szCs w:val="18"/>
          <w:b w:val="1"/>
          <w:bCs w:val="1"/>
          <w:color w:val="auto"/>
        </w:rPr>
      </w:pPr>
    </w:p>
    <w:p>
      <w:pPr>
        <w:ind w:left="1260" w:hanging="623"/>
        <w:spacing w:after="0"/>
        <w:tabs>
          <w:tab w:leader="none" w:pos="1260" w:val="left"/>
        </w:tabs>
        <w:numPr>
          <w:ilvl w:val="1"/>
          <w:numId w:val="178"/>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Notice</w:t>
      </w:r>
    </w:p>
    <w:p>
      <w:pPr>
        <w:spacing w:after="0" w:line="189" w:lineRule="exact"/>
        <w:rPr>
          <w:sz w:val="20"/>
          <w:szCs w:val="20"/>
          <w:color w:val="auto"/>
        </w:rPr>
      </w:pPr>
    </w:p>
    <w:p>
      <w:pPr>
        <w:jc w:val="both"/>
        <w:ind w:left="640"/>
        <w:spacing w:after="0" w:line="233" w:lineRule="auto"/>
        <w:rPr>
          <w:sz w:val="20"/>
          <w:szCs w:val="20"/>
          <w:color w:val="auto"/>
        </w:rPr>
      </w:pPr>
      <w:r>
        <w:rPr>
          <w:rFonts w:ascii="Verdana" w:cs="Verdana" w:eastAsia="Verdana" w:hAnsi="Verdana"/>
          <w:sz w:val="18"/>
          <w:szCs w:val="18"/>
          <w:color w:val="auto"/>
        </w:rPr>
        <w:t>Whenever any notice is required or permitted hereunder, such notice must be in writing and delivered in person or by mail (to the address set forth below if notice is being delivered to the Company) or electronically. Any notice delivered in person or by mail shall be deemed to be delivered on the date on which it is personally delivered, or, whether actually received or not, on the third business day after it is deposited in the United States mail, certified or registered, postage prepaid, addressed to the person who is to receive it at the address set forth in this Agreement. Any notices delivered electronically shall be deemed to be delivered when transmitted and receipt is confirmed. Notices delivered to the Participant in person or by mail shall be addressed to the address for the Participant in the records of the Company. Notices delivered to the Company in person or by mail shall be addressed as follows:</w:t>
      </w:r>
    </w:p>
    <w:p>
      <w:pPr>
        <w:sectPr>
          <w:pgSz w:w="11900" w:h="16838" w:orient="portrait"/>
          <w:cols w:equalWidth="0" w:num="1">
            <w:col w:w="11240"/>
          </w:cols>
          <w:pgMar w:left="320" w:top="1440" w:right="339" w:bottom="1440" w:gutter="0" w:footer="0" w:header="0"/>
        </w:sectPr>
      </w:pPr>
    </w:p>
    <w:p>
      <w:pPr>
        <w:spacing w:after="0" w:line="222" w:lineRule="exact"/>
        <w:rPr>
          <w:sz w:val="20"/>
          <w:szCs w:val="20"/>
          <w:color w:val="auto"/>
        </w:rPr>
      </w:pPr>
    </w:p>
    <w:p>
      <w:pPr>
        <w:ind w:left="1400"/>
        <w:spacing w:after="0"/>
        <w:rPr>
          <w:sz w:val="20"/>
          <w:szCs w:val="20"/>
          <w:color w:val="auto"/>
        </w:rPr>
      </w:pPr>
      <w:r>
        <w:rPr>
          <w:rFonts w:ascii="Verdana" w:cs="Verdana" w:eastAsia="Verdana" w:hAnsi="Verdana"/>
          <w:sz w:val="16"/>
          <w:szCs w:val="16"/>
          <w:color w:val="auto"/>
        </w:rPr>
        <w:t>Company:</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Verdana" w:cs="Verdana" w:eastAsia="Verdana" w:hAnsi="Verdana"/>
          <w:sz w:val="18"/>
          <w:szCs w:val="18"/>
          <w:color w:val="auto"/>
        </w:rPr>
        <w:t>NRG Energy, Inc.</w:t>
      </w:r>
    </w:p>
    <w:p>
      <w:pPr>
        <w:spacing w:after="0"/>
        <w:rPr>
          <w:sz w:val="20"/>
          <w:szCs w:val="20"/>
          <w:color w:val="auto"/>
        </w:rPr>
      </w:pPr>
      <w:r>
        <w:rPr>
          <w:rFonts w:ascii="Verdana" w:cs="Verdana" w:eastAsia="Verdana" w:hAnsi="Verdana"/>
          <w:sz w:val="16"/>
          <w:szCs w:val="16"/>
          <w:color w:val="auto"/>
        </w:rPr>
        <w:t>Attn: Talent &amp; Culture</w:t>
      </w:r>
    </w:p>
    <w:p>
      <w:pPr>
        <w:spacing w:after="0" w:line="8" w:lineRule="exact"/>
        <w:rPr>
          <w:sz w:val="20"/>
          <w:szCs w:val="20"/>
          <w:color w:val="auto"/>
        </w:rPr>
      </w:pPr>
    </w:p>
    <w:p>
      <w:pPr>
        <w:spacing w:after="0"/>
        <w:rPr>
          <w:sz w:val="20"/>
          <w:szCs w:val="20"/>
          <w:color w:val="auto"/>
        </w:rPr>
      </w:pPr>
      <w:r>
        <w:rPr>
          <w:rFonts w:ascii="Verdana" w:cs="Verdana" w:eastAsia="Verdana" w:hAnsi="Verdana"/>
          <w:sz w:val="18"/>
          <w:szCs w:val="18"/>
          <w:color w:val="auto"/>
        </w:rPr>
        <w:t>804 Carnegie Center</w:t>
      </w:r>
    </w:p>
    <w:p>
      <w:pPr>
        <w:spacing w:after="0"/>
        <w:rPr>
          <w:sz w:val="20"/>
          <w:szCs w:val="20"/>
          <w:color w:val="auto"/>
        </w:rPr>
      </w:pPr>
      <w:r>
        <w:rPr>
          <w:rFonts w:ascii="Verdana" w:cs="Verdana" w:eastAsia="Verdana" w:hAnsi="Verdana"/>
          <w:sz w:val="18"/>
          <w:szCs w:val="18"/>
          <w:color w:val="auto"/>
        </w:rPr>
        <w:t>Princeton, NJ 08450</w:t>
      </w:r>
    </w:p>
    <w:p>
      <w:pPr>
        <w:spacing w:after="0" w:line="110" w:lineRule="exact"/>
        <w:rPr>
          <w:sz w:val="20"/>
          <w:szCs w:val="20"/>
          <w:color w:val="auto"/>
        </w:rPr>
      </w:pPr>
    </w:p>
    <w:p>
      <w:pPr>
        <w:sectPr>
          <w:pgSz w:w="11900" w:h="16838" w:orient="portrait"/>
          <w:cols w:equalWidth="0" w:num="2">
            <w:col w:w="2780" w:space="720"/>
            <w:col w:w="7740"/>
          </w:cols>
          <w:pgMar w:left="320" w:top="1440" w:right="339" w:bottom="1440" w:gutter="0" w:footer="0" w:header="0"/>
          <w:type w:val="continuous"/>
        </w:sectPr>
      </w:pPr>
    </w:p>
    <w:p>
      <w:pPr>
        <w:ind w:left="640"/>
        <w:spacing w:after="0" w:line="241" w:lineRule="auto"/>
        <w:rPr>
          <w:sz w:val="20"/>
          <w:szCs w:val="20"/>
          <w:color w:val="auto"/>
        </w:rPr>
      </w:pPr>
      <w:r>
        <w:rPr>
          <w:rFonts w:ascii="Verdana" w:cs="Verdana" w:eastAsia="Verdana" w:hAnsi="Verdana"/>
          <w:sz w:val="18"/>
          <w:szCs w:val="18"/>
          <w:color w:val="auto"/>
        </w:rPr>
        <w:t>The Company or the Participant may change, by written notice to the other, the address previously specified for receiving notices.</w:t>
      </w:r>
    </w:p>
    <w:p>
      <w:pPr>
        <w:spacing w:after="0" w:line="166" w:lineRule="exact"/>
        <w:rPr>
          <w:sz w:val="20"/>
          <w:szCs w:val="20"/>
          <w:color w:val="auto"/>
        </w:rPr>
      </w:pPr>
    </w:p>
    <w:p>
      <w:pPr>
        <w:ind w:left="1260" w:hanging="623"/>
        <w:spacing w:after="0"/>
        <w:tabs>
          <w:tab w:leader="none" w:pos="1260" w:val="left"/>
        </w:tabs>
        <w:numPr>
          <w:ilvl w:val="0"/>
          <w:numId w:val="179"/>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No Waiver</w:t>
      </w:r>
    </w:p>
    <w:p>
      <w:pPr>
        <w:spacing w:after="0" w:line="189" w:lineRule="exact"/>
        <w:rPr>
          <w:sz w:val="20"/>
          <w:szCs w:val="20"/>
          <w:color w:val="auto"/>
        </w:rPr>
      </w:pPr>
    </w:p>
    <w:p>
      <w:pPr>
        <w:jc w:val="both"/>
        <w:ind w:left="640"/>
        <w:spacing w:after="0" w:line="237" w:lineRule="auto"/>
        <w:rPr>
          <w:sz w:val="20"/>
          <w:szCs w:val="20"/>
          <w:color w:val="auto"/>
        </w:rPr>
      </w:pPr>
      <w:r>
        <w:rPr>
          <w:rFonts w:ascii="Verdana" w:cs="Verdana" w:eastAsia="Verdana" w:hAnsi="Verdana"/>
          <w:sz w:val="18"/>
          <w:szCs w:val="18"/>
          <w:color w:val="auto"/>
        </w:rPr>
        <w:t>No waiver of any provision of this Agreement will be valid unless in writing and signed by the person against whom such waiver is sought to be enforced, nor will failure to enforce any right under this Agreement constitute a continuing waiver of the same or a waiver of any other right hereunder.</w:t>
      </w:r>
    </w:p>
    <w:p>
      <w:pPr>
        <w:spacing w:after="0" w:line="168" w:lineRule="exact"/>
        <w:rPr>
          <w:sz w:val="20"/>
          <w:szCs w:val="20"/>
          <w:color w:val="auto"/>
        </w:rPr>
      </w:pPr>
    </w:p>
    <w:p>
      <w:pPr>
        <w:ind w:left="1260" w:hanging="623"/>
        <w:spacing w:after="0"/>
        <w:tabs>
          <w:tab w:leader="none" w:pos="1260" w:val="left"/>
        </w:tabs>
        <w:numPr>
          <w:ilvl w:val="0"/>
          <w:numId w:val="180"/>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Undertaking</w:t>
      </w:r>
    </w:p>
    <w:p>
      <w:pPr>
        <w:spacing w:after="0" w:line="189" w:lineRule="exact"/>
        <w:rPr>
          <w:sz w:val="20"/>
          <w:szCs w:val="20"/>
          <w:color w:val="auto"/>
        </w:rPr>
      </w:pPr>
    </w:p>
    <w:p>
      <w:pPr>
        <w:jc w:val="both"/>
        <w:ind w:left="640"/>
        <w:spacing w:after="0" w:line="237" w:lineRule="auto"/>
        <w:rPr>
          <w:sz w:val="20"/>
          <w:szCs w:val="20"/>
          <w:color w:val="auto"/>
        </w:rPr>
      </w:pPr>
      <w:r>
        <w:rPr>
          <w:rFonts w:ascii="Verdana" w:cs="Verdana" w:eastAsia="Verdana" w:hAnsi="Verdana"/>
          <w:sz w:val="18"/>
          <w:szCs w:val="18"/>
          <w:color w:val="auto"/>
        </w:rPr>
        <w:t>The Participant hereby agrees to take whatever additional action, and execute whatever additional documents, the Company may deem necessary or advisable in order to carry out or effect one or more of the obligations or restrictions imposed on either the Participant or the award pursuant to the express provisions of this Agreement.</w:t>
      </w:r>
    </w:p>
    <w:p>
      <w:pPr>
        <w:spacing w:after="0" w:line="168" w:lineRule="exact"/>
        <w:rPr>
          <w:sz w:val="20"/>
          <w:szCs w:val="20"/>
          <w:color w:val="auto"/>
        </w:rPr>
      </w:pPr>
    </w:p>
    <w:p>
      <w:pPr>
        <w:ind w:left="1260" w:hanging="623"/>
        <w:spacing w:after="0"/>
        <w:tabs>
          <w:tab w:leader="none" w:pos="1260" w:val="left"/>
        </w:tabs>
        <w:numPr>
          <w:ilvl w:val="0"/>
          <w:numId w:val="181"/>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Entire Contract</w:t>
      </w:r>
    </w:p>
    <w:p>
      <w:pPr>
        <w:spacing w:after="0" w:line="202" w:lineRule="exact"/>
        <w:rPr>
          <w:sz w:val="20"/>
          <w:szCs w:val="20"/>
          <w:color w:val="auto"/>
        </w:rPr>
      </w:pPr>
    </w:p>
    <w:p>
      <w:pPr>
        <w:jc w:val="both"/>
        <w:ind w:left="640"/>
        <w:spacing w:after="0" w:line="237" w:lineRule="auto"/>
        <w:rPr>
          <w:sz w:val="20"/>
          <w:szCs w:val="20"/>
          <w:color w:val="auto"/>
        </w:rPr>
      </w:pPr>
      <w:r>
        <w:rPr>
          <w:rFonts w:ascii="Verdana" w:cs="Verdana" w:eastAsia="Verdana" w:hAnsi="Verdana"/>
          <w:sz w:val="18"/>
          <w:szCs w:val="18"/>
          <w:color w:val="auto"/>
        </w:rPr>
        <w:t>This Agreement and the Plan constitute the entire contract between the parties hereto with regard to the subject matter hereof. This Agreement is made pursuant to the provisions of the Plan and will in all respects be construed in conformity with the express terms and provisions of the Plan.</w:t>
      </w:r>
    </w:p>
    <w:p>
      <w:pPr>
        <w:spacing w:after="0" w:line="168" w:lineRule="exact"/>
        <w:rPr>
          <w:sz w:val="20"/>
          <w:szCs w:val="20"/>
          <w:color w:val="auto"/>
        </w:rPr>
      </w:pPr>
    </w:p>
    <w:p>
      <w:pPr>
        <w:ind w:left="1260" w:hanging="623"/>
        <w:spacing w:after="0"/>
        <w:tabs>
          <w:tab w:leader="none" w:pos="1260" w:val="left"/>
        </w:tabs>
        <w:numPr>
          <w:ilvl w:val="0"/>
          <w:numId w:val="182"/>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Successors and Assigns</w:t>
      </w:r>
    </w:p>
    <w:p>
      <w:pPr>
        <w:spacing w:after="0" w:line="189" w:lineRule="exact"/>
        <w:rPr>
          <w:sz w:val="20"/>
          <w:szCs w:val="20"/>
          <w:color w:val="auto"/>
        </w:rPr>
      </w:pPr>
    </w:p>
    <w:p>
      <w:pPr>
        <w:jc w:val="both"/>
        <w:ind w:left="640"/>
        <w:spacing w:after="0" w:line="237" w:lineRule="auto"/>
        <w:rPr>
          <w:sz w:val="20"/>
          <w:szCs w:val="20"/>
          <w:color w:val="auto"/>
        </w:rPr>
      </w:pPr>
      <w:r>
        <w:rPr>
          <w:rFonts w:ascii="Verdana" w:cs="Verdana" w:eastAsia="Verdana" w:hAnsi="Verdana"/>
          <w:sz w:val="18"/>
          <w:szCs w:val="18"/>
          <w:color w:val="auto"/>
        </w:rPr>
        <w:t>The provisions of this Agreement shall inure to the benefit of, and be binding on, the Company and its successors and assigns and Participant and Participant’s legal representatives, heirs, legatees, distributees, assigns and transferees by operation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2960" w:val="left"/>
        </w:tabs>
        <w:rPr>
          <w:sz w:val="20"/>
          <w:szCs w:val="20"/>
          <w:color w:val="auto"/>
        </w:rPr>
      </w:pPr>
      <w:r>
        <w:rPr>
          <w:rFonts w:ascii="Verdana" w:cs="Verdana" w:eastAsia="Verdana" w:hAnsi="Verdana"/>
          <w:sz w:val="16"/>
          <w:szCs w:val="16"/>
          <w:color w:val="auto"/>
        </w:rPr>
        <w:t>2026 RPSU Agreement (SVP_EVP)</w:t>
      </w:r>
      <w:r>
        <w:rPr>
          <w:sz w:val="20"/>
          <w:szCs w:val="20"/>
          <w:color w:val="auto"/>
        </w:rPr>
        <w:tab/>
      </w:r>
      <w:r>
        <w:rPr>
          <w:rFonts w:ascii="Verdana" w:cs="Verdana" w:eastAsia="Verdana" w:hAnsi="Verdana"/>
          <w:sz w:val="16"/>
          <w:szCs w:val="16"/>
          <w:color w:val="auto"/>
        </w:rPr>
        <w:t>11</w:t>
      </w:r>
    </w:p>
    <w:p>
      <w:pPr>
        <w:sectPr>
          <w:pgSz w:w="11900" w:h="16838" w:orient="portrait"/>
          <w:cols w:equalWidth="0" w:num="1">
            <w:col w:w="11240"/>
          </w:cols>
          <w:pgMar w:left="320" w:top="1440" w:right="339" w:bottom="1440" w:gutter="0" w:footer="0" w:header="0"/>
          <w:type w:val="continuous"/>
        </w:sectPr>
      </w:pPr>
    </w:p>
    <w:bookmarkStart w:id="226" w:name="page227"/>
    <w:bookmarkEnd w:id="226"/>
    <w:p>
      <w:pPr>
        <w:spacing w:after="0" w:line="200" w:lineRule="exact"/>
        <w:rPr>
          <w:sz w:val="20"/>
          <w:szCs w:val="20"/>
          <w:color w:val="auto"/>
        </w:rPr>
      </w:pPr>
    </w:p>
    <w:p>
      <w:pPr>
        <w:spacing w:after="0" w:line="205" w:lineRule="exact"/>
        <w:rPr>
          <w:sz w:val="20"/>
          <w:szCs w:val="20"/>
          <w:color w:val="auto"/>
        </w:rPr>
      </w:pPr>
    </w:p>
    <w:p>
      <w:pPr>
        <w:ind w:left="1260" w:hanging="623"/>
        <w:spacing w:after="0"/>
        <w:tabs>
          <w:tab w:leader="none" w:pos="1260" w:val="left"/>
        </w:tabs>
        <w:numPr>
          <w:ilvl w:val="0"/>
          <w:numId w:val="183"/>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Securities Law Compliance</w:t>
      </w:r>
    </w:p>
    <w:p>
      <w:pPr>
        <w:spacing w:after="0" w:line="202" w:lineRule="exact"/>
        <w:rPr>
          <w:sz w:val="20"/>
          <w:szCs w:val="20"/>
          <w:color w:val="auto"/>
        </w:rPr>
      </w:pPr>
    </w:p>
    <w:p>
      <w:pPr>
        <w:jc w:val="both"/>
        <w:ind w:left="640"/>
        <w:spacing w:after="0" w:line="232" w:lineRule="auto"/>
        <w:rPr>
          <w:sz w:val="20"/>
          <w:szCs w:val="20"/>
          <w:color w:val="auto"/>
        </w:rPr>
      </w:pPr>
      <w:r>
        <w:rPr>
          <w:rFonts w:ascii="Verdana" w:cs="Verdana" w:eastAsia="Verdana" w:hAnsi="Verdana"/>
          <w:sz w:val="18"/>
          <w:szCs w:val="18"/>
          <w:color w:val="auto"/>
        </w:rPr>
        <w:t>The Company currently has an effective registration statement on file with the Securities and Exchange Commission with respect to the shares of Common Stock underlying the RPSUs awarded under this Agreement. The Company intends to maintain this registration statement but has no obligation to the Participant to do so. If the registration statement ceases to be effective, the Participant will not be able to transfer or sell shares of Common Stock issued pursuant to the award, unless exemptions from registration under applicable securities laws are available. Such exemptions from registration are very limited and might be unavailable. Participant agrees that any resale of the shares of Common Stock issued pursuant to the award shall comply in all respects with the requirements of all applicable securities laws, rules and regulations (including, without limitation, the provisions of the Securities Act of 1933, the Securities Exchange Act of 1934 and the respective rules and regulations promulgated thereunder) and any other law, rule or regulation applicable thereto, as such laws, rules, and regulations may be amended from time to time. The Company shall not be obligated to either issue shares of Common Stock or permit the resale of any such shares if such issuance or resale would violate any such requirements.</w:t>
      </w:r>
    </w:p>
    <w:p>
      <w:pPr>
        <w:spacing w:after="0" w:line="173" w:lineRule="exact"/>
        <w:rPr>
          <w:sz w:val="20"/>
          <w:szCs w:val="20"/>
          <w:color w:val="auto"/>
        </w:rPr>
      </w:pPr>
    </w:p>
    <w:p>
      <w:pPr>
        <w:ind w:left="1260" w:hanging="623"/>
        <w:spacing w:after="0"/>
        <w:tabs>
          <w:tab w:leader="none" w:pos="1260" w:val="left"/>
        </w:tabs>
        <w:numPr>
          <w:ilvl w:val="0"/>
          <w:numId w:val="184"/>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Taxes</w:t>
      </w:r>
    </w:p>
    <w:p>
      <w:pPr>
        <w:spacing w:after="0" w:line="189" w:lineRule="exact"/>
        <w:rPr>
          <w:sz w:val="20"/>
          <w:szCs w:val="20"/>
          <w:color w:val="auto"/>
        </w:rPr>
      </w:pPr>
    </w:p>
    <w:p>
      <w:pPr>
        <w:jc w:val="both"/>
        <w:ind w:left="640"/>
        <w:spacing w:after="0" w:line="232" w:lineRule="auto"/>
        <w:rPr>
          <w:sz w:val="20"/>
          <w:szCs w:val="20"/>
          <w:color w:val="auto"/>
        </w:rPr>
      </w:pPr>
      <w:r>
        <w:rPr>
          <w:rFonts w:ascii="Verdana" w:cs="Verdana" w:eastAsia="Verdana" w:hAnsi="Verdana"/>
          <w:sz w:val="18"/>
          <w:szCs w:val="18"/>
          <w:color w:val="auto"/>
        </w:rPr>
        <w:t>The Participant acknowledges that the vesting, earning, and settlement of RPSUs will give rise to a withholding tax liability and that no shares of Common Stock are issuable hereunder until such withholding obligation is satisfied in full. The Participant agrees to remit to the Company the amount of any taxes required to be withheld. The Committee may, in its sole discretion, require or permit the Participant to satisfy all or part of such tax obligation, and the Participant agrees to cooperate with the Committee or Company in any such action, by (i) withholding the number of shares of Common Stock otherwise issuable to the Participant hereunder which shall be retained by the Company, (ii) a “sell-to-cover” arrangement whereby the number of shares of Common Stock otherwise issuable to the Participant is sold on behalf of the Participant, and/or (iii) the Participant transferring to the Company unrestricted shares of Common Stock previously owned by the Participant that have a Fair Market Value equal to the amount of the withholding to be credited. Such withholding obligation value shall be based on the Fair Market Value of the Common Stock as of the date the amount of tax to be withheld is determined.</w:t>
      </w:r>
    </w:p>
    <w:p>
      <w:pPr>
        <w:spacing w:after="0" w:line="174" w:lineRule="exact"/>
        <w:rPr>
          <w:sz w:val="20"/>
          <w:szCs w:val="20"/>
          <w:color w:val="auto"/>
        </w:rPr>
      </w:pPr>
    </w:p>
    <w:p>
      <w:pPr>
        <w:ind w:left="1260" w:hanging="623"/>
        <w:spacing w:after="0"/>
        <w:tabs>
          <w:tab w:leader="none" w:pos="1260" w:val="left"/>
        </w:tabs>
        <w:numPr>
          <w:ilvl w:val="0"/>
          <w:numId w:val="185"/>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Governing Law</w:t>
      </w:r>
    </w:p>
    <w:p>
      <w:pPr>
        <w:spacing w:after="0" w:line="189" w:lineRule="exact"/>
        <w:rPr>
          <w:sz w:val="20"/>
          <w:szCs w:val="20"/>
          <w:color w:val="auto"/>
        </w:rPr>
      </w:pPr>
    </w:p>
    <w:p>
      <w:pPr>
        <w:ind w:left="640"/>
        <w:spacing w:after="0" w:line="241" w:lineRule="auto"/>
        <w:rPr>
          <w:sz w:val="20"/>
          <w:szCs w:val="20"/>
          <w:color w:val="auto"/>
        </w:rPr>
      </w:pPr>
      <w:r>
        <w:rPr>
          <w:rFonts w:ascii="Verdana" w:cs="Verdana" w:eastAsia="Verdana" w:hAnsi="Verdana"/>
          <w:sz w:val="18"/>
          <w:szCs w:val="18"/>
          <w:color w:val="auto"/>
        </w:rPr>
        <w:t>Except as may otherwise be provided in the Plan, the provisions of this Agreement shall be governed by the laws of the State of Delaware without giving effect to principles of conflicts of law.</w:t>
      </w:r>
    </w:p>
    <w:p>
      <w:pPr>
        <w:spacing w:after="0" w:line="166" w:lineRule="exact"/>
        <w:rPr>
          <w:sz w:val="20"/>
          <w:szCs w:val="20"/>
          <w:color w:val="auto"/>
        </w:rPr>
      </w:pPr>
    </w:p>
    <w:p>
      <w:pPr>
        <w:ind w:left="1260" w:hanging="623"/>
        <w:spacing w:after="0"/>
        <w:tabs>
          <w:tab w:leader="none" w:pos="1260" w:val="left"/>
        </w:tabs>
        <w:numPr>
          <w:ilvl w:val="0"/>
          <w:numId w:val="186"/>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Code Section 409A Compliance</w:t>
      </w:r>
    </w:p>
    <w:p>
      <w:pPr>
        <w:spacing w:after="0" w:line="202" w:lineRule="exact"/>
        <w:rPr>
          <w:sz w:val="20"/>
          <w:szCs w:val="20"/>
          <w:color w:val="auto"/>
        </w:rPr>
      </w:pPr>
    </w:p>
    <w:p>
      <w:pPr>
        <w:jc w:val="both"/>
        <w:ind w:left="640"/>
        <w:spacing w:after="0" w:line="235" w:lineRule="auto"/>
        <w:rPr>
          <w:sz w:val="20"/>
          <w:szCs w:val="20"/>
          <w:color w:val="auto"/>
        </w:rPr>
      </w:pPr>
      <w:r>
        <w:rPr>
          <w:rFonts w:ascii="Verdana" w:cs="Verdana" w:eastAsia="Verdana" w:hAnsi="Verdana"/>
          <w:sz w:val="18"/>
          <w:szCs w:val="18"/>
          <w:color w:val="auto"/>
        </w:rPr>
        <w:t>To the extent that the Committee determines that the award granted under this Agreement is subject to Section 409A of the Code and fails to comply with the requirements of such Section, notwithstanding anything to the contrary contained in the Plan or in this Agreement, the Committee reserves the right to amend, restructure, terminate or replace this award in order to cause the award to either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2960" w:val="left"/>
        </w:tabs>
        <w:rPr>
          <w:sz w:val="20"/>
          <w:szCs w:val="20"/>
          <w:color w:val="auto"/>
        </w:rPr>
      </w:pPr>
      <w:r>
        <w:rPr>
          <w:rFonts w:ascii="Verdana" w:cs="Verdana" w:eastAsia="Verdana" w:hAnsi="Verdana"/>
          <w:sz w:val="16"/>
          <w:szCs w:val="16"/>
          <w:color w:val="auto"/>
        </w:rPr>
        <w:t>2026 RPSU Agreement (SVP_EVP)</w:t>
      </w:r>
      <w:r>
        <w:rPr>
          <w:sz w:val="20"/>
          <w:szCs w:val="20"/>
          <w:color w:val="auto"/>
        </w:rPr>
        <w:tab/>
      </w:r>
      <w:r>
        <w:rPr>
          <w:rFonts w:ascii="Verdana" w:cs="Verdana" w:eastAsia="Verdana" w:hAnsi="Verdana"/>
          <w:sz w:val="16"/>
          <w:szCs w:val="16"/>
          <w:color w:val="auto"/>
        </w:rPr>
        <w:t>12</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200" w:lineRule="exact"/>
        <w:rPr>
          <w:sz w:val="20"/>
          <w:szCs w:val="20"/>
          <w:color w:val="auto"/>
        </w:rPr>
      </w:pPr>
    </w:p>
    <w:p>
      <w:pPr>
        <w:spacing w:after="0" w:line="232" w:lineRule="exact"/>
        <w:rPr>
          <w:sz w:val="20"/>
          <w:szCs w:val="20"/>
          <w:color w:val="auto"/>
        </w:rPr>
      </w:pPr>
    </w:p>
    <w:p>
      <w:pPr>
        <w:ind w:left="640"/>
        <w:spacing w:after="0"/>
        <w:rPr>
          <w:sz w:val="20"/>
          <w:szCs w:val="20"/>
          <w:color w:val="auto"/>
        </w:rPr>
      </w:pPr>
      <w:r>
        <w:rPr>
          <w:rFonts w:ascii="Verdana" w:cs="Verdana" w:eastAsia="Verdana" w:hAnsi="Verdana"/>
          <w:sz w:val="16"/>
          <w:szCs w:val="16"/>
          <w:color w:val="auto"/>
        </w:rPr>
        <w:t>be subject to Section 409A of the Code or comply with the applicable provisions of such Section.</w:t>
      </w:r>
    </w:p>
    <w:p>
      <w:pPr>
        <w:spacing w:after="0" w:line="227" w:lineRule="exact"/>
        <w:rPr>
          <w:sz w:val="20"/>
          <w:szCs w:val="20"/>
          <w:color w:val="auto"/>
        </w:rPr>
      </w:pPr>
    </w:p>
    <w:p>
      <w:pPr>
        <w:ind w:left="4520"/>
        <w:spacing w:after="0"/>
        <w:rPr>
          <w:sz w:val="20"/>
          <w:szCs w:val="20"/>
          <w:color w:val="auto"/>
        </w:rPr>
      </w:pPr>
      <w:r>
        <w:rPr>
          <w:rFonts w:ascii="Verdana" w:cs="Verdana" w:eastAsia="Verdana" w:hAnsi="Verdana"/>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2960" w:val="left"/>
        </w:tabs>
        <w:rPr>
          <w:sz w:val="20"/>
          <w:szCs w:val="20"/>
          <w:color w:val="auto"/>
        </w:rPr>
      </w:pPr>
      <w:r>
        <w:rPr>
          <w:rFonts w:ascii="Verdana" w:cs="Verdana" w:eastAsia="Verdana" w:hAnsi="Verdana"/>
          <w:sz w:val="16"/>
          <w:szCs w:val="16"/>
          <w:color w:val="auto"/>
        </w:rPr>
        <w:t>2026 RPSU Agreement (SVP_EVP)</w:t>
      </w:r>
      <w:r>
        <w:rPr>
          <w:sz w:val="20"/>
          <w:szCs w:val="20"/>
          <w:color w:val="auto"/>
        </w:rPr>
        <w:tab/>
      </w:r>
      <w:r>
        <w:rPr>
          <w:rFonts w:ascii="Verdana" w:cs="Verdana" w:eastAsia="Verdana" w:hAnsi="Verdana"/>
          <w:sz w:val="16"/>
          <w:szCs w:val="16"/>
          <w:color w:val="auto"/>
        </w:rPr>
        <w:t>13</w:t>
      </w:r>
    </w:p>
    <w:p>
      <w:pPr>
        <w:sectPr>
          <w:pgSz w:w="11900" w:h="16838" w:orient="portrait"/>
          <w:cols w:equalWidth="0" w:num="1">
            <w:col w:w="10139"/>
          </w:cols>
          <w:pgMar w:left="320" w:top="1440" w:right="1440" w:bottom="1440" w:gutter="0" w:footer="0" w:header="0"/>
        </w:sectPr>
      </w:pPr>
    </w:p>
    <w:bookmarkStart w:id="228" w:name="page229"/>
    <w:bookmarkEnd w:id="228"/>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Verdana" w:cs="Verdana" w:eastAsia="Verdana" w:hAnsi="Verdana"/>
          <w:sz w:val="18"/>
          <w:szCs w:val="18"/>
          <w:color w:val="auto"/>
        </w:rPr>
        <w:t>IN WITNESS WHEREOF, this Agreement has been executed as of the Date of Grant.</w:t>
      </w:r>
    </w:p>
    <w:p>
      <w:pPr>
        <w:spacing w:after="0" w:line="255" w:lineRule="exact"/>
        <w:rPr>
          <w:sz w:val="20"/>
          <w:szCs w:val="20"/>
          <w:color w:val="auto"/>
        </w:rPr>
      </w:pPr>
    </w:p>
    <w:p>
      <w:pPr>
        <w:ind w:left="3160"/>
        <w:spacing w:after="0"/>
        <w:rPr>
          <w:sz w:val="20"/>
          <w:szCs w:val="20"/>
          <w:color w:val="auto"/>
        </w:rPr>
      </w:pPr>
      <w:r>
        <w:rPr>
          <w:rFonts w:ascii="Verdana" w:cs="Verdana" w:eastAsia="Verdana" w:hAnsi="Verdana"/>
          <w:sz w:val="18"/>
          <w:szCs w:val="18"/>
          <w:b w:val="1"/>
          <w:bCs w:val="1"/>
          <w:color w:val="auto"/>
        </w:rPr>
        <w:t>NRG ENERGY, INC.</w:t>
      </w:r>
    </w:p>
    <w:p>
      <w:pPr>
        <w:spacing w:after="0" w:line="5" w:lineRule="exact"/>
        <w:rPr>
          <w:sz w:val="20"/>
          <w:szCs w:val="20"/>
          <w:color w:val="auto"/>
        </w:rPr>
      </w:pPr>
    </w:p>
    <w:tbl>
      <w:tblPr>
        <w:tblLayout w:type="fixed"/>
        <w:tblInd w:w="3100" w:type="dxa"/>
        <w:tblCellMar>
          <w:top w:w="0" w:type="dxa"/>
          <w:left w:w="0" w:type="dxa"/>
          <w:bottom w:w="0" w:type="dxa"/>
          <w:right w:w="0" w:type="dxa"/>
        </w:tblCellMar>
      </w:tblPr>
      <w:tr>
        <w:trPr>
          <w:trHeight w:val="229"/>
        </w:trPr>
        <w:tc>
          <w:tcPr>
            <w:tcW w:w="840" w:type="dxa"/>
            <w:vAlign w:val="bottom"/>
            <w:vMerge w:val="restart"/>
          </w:tcPr>
          <w:p>
            <w:pPr>
              <w:spacing w:after="0"/>
              <w:rPr>
                <w:sz w:val="20"/>
                <w:szCs w:val="20"/>
                <w:color w:val="auto"/>
              </w:rPr>
            </w:pPr>
            <w:r>
              <w:rPr>
                <w:rFonts w:ascii="Verdana" w:cs="Verdana" w:eastAsia="Verdana" w:hAnsi="Verdana"/>
                <w:sz w:val="18"/>
                <w:szCs w:val="18"/>
                <w:color w:val="auto"/>
              </w:rPr>
              <w:t>Name:</w:t>
            </w:r>
          </w:p>
        </w:tc>
        <w:tc>
          <w:tcPr>
            <w:tcW w:w="3840" w:type="dxa"/>
            <w:vAlign w:val="bottom"/>
            <w:tcBorders>
              <w:bottom w:val="single" w:sz="8" w:color="auto"/>
            </w:tcBorders>
          </w:tcPr>
          <w:p>
            <w:pPr>
              <w:ind w:left="180"/>
              <w:spacing w:after="0"/>
              <w:rPr>
                <w:sz w:val="20"/>
                <w:szCs w:val="20"/>
                <w:color w:val="auto"/>
              </w:rPr>
            </w:pPr>
            <w:r>
              <w:rPr>
                <w:rFonts w:ascii="Verdana" w:cs="Verdana" w:eastAsia="Verdana" w:hAnsi="Verdana"/>
                <w:sz w:val="18"/>
                <w:szCs w:val="18"/>
                <w:color w:val="auto"/>
              </w:rPr>
              <w:t>/s/ Lawrence Coben</w:t>
            </w:r>
          </w:p>
        </w:tc>
        <w:tc>
          <w:tcPr>
            <w:tcW w:w="0" w:type="dxa"/>
            <w:vAlign w:val="bottom"/>
          </w:tcPr>
          <w:p>
            <w:pPr>
              <w:spacing w:after="0"/>
              <w:rPr>
                <w:sz w:val="1"/>
                <w:szCs w:val="1"/>
                <w:color w:val="auto"/>
              </w:rPr>
            </w:pPr>
          </w:p>
        </w:tc>
      </w:tr>
      <w:tr>
        <w:trPr>
          <w:trHeight w:val="212"/>
        </w:trPr>
        <w:tc>
          <w:tcPr>
            <w:tcW w:w="840" w:type="dxa"/>
            <w:vAlign w:val="bottom"/>
            <w:vMerge w:val="continue"/>
          </w:tcPr>
          <w:p>
            <w:pPr>
              <w:spacing w:after="0"/>
              <w:rPr>
                <w:sz w:val="18"/>
                <w:szCs w:val="18"/>
                <w:color w:val="auto"/>
              </w:rPr>
            </w:pPr>
          </w:p>
        </w:tc>
        <w:tc>
          <w:tcPr>
            <w:tcW w:w="3840" w:type="dxa"/>
            <w:vAlign w:val="bottom"/>
            <w:tcBorders>
              <w:bottom w:val="single" w:sz="8" w:color="auto"/>
            </w:tcBorders>
          </w:tcPr>
          <w:p>
            <w:pPr>
              <w:ind w:left="80"/>
              <w:spacing w:after="0" w:line="212" w:lineRule="exact"/>
              <w:rPr>
                <w:sz w:val="20"/>
                <w:szCs w:val="20"/>
                <w:color w:val="auto"/>
              </w:rPr>
            </w:pPr>
            <w:r>
              <w:rPr>
                <w:rFonts w:ascii="Verdana" w:cs="Verdana" w:eastAsia="Verdana" w:hAnsi="Verdana"/>
                <w:sz w:val="18"/>
                <w:szCs w:val="18"/>
                <w:color w:val="auto"/>
              </w:rPr>
              <w:t>Lawrence Coben</w:t>
            </w:r>
          </w:p>
        </w:tc>
        <w:tc>
          <w:tcPr>
            <w:tcW w:w="0" w:type="dxa"/>
            <w:vAlign w:val="bottom"/>
          </w:tcPr>
          <w:p>
            <w:pPr>
              <w:spacing w:after="0"/>
              <w:rPr>
                <w:sz w:val="1"/>
                <w:szCs w:val="1"/>
                <w:color w:val="auto"/>
              </w:rPr>
            </w:pPr>
          </w:p>
        </w:tc>
      </w:tr>
      <w:tr>
        <w:trPr>
          <w:trHeight w:val="222"/>
        </w:trPr>
        <w:tc>
          <w:tcPr>
            <w:tcW w:w="840" w:type="dxa"/>
            <w:vAlign w:val="bottom"/>
          </w:tcPr>
          <w:p>
            <w:pPr>
              <w:spacing w:after="0" w:line="208" w:lineRule="exact"/>
              <w:rPr>
                <w:sz w:val="20"/>
                <w:szCs w:val="20"/>
                <w:color w:val="auto"/>
              </w:rPr>
            </w:pPr>
            <w:r>
              <w:rPr>
                <w:rFonts w:ascii="Verdana" w:cs="Verdana" w:eastAsia="Verdana" w:hAnsi="Verdana"/>
                <w:sz w:val="18"/>
                <w:szCs w:val="18"/>
                <w:color w:val="auto"/>
              </w:rPr>
              <w:t>Title:</w:t>
            </w:r>
          </w:p>
        </w:tc>
        <w:tc>
          <w:tcPr>
            <w:tcW w:w="3840" w:type="dxa"/>
            <w:vAlign w:val="bottom"/>
            <w:tcBorders>
              <w:bottom w:val="single" w:sz="8" w:color="auto"/>
            </w:tcBorders>
          </w:tcPr>
          <w:p>
            <w:pPr>
              <w:ind w:left="80"/>
              <w:spacing w:after="0"/>
              <w:rPr>
                <w:sz w:val="20"/>
                <w:szCs w:val="20"/>
                <w:color w:val="auto"/>
              </w:rPr>
            </w:pPr>
            <w:r>
              <w:rPr>
                <w:rFonts w:ascii="Verdana" w:cs="Verdana" w:eastAsia="Verdana" w:hAnsi="Verdana"/>
                <w:sz w:val="18"/>
                <w:szCs w:val="18"/>
                <w:color w:val="auto"/>
              </w:rPr>
              <w:t>President &amp; CEO</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2960" w:val="left"/>
        </w:tabs>
        <w:rPr>
          <w:sz w:val="20"/>
          <w:szCs w:val="20"/>
          <w:color w:val="auto"/>
        </w:rPr>
      </w:pPr>
      <w:r>
        <w:rPr>
          <w:rFonts w:ascii="Verdana" w:cs="Verdana" w:eastAsia="Verdana" w:hAnsi="Verdana"/>
          <w:sz w:val="16"/>
          <w:szCs w:val="16"/>
          <w:color w:val="auto"/>
        </w:rPr>
        <w:t>2026 RPSU Agreement (SVP_EVP)</w:t>
      </w:r>
      <w:r>
        <w:rPr>
          <w:sz w:val="20"/>
          <w:szCs w:val="20"/>
          <w:color w:val="auto"/>
        </w:rPr>
        <w:tab/>
      </w:r>
      <w:r>
        <w:rPr>
          <w:rFonts w:ascii="Verdana" w:cs="Verdana" w:eastAsia="Verdana" w:hAnsi="Verdana"/>
          <w:sz w:val="16"/>
          <w:szCs w:val="16"/>
          <w:color w:val="auto"/>
        </w:rPr>
        <w:t>14</w:t>
      </w:r>
    </w:p>
    <w:p>
      <w:pPr>
        <w:sectPr>
          <w:pgSz w:w="11900" w:h="16838" w:orient="portrait"/>
          <w:cols w:equalWidth="0" w:num="1">
            <w:col w:w="10139"/>
          </w:cols>
          <w:pgMar w:left="320" w:top="1440" w:right="1440" w:bottom="1440" w:gutter="0" w:footer="0" w:header="0"/>
        </w:sectPr>
      </w:pPr>
    </w:p>
    <w:bookmarkStart w:id="229" w:name="page230"/>
    <w:bookmarkEnd w:id="229"/>
    <w:p>
      <w:pPr>
        <w:jc w:val="center"/>
        <w:ind w:right="-19"/>
        <w:spacing w:after="0"/>
        <w:rPr>
          <w:sz w:val="20"/>
          <w:szCs w:val="20"/>
          <w:color w:val="auto"/>
        </w:rPr>
      </w:pPr>
      <w:r>
        <w:rPr>
          <w:rFonts w:ascii="Verdana" w:cs="Verdana" w:eastAsia="Verdana" w:hAnsi="Verdana"/>
          <w:sz w:val="18"/>
          <w:szCs w:val="18"/>
          <w:b w:val="1"/>
          <w:bCs w:val="1"/>
          <w:u w:val="single" w:color="auto"/>
          <w:color w:val="auto"/>
        </w:rPr>
        <w:t>EXHIBIT A</w:t>
      </w:r>
    </w:p>
    <w:p>
      <w:pPr>
        <w:spacing w:after="0" w:line="202" w:lineRule="exact"/>
        <w:rPr>
          <w:sz w:val="20"/>
          <w:szCs w:val="20"/>
          <w:color w:val="auto"/>
        </w:rPr>
      </w:pPr>
    </w:p>
    <w:p>
      <w:pPr>
        <w:jc w:val="center"/>
        <w:ind w:right="-19"/>
        <w:spacing w:after="0"/>
        <w:rPr>
          <w:sz w:val="20"/>
          <w:szCs w:val="20"/>
          <w:color w:val="auto"/>
        </w:rPr>
      </w:pPr>
      <w:r>
        <w:rPr>
          <w:rFonts w:ascii="Verdana" w:cs="Verdana" w:eastAsia="Verdana" w:hAnsi="Verdana"/>
          <w:sz w:val="18"/>
          <w:szCs w:val="18"/>
          <w:b w:val="1"/>
          <w:bCs w:val="1"/>
          <w:color w:val="auto"/>
        </w:rPr>
        <w:t>RELATIVE TOTAL SHAREHOLDER RETURN PEER GROUP MEMBERS</w:t>
      </w:r>
    </w:p>
    <w:p>
      <w:pPr>
        <w:spacing w:after="0" w:line="202" w:lineRule="exact"/>
        <w:rPr>
          <w:sz w:val="20"/>
          <w:szCs w:val="20"/>
          <w:color w:val="auto"/>
        </w:rPr>
      </w:pPr>
    </w:p>
    <w:p>
      <w:pPr>
        <w:spacing w:after="0" w:line="241" w:lineRule="auto"/>
        <w:rPr>
          <w:sz w:val="20"/>
          <w:szCs w:val="20"/>
          <w:color w:val="auto"/>
        </w:rPr>
      </w:pPr>
      <w:r>
        <w:rPr>
          <w:rFonts w:ascii="Verdana" w:cs="Verdana" w:eastAsia="Verdana" w:hAnsi="Verdana"/>
          <w:sz w:val="18"/>
          <w:szCs w:val="18"/>
          <w:color w:val="auto"/>
        </w:rPr>
        <w:t>The companies that make up the Standard &amp; Poors 500 Index on the first day of the Performance Period modified in accordance with the provisions of Section 2(b) of this Agreement.</w:t>
      </w:r>
    </w:p>
    <w:p>
      <w:pPr>
        <w:sectPr>
          <w:pgSz w:w="11900" w:h="16838" w:orient="portrait"/>
          <w:cols w:equalWidth="0" w:num="1">
            <w:col w:w="11240"/>
          </w:cols>
          <w:pgMar w:left="320" w:top="1397" w:right="339" w:bottom="1440" w:gutter="0" w:footer="0" w:header="0"/>
        </w:sectPr>
      </w:pPr>
    </w:p>
    <w:bookmarkStart w:id="230" w:name="page231"/>
    <w:bookmarkEnd w:id="230"/>
    <w:p>
      <w:pPr>
        <w:ind w:left="1760" w:right="500"/>
        <w:spacing w:after="0" w:line="321" w:lineRule="auto"/>
        <w:rPr>
          <w:sz w:val="20"/>
          <w:szCs w:val="20"/>
          <w:color w:val="auto"/>
        </w:rPr>
      </w:pPr>
      <w:r>
        <w:rPr>
          <w:rFonts w:ascii="Verdana" w:cs="Verdana" w:eastAsia="Verdana" w:hAnsi="Verdana"/>
          <w:sz w:val="26"/>
          <w:szCs w:val="26"/>
          <w:b w:val="1"/>
          <w:bCs w:val="1"/>
          <w:color w:val="auto"/>
        </w:rPr>
        <w:drawing>
          <wp:anchor simplePos="0" relativeHeight="251657728" behindDoc="1" locked="0" layoutInCell="0" allowOverlap="1">
            <wp:simplePos x="0" y="0"/>
            <wp:positionH relativeFrom="page">
              <wp:posOffset>214630</wp:posOffset>
            </wp:positionH>
            <wp:positionV relativeFrom="page">
              <wp:posOffset>106045</wp:posOffset>
            </wp:positionV>
            <wp:extent cx="793750" cy="5346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51">
                      <a:clrChange>
                        <a:clrFrom>
                          <a:srgbClr val="FFFFFF"/>
                        </a:clrFrom>
                        <a:clrTo>
                          <a:srgbClr val="FFFFFF">
                            <a:alpha val="0"/>
                          </a:srgbClr>
                        </a:clrTo>
                      </a:clrChange>
                      <a:extLst>
                        <a:ext uri="{28A0092B-C50C-407E-A947-70E740481C1C}"/>
                      </a:extLst>
                    </a:blip>
                    <a:srcRect/>
                    <a:stretch>
                      <a:fillRect/>
                    </a:stretch>
                  </pic:blipFill>
                  <pic:spPr bwMode="auto">
                    <a:xfrm>
                      <a:off x="0" y="0"/>
                      <a:ext cx="793750" cy="534670"/>
                    </a:xfrm>
                    <a:prstGeom prst="rect">
                      <a:avLst/>
                    </a:prstGeom>
                    <a:noFill/>
                  </pic:spPr>
                </pic:pic>
              </a:graphicData>
            </a:graphic>
          </wp:anchor>
        </w:drawing>
        <w:t>NRG ENERGY, INC. LONG-TERM INCENTIVE PLAN NOTICE OF RESTRICTED STOCK UNIT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-41275</wp:posOffset>
            </wp:positionV>
            <wp:extent cx="713549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5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8"/>
          <w:szCs w:val="28"/>
          <w:b w:val="1"/>
          <w:bCs w:val="1"/>
          <w:color w:val="auto"/>
        </w:rPr>
        <w:t>Exhibit 10.10</w:t>
      </w:r>
    </w:p>
    <w:p>
      <w:pPr>
        <w:spacing w:after="0" w:line="20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%%FIRST_NAME_LAST_NAME%-%</w:t>
      </w:r>
    </w:p>
    <w:p>
      <w:pPr>
        <w:spacing w:after="0" w:line="18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%%ADDRESS_LINE_1%-%</w:t>
      </w:r>
    </w:p>
    <w:p>
      <w:pPr>
        <w:spacing w:after="0" w:line="230" w:lineRule="auto"/>
        <w:rPr>
          <w:sz w:val="20"/>
          <w:szCs w:val="20"/>
          <w:color w:val="auto"/>
        </w:rPr>
      </w:pPr>
      <w:r>
        <w:rPr>
          <w:rFonts w:ascii="Verdana" w:cs="Verdana" w:eastAsia="Verdana" w:hAnsi="Verdana"/>
          <w:sz w:val="18"/>
          <w:szCs w:val="18"/>
          <w:b w:val="1"/>
          <w:bCs w:val="1"/>
          <w:color w:val="auto"/>
        </w:rPr>
        <w:t>%%ADDRESS_LINE_2%-%</w:t>
      </w:r>
    </w:p>
    <w:p>
      <w:pPr>
        <w:spacing w:after="0" w:line="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%%CITY_STATE_ZIPCODE%-%</w:t>
      </w:r>
    </w:p>
    <w:p>
      <w:pPr>
        <w:spacing w:after="0" w:line="202" w:lineRule="exact"/>
        <w:rPr>
          <w:sz w:val="20"/>
          <w:szCs w:val="20"/>
          <w:color w:val="auto"/>
        </w:rPr>
      </w:pPr>
    </w:p>
    <w:p>
      <w:pPr>
        <w:jc w:val="both"/>
        <w:spacing w:after="0" w:line="227" w:lineRule="auto"/>
        <w:rPr>
          <w:sz w:val="20"/>
          <w:szCs w:val="20"/>
          <w:color w:val="auto"/>
        </w:rPr>
      </w:pPr>
      <w:r>
        <w:rPr>
          <w:rFonts w:ascii="Verdana" w:cs="Verdana" w:eastAsia="Verdana" w:hAnsi="Verdana"/>
          <w:sz w:val="18"/>
          <w:szCs w:val="18"/>
          <w:color w:val="auto"/>
        </w:rPr>
        <w:t>Congratulations on your selection as a Participant under the NRG Energy, Inc. Amended and Restated Long-Term Incentive Plan, as amended from time to time</w:t>
      </w:r>
      <w:r>
        <w:rPr>
          <w:rFonts w:ascii="Verdana" w:cs="Verdana" w:eastAsia="Verdana" w:hAnsi="Verdana"/>
          <w:sz w:val="22"/>
          <w:szCs w:val="22"/>
          <w:color w:val="auto"/>
          <w:vertAlign w:val="superscript"/>
        </w:rPr>
        <w:t>1</w:t>
      </w:r>
      <w:r>
        <w:rPr>
          <w:rFonts w:ascii="Verdana" w:cs="Verdana" w:eastAsia="Verdana" w:hAnsi="Verdana"/>
          <w:sz w:val="18"/>
          <w:szCs w:val="18"/>
          <w:color w:val="auto"/>
        </w:rPr>
        <w:t xml:space="preserve"> (the “</w:t>
      </w:r>
      <w:r>
        <w:rPr>
          <w:rFonts w:ascii="Verdana" w:cs="Verdana" w:eastAsia="Verdana" w:hAnsi="Verdana"/>
          <w:sz w:val="18"/>
          <w:szCs w:val="18"/>
          <w:u w:val="single" w:color="auto"/>
          <w:color w:val="auto"/>
        </w:rPr>
        <w:t>Plan</w:t>
      </w:r>
      <w:r>
        <w:rPr>
          <w:rFonts w:ascii="Verdana" w:cs="Verdana" w:eastAsia="Verdana" w:hAnsi="Verdana"/>
          <w:sz w:val="18"/>
          <w:szCs w:val="18"/>
          <w:color w:val="auto"/>
        </w:rPr>
        <w:t>”). You have been chosen to receive Restricted Stock Units (“</w:t>
      </w:r>
      <w:r>
        <w:rPr>
          <w:rFonts w:ascii="Verdana" w:cs="Verdana" w:eastAsia="Verdana" w:hAnsi="Verdana"/>
          <w:sz w:val="18"/>
          <w:szCs w:val="18"/>
          <w:u w:val="single" w:color="auto"/>
          <w:color w:val="auto"/>
        </w:rPr>
        <w:t>RSUs</w:t>
      </w:r>
      <w:r>
        <w:rPr>
          <w:rFonts w:ascii="Verdana" w:cs="Verdana" w:eastAsia="Verdana" w:hAnsi="Verdana"/>
          <w:sz w:val="18"/>
          <w:szCs w:val="18"/>
          <w:color w:val="auto"/>
        </w:rPr>
        <w:t>”) under the Plan. This Notice of Restricted Stock Unit Grant (the “</w:t>
      </w:r>
      <w:r>
        <w:rPr>
          <w:rFonts w:ascii="Verdana" w:cs="Verdana" w:eastAsia="Verdana" w:hAnsi="Verdana"/>
          <w:sz w:val="18"/>
          <w:szCs w:val="18"/>
          <w:u w:val="single" w:color="auto"/>
          <w:color w:val="auto"/>
        </w:rPr>
        <w:t>Grant Notice</w:t>
      </w:r>
      <w:r>
        <w:rPr>
          <w:rFonts w:ascii="Verdana" w:cs="Verdana" w:eastAsia="Verdana" w:hAnsi="Verdana"/>
          <w:sz w:val="18"/>
          <w:szCs w:val="18"/>
          <w:color w:val="auto"/>
        </w:rPr>
        <w:t>”) and the attached Restricted Stock Unit Agreement (collectively referred to as the “Agreement”) constitute an agreement between you and NRG Energy, Inc. (the “</w:t>
      </w:r>
      <w:r>
        <w:rPr>
          <w:rFonts w:ascii="Verdana" w:cs="Verdana" w:eastAsia="Verdana" w:hAnsi="Verdana"/>
          <w:sz w:val="18"/>
          <w:szCs w:val="18"/>
          <w:u w:val="single" w:color="auto"/>
          <w:color w:val="auto"/>
        </w:rPr>
        <w:t>Company</w:t>
      </w:r>
      <w:r>
        <w:rPr>
          <w:rFonts w:ascii="Verdana" w:cs="Verdana" w:eastAsia="Verdana" w:hAnsi="Verdana"/>
          <w:sz w:val="18"/>
          <w:szCs w:val="18"/>
          <w:color w:val="auto"/>
        </w:rPr>
        <w:t xml:space="preserve">”) pursuant to </w:t>
      </w:r>
      <w:r>
        <w:rPr>
          <w:rFonts w:ascii="Verdana" w:cs="Verdana" w:eastAsia="Verdana" w:hAnsi="Verdana"/>
          <w:sz w:val="18"/>
          <w:szCs w:val="18"/>
          <w:u w:val="single" w:color="auto"/>
          <w:color w:val="auto"/>
        </w:rPr>
        <w:t>Section 8</w:t>
      </w:r>
      <w:r>
        <w:rPr>
          <w:rFonts w:ascii="Verdana" w:cs="Verdana" w:eastAsia="Verdana" w:hAnsi="Verdana"/>
          <w:sz w:val="18"/>
          <w:szCs w:val="18"/>
          <w:color w:val="auto"/>
        </w:rPr>
        <w:t xml:space="preserve"> of the Plan. In the event of any inconsistency between the terms of this Agreement and the terms of the Plan, the Plan’s terms shall supersede and replace the conflicting terms of this Agreement. Capitalized terms used but not defined in this Agreement shall have the meaning assigned to them in the Plan. You are sometimes referred to as the “</w:t>
      </w:r>
      <w:r>
        <w:rPr>
          <w:rFonts w:ascii="Verdana" w:cs="Verdana" w:eastAsia="Verdana" w:hAnsi="Verdana"/>
          <w:sz w:val="18"/>
          <w:szCs w:val="18"/>
          <w:u w:val="single" w:color="auto"/>
          <w:color w:val="auto"/>
        </w:rPr>
        <w:t>Participant</w:t>
      </w:r>
      <w:r>
        <w:rPr>
          <w:rFonts w:ascii="Verdana" w:cs="Verdana" w:eastAsia="Verdana" w:hAnsi="Verdana"/>
          <w:sz w:val="18"/>
          <w:szCs w:val="18"/>
          <w:color w:val="auto"/>
        </w:rPr>
        <w:t>” in this Agreement.</w:t>
      </w:r>
    </w:p>
    <w:p>
      <w:pPr>
        <w:spacing w:after="0" w:line="19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 xml:space="preserve">%%FIRST_NAME_LAST_NAME%-% </w:t>
      </w:r>
      <w:r>
        <w:rPr>
          <w:rFonts w:ascii="Verdana" w:cs="Verdana" w:eastAsia="Verdana" w:hAnsi="Verdana"/>
          <w:sz w:val="18"/>
          <w:szCs w:val="18"/>
          <w:color w:val="auto"/>
        </w:rPr>
        <w:t>is hereby granted RSUs as follows:</w:t>
      </w:r>
    </w:p>
    <w:p>
      <w:pPr>
        <w:spacing w:after="0" w:line="229" w:lineRule="exact"/>
        <w:rPr>
          <w:sz w:val="20"/>
          <w:szCs w:val="20"/>
          <w:color w:val="auto"/>
        </w:rPr>
      </w:pPr>
    </w:p>
    <w:tbl>
      <w:tblPr>
        <w:tblLayout w:type="fixed"/>
        <w:tblInd w:w="180" w:type="dxa"/>
        <w:tblCellMar>
          <w:top w:w="0" w:type="dxa"/>
          <w:left w:w="0" w:type="dxa"/>
          <w:bottom w:w="0" w:type="dxa"/>
          <w:right w:w="0" w:type="dxa"/>
        </w:tblCellMar>
      </w:tblPr>
      <w:tr>
        <w:trPr>
          <w:trHeight w:val="224"/>
        </w:trPr>
        <w:tc>
          <w:tcPr>
            <w:tcW w:w="3320" w:type="dxa"/>
            <w:vAlign w:val="bottom"/>
          </w:tcPr>
          <w:p>
            <w:pPr>
              <w:spacing w:after="0"/>
              <w:rPr>
                <w:sz w:val="20"/>
                <w:szCs w:val="20"/>
                <w:color w:val="auto"/>
              </w:rPr>
            </w:pPr>
            <w:r>
              <w:rPr>
                <w:rFonts w:ascii="Verdana" w:cs="Verdana" w:eastAsia="Verdana" w:hAnsi="Verdana"/>
                <w:sz w:val="18"/>
                <w:szCs w:val="18"/>
                <w:color w:val="auto"/>
              </w:rPr>
              <w:t>Date of Grant:</w:t>
            </w:r>
          </w:p>
        </w:tc>
        <w:tc>
          <w:tcPr>
            <w:tcW w:w="5640" w:type="dxa"/>
            <w:vAlign w:val="bottom"/>
            <w:gridSpan w:val="3"/>
          </w:tcPr>
          <w:p>
            <w:pPr>
              <w:ind w:left="620"/>
              <w:spacing w:after="0"/>
              <w:rPr>
                <w:sz w:val="20"/>
                <w:szCs w:val="20"/>
                <w:color w:val="auto"/>
              </w:rPr>
            </w:pPr>
            <w:r>
              <w:rPr>
                <w:rFonts w:ascii="Verdana" w:cs="Verdana" w:eastAsia="Verdana" w:hAnsi="Verdana"/>
                <w:sz w:val="18"/>
                <w:szCs w:val="18"/>
                <w:b w:val="1"/>
                <w:bCs w:val="1"/>
                <w:color w:val="auto"/>
              </w:rPr>
              <w:t>%%OPTION_DATE,’Month DD, YYYY’%-%</w:t>
            </w:r>
          </w:p>
        </w:tc>
      </w:tr>
      <w:tr>
        <w:trPr>
          <w:trHeight w:val="224"/>
        </w:trPr>
        <w:tc>
          <w:tcPr>
            <w:tcW w:w="3320" w:type="dxa"/>
            <w:vAlign w:val="bottom"/>
          </w:tcPr>
          <w:p>
            <w:pPr>
              <w:spacing w:after="0"/>
              <w:rPr>
                <w:sz w:val="20"/>
                <w:szCs w:val="20"/>
                <w:color w:val="auto"/>
              </w:rPr>
            </w:pPr>
            <w:r>
              <w:rPr>
                <w:rFonts w:ascii="Verdana" w:cs="Verdana" w:eastAsia="Verdana" w:hAnsi="Verdana"/>
                <w:sz w:val="18"/>
                <w:szCs w:val="18"/>
                <w:color w:val="auto"/>
              </w:rPr>
              <w:t>Vesting Commencement Date:</w:t>
            </w:r>
          </w:p>
        </w:tc>
        <w:tc>
          <w:tcPr>
            <w:tcW w:w="5640" w:type="dxa"/>
            <w:vAlign w:val="bottom"/>
            <w:gridSpan w:val="3"/>
          </w:tcPr>
          <w:p>
            <w:pPr>
              <w:ind w:left="620"/>
              <w:spacing w:after="0"/>
              <w:rPr>
                <w:sz w:val="20"/>
                <w:szCs w:val="20"/>
                <w:color w:val="auto"/>
              </w:rPr>
            </w:pPr>
            <w:r>
              <w:rPr>
                <w:rFonts w:ascii="Verdana" w:cs="Verdana" w:eastAsia="Verdana" w:hAnsi="Verdana"/>
                <w:sz w:val="18"/>
                <w:szCs w:val="18"/>
                <w:color w:val="auto"/>
              </w:rPr>
              <w:t>Date of Grant</w:t>
            </w:r>
          </w:p>
        </w:tc>
      </w:tr>
      <w:tr>
        <w:trPr>
          <w:trHeight w:val="216"/>
        </w:trPr>
        <w:tc>
          <w:tcPr>
            <w:tcW w:w="3320" w:type="dxa"/>
            <w:vAlign w:val="bottom"/>
          </w:tcPr>
          <w:p>
            <w:pPr>
              <w:spacing w:after="0" w:line="216" w:lineRule="exact"/>
              <w:rPr>
                <w:sz w:val="20"/>
                <w:szCs w:val="20"/>
                <w:color w:val="auto"/>
              </w:rPr>
            </w:pPr>
            <w:r>
              <w:rPr>
                <w:rFonts w:ascii="Verdana" w:cs="Verdana" w:eastAsia="Verdana" w:hAnsi="Verdana"/>
                <w:sz w:val="18"/>
                <w:szCs w:val="18"/>
                <w:color w:val="auto"/>
              </w:rPr>
              <w:t>Vesting Period:</w:t>
            </w:r>
          </w:p>
        </w:tc>
        <w:tc>
          <w:tcPr>
            <w:tcW w:w="5640" w:type="dxa"/>
            <w:vAlign w:val="bottom"/>
            <w:gridSpan w:val="3"/>
          </w:tcPr>
          <w:p>
            <w:pPr>
              <w:ind w:left="620"/>
              <w:spacing w:after="0" w:line="216" w:lineRule="exact"/>
              <w:rPr>
                <w:sz w:val="20"/>
                <w:szCs w:val="20"/>
                <w:color w:val="auto"/>
              </w:rPr>
            </w:pPr>
            <w:r>
              <w:rPr>
                <w:rFonts w:ascii="Verdana" w:cs="Verdana" w:eastAsia="Verdana" w:hAnsi="Verdana"/>
                <w:sz w:val="18"/>
                <w:szCs w:val="18"/>
                <w:color w:val="auto"/>
              </w:rPr>
              <w:t>Please refer to Section 2 of this Agreement</w:t>
            </w:r>
          </w:p>
        </w:tc>
      </w:tr>
      <w:tr>
        <w:trPr>
          <w:trHeight w:val="20"/>
        </w:trPr>
        <w:tc>
          <w:tcPr>
            <w:tcW w:w="3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466"/>
        </w:trPr>
        <w:tc>
          <w:tcPr>
            <w:tcW w:w="3320" w:type="dxa"/>
            <w:vAlign w:val="bottom"/>
          </w:tcPr>
          <w:p>
            <w:pPr>
              <w:spacing w:after="0"/>
              <w:rPr>
                <w:sz w:val="20"/>
                <w:szCs w:val="20"/>
                <w:color w:val="auto"/>
              </w:rPr>
            </w:pPr>
            <w:r>
              <w:rPr>
                <w:rFonts w:ascii="Verdana" w:cs="Verdana" w:eastAsia="Verdana" w:hAnsi="Verdana"/>
                <w:sz w:val="18"/>
                <w:szCs w:val="18"/>
                <w:color w:val="auto"/>
              </w:rPr>
              <w:t>Total Number of RSUs:</w:t>
            </w:r>
          </w:p>
        </w:tc>
        <w:tc>
          <w:tcPr>
            <w:tcW w:w="5640" w:type="dxa"/>
            <w:vAlign w:val="bottom"/>
            <w:gridSpan w:val="3"/>
          </w:tcPr>
          <w:p>
            <w:pPr>
              <w:ind w:left="620"/>
              <w:spacing w:after="0"/>
              <w:rPr>
                <w:sz w:val="20"/>
                <w:szCs w:val="20"/>
                <w:color w:val="auto"/>
              </w:rPr>
            </w:pPr>
            <w:r>
              <w:rPr>
                <w:rFonts w:ascii="Verdana" w:cs="Verdana" w:eastAsia="Verdana" w:hAnsi="Verdana"/>
                <w:sz w:val="18"/>
                <w:szCs w:val="18"/>
                <w:b w:val="1"/>
                <w:bCs w:val="1"/>
                <w:color w:val="auto"/>
                <w:w w:val="96"/>
              </w:rPr>
              <w:t>%%TOTAL_SHARES_GRANTED,’999,999,999’%-%</w:t>
            </w:r>
          </w:p>
        </w:tc>
      </w:tr>
    </w:tbl>
    <w:p>
      <w:pPr>
        <w:spacing w:after="0" w:line="88" w:lineRule="exact"/>
        <w:rPr>
          <w:sz w:val="20"/>
          <w:szCs w:val="20"/>
          <w:color w:val="auto"/>
        </w:rPr>
      </w:pPr>
    </w:p>
    <w:p>
      <w:pPr>
        <w:jc w:val="both"/>
        <w:spacing w:after="0" w:line="237" w:lineRule="auto"/>
        <w:rPr>
          <w:sz w:val="20"/>
          <w:szCs w:val="20"/>
          <w:color w:val="auto"/>
        </w:rPr>
      </w:pPr>
      <w:r>
        <w:rPr>
          <w:rFonts w:ascii="Verdana" w:cs="Verdana" w:eastAsia="Verdana" w:hAnsi="Verdana"/>
          <w:sz w:val="18"/>
          <w:szCs w:val="18"/>
          <w:color w:val="auto"/>
        </w:rPr>
        <w:t xml:space="preserve">Subject to </w:t>
      </w:r>
      <w:r>
        <w:rPr>
          <w:rFonts w:ascii="Verdana" w:cs="Verdana" w:eastAsia="Verdana" w:hAnsi="Verdana"/>
          <w:sz w:val="18"/>
          <w:szCs w:val="18"/>
          <w:u w:val="single" w:color="auto"/>
          <w:color w:val="auto"/>
        </w:rPr>
        <w:t>Section 8</w:t>
      </w:r>
      <w:r>
        <w:rPr>
          <w:rFonts w:ascii="Verdana" w:cs="Verdana" w:eastAsia="Verdana" w:hAnsi="Verdana"/>
          <w:sz w:val="18"/>
          <w:szCs w:val="18"/>
          <w:color w:val="auto"/>
        </w:rPr>
        <w:t xml:space="preserve"> of this Agreement, if you do not remain an employee of the Company or its Subsidiaries at all times during the Vesting Period, this Award shall terminate, and you will not be entitled to any Common Stock underlying the RSUs or any dividend equivalents that may have accrued with respect thereto.</w:t>
      </w:r>
    </w:p>
    <w:p>
      <w:pPr>
        <w:spacing w:after="0" w:line="194" w:lineRule="exact"/>
        <w:rPr>
          <w:sz w:val="20"/>
          <w:szCs w:val="20"/>
          <w:color w:val="auto"/>
        </w:rPr>
      </w:pPr>
    </w:p>
    <w:p>
      <w:pPr>
        <w:jc w:val="both"/>
        <w:spacing w:after="0" w:line="237" w:lineRule="auto"/>
        <w:rPr>
          <w:sz w:val="20"/>
          <w:szCs w:val="20"/>
          <w:color w:val="auto"/>
        </w:rPr>
      </w:pPr>
      <w:r>
        <w:rPr>
          <w:rFonts w:ascii="Verdana" w:cs="Verdana" w:eastAsia="Verdana" w:hAnsi="Verdana"/>
          <w:sz w:val="18"/>
          <w:szCs w:val="18"/>
          <w:b w:val="1"/>
          <w:bCs w:val="1"/>
          <w:color w:val="auto"/>
        </w:rPr>
        <w:t>If you disagree with any of the terms of this Award or choose not to accept this Award, please contact Peter Johnson at 609-524-4759 within 45 days of the Date of Grant. Otherwise, you will be deemed to have accepted this Award under the terms and conditions set forth in this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160401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53">
                      <a:extLst>
                        <a:ext uri="{28A0092B-C50C-407E-A947-70E740481C1C}"/>
                      </a:extLst>
                    </a:blip>
                    <a:srcRect/>
                    <a:stretch>
                      <a:fillRect/>
                    </a:stretch>
                  </pic:blipFill>
                  <pic:spPr bwMode="auto">
                    <a:xfrm>
                      <a:off x="0" y="0"/>
                      <a:ext cx="1604010" cy="8255"/>
                    </a:xfrm>
                    <a:prstGeom prst="rect">
                      <a:avLst/>
                    </a:prstGeom>
                    <a:noFill/>
                  </pic:spPr>
                </pic:pic>
              </a:graphicData>
            </a:graphic>
          </wp:anchor>
        </w:drawing>
      </w:r>
    </w:p>
    <w:p>
      <w:pPr>
        <w:spacing w:after="0" w:line="262" w:lineRule="exact"/>
        <w:rPr>
          <w:sz w:val="20"/>
          <w:szCs w:val="20"/>
          <w:color w:val="auto"/>
        </w:rPr>
      </w:pPr>
    </w:p>
    <w:p>
      <w:pPr>
        <w:ind w:left="120" w:hanging="115"/>
        <w:spacing w:after="0"/>
        <w:tabs>
          <w:tab w:leader="none" w:pos="120" w:val="left"/>
        </w:tabs>
        <w:numPr>
          <w:ilvl w:val="0"/>
          <w:numId w:val="187"/>
        </w:numPr>
        <w:rPr>
          <w:rFonts w:ascii="Verdana" w:cs="Verdana" w:eastAsia="Verdana" w:hAnsi="Verdana"/>
          <w:sz w:val="9"/>
          <w:szCs w:val="9"/>
          <w:color w:val="auto"/>
        </w:rPr>
      </w:pPr>
      <w:r>
        <w:rPr>
          <w:rFonts w:ascii="Verdana" w:cs="Verdana" w:eastAsia="Verdana" w:hAnsi="Verdana"/>
          <w:sz w:val="14"/>
          <w:szCs w:val="14"/>
          <w:color w:val="auto"/>
        </w:rPr>
        <w:t>As Amended and Restated on July 24, 2025.</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LEGAL\81347999\5</w:t>
      </w:r>
    </w:p>
    <w:p>
      <w:pPr>
        <w:spacing w:after="0" w:line="10" w:lineRule="exact"/>
        <w:rPr>
          <w:sz w:val="20"/>
          <w:szCs w:val="20"/>
          <w:color w:val="auto"/>
        </w:rPr>
      </w:pPr>
    </w:p>
    <w:p>
      <w:pPr>
        <w:spacing w:after="0"/>
        <w:rPr>
          <w:sz w:val="20"/>
          <w:szCs w:val="20"/>
          <w:color w:val="auto"/>
        </w:rPr>
      </w:pPr>
      <w:r>
        <w:rPr>
          <w:rFonts w:ascii="Verdana" w:cs="Verdana" w:eastAsia="Verdana" w:hAnsi="Verdana"/>
          <w:sz w:val="14"/>
          <w:szCs w:val="14"/>
          <w:color w:val="auto"/>
        </w:rPr>
        <w:t>2026 RSU Agreement (CEO)</w:t>
      </w:r>
    </w:p>
    <w:p>
      <w:pPr>
        <w:sectPr>
          <w:pgSz w:w="11900" w:h="16838" w:orient="portrait"/>
          <w:cols w:equalWidth="0" w:num="1">
            <w:col w:w="11240"/>
          </w:cols>
          <w:pgMar w:left="320" w:top="386" w:right="339" w:bottom="1440" w:gutter="0" w:footer="0" w:header="0"/>
        </w:sectPr>
      </w:pPr>
    </w:p>
    <w:bookmarkStart w:id="231" w:name="page232"/>
    <w:bookmarkEnd w:id="231"/>
    <w:p>
      <w:pPr>
        <w:ind w:left="1760" w:right="260"/>
        <w:spacing w:after="0" w:line="321" w:lineRule="auto"/>
        <w:rPr>
          <w:sz w:val="20"/>
          <w:szCs w:val="20"/>
          <w:color w:val="auto"/>
        </w:rPr>
      </w:pPr>
      <w:r>
        <w:rPr>
          <w:rFonts w:ascii="Verdana" w:cs="Verdana" w:eastAsia="Verdana" w:hAnsi="Verdana"/>
          <w:sz w:val="26"/>
          <w:szCs w:val="26"/>
          <w:b w:val="1"/>
          <w:bCs w:val="1"/>
          <w:color w:val="auto"/>
        </w:rPr>
        <w:drawing>
          <wp:anchor simplePos="0" relativeHeight="251657728" behindDoc="1" locked="0" layoutInCell="0" allowOverlap="1">
            <wp:simplePos x="0" y="0"/>
            <wp:positionH relativeFrom="page">
              <wp:posOffset>214630</wp:posOffset>
            </wp:positionH>
            <wp:positionV relativeFrom="page">
              <wp:posOffset>106045</wp:posOffset>
            </wp:positionV>
            <wp:extent cx="793750" cy="5346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54">
                      <a:clrChange>
                        <a:clrFrom>
                          <a:srgbClr val="FFFFFF"/>
                        </a:clrFrom>
                        <a:clrTo>
                          <a:srgbClr val="FFFFFF">
                            <a:alpha val="0"/>
                          </a:srgbClr>
                        </a:clrTo>
                      </a:clrChange>
                      <a:extLst>
                        <a:ext uri="{28A0092B-C50C-407E-A947-70E740481C1C}"/>
                      </a:extLst>
                    </a:blip>
                    <a:srcRect/>
                    <a:stretch>
                      <a:fillRect/>
                    </a:stretch>
                  </pic:blipFill>
                  <pic:spPr bwMode="auto">
                    <a:xfrm>
                      <a:off x="0" y="0"/>
                      <a:ext cx="793750" cy="534670"/>
                    </a:xfrm>
                    <a:prstGeom prst="rect">
                      <a:avLst/>
                    </a:prstGeom>
                    <a:noFill/>
                  </pic:spPr>
                </pic:pic>
              </a:graphicData>
            </a:graphic>
          </wp:anchor>
        </w:drawing>
        <w:t>NRG ENERGY, INC. LONG-TERM INCENTIVE PLAN RESTRICTED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-41275</wp:posOffset>
            </wp:positionV>
            <wp:extent cx="713549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55">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35" w:lineRule="auto"/>
        <w:rPr>
          <w:sz w:val="20"/>
          <w:szCs w:val="20"/>
          <w:color w:val="auto"/>
        </w:rPr>
      </w:pPr>
      <w:r>
        <w:rPr>
          <w:rFonts w:ascii="Verdana" w:cs="Verdana" w:eastAsia="Verdana" w:hAnsi="Verdana"/>
          <w:sz w:val="18"/>
          <w:szCs w:val="18"/>
          <w:color w:val="auto"/>
        </w:rPr>
        <w:t>This Restricted Stock Unit Agreement , dated as of the Date of Grant set forth in the Notice of Restricted Stock Unit Grant to which this Agreement is attached (the “</w:t>
      </w:r>
      <w:r>
        <w:rPr>
          <w:rFonts w:ascii="Verdana" w:cs="Verdana" w:eastAsia="Verdana" w:hAnsi="Verdana"/>
          <w:sz w:val="18"/>
          <w:szCs w:val="18"/>
          <w:u w:val="single" w:color="auto"/>
          <w:color w:val="auto"/>
        </w:rPr>
        <w:t>Grant Notice</w:t>
      </w:r>
      <w:r>
        <w:rPr>
          <w:rFonts w:ascii="Verdana" w:cs="Verdana" w:eastAsia="Verdana" w:hAnsi="Verdana"/>
          <w:sz w:val="18"/>
          <w:szCs w:val="18"/>
          <w:color w:val="auto"/>
        </w:rPr>
        <w:t>,” and together with this Restricted Stock Unit Agreement, the “</w:t>
      </w:r>
      <w:r>
        <w:rPr>
          <w:rFonts w:ascii="Verdana" w:cs="Verdana" w:eastAsia="Verdana" w:hAnsi="Verdana"/>
          <w:sz w:val="18"/>
          <w:szCs w:val="18"/>
          <w:u w:val="single" w:color="auto"/>
          <w:color w:val="auto"/>
        </w:rPr>
        <w:t>Agreement</w:t>
      </w:r>
      <w:r>
        <w:rPr>
          <w:rFonts w:ascii="Verdana" w:cs="Verdana" w:eastAsia="Verdana" w:hAnsi="Verdana"/>
          <w:sz w:val="18"/>
          <w:szCs w:val="18"/>
          <w:color w:val="auto"/>
        </w:rPr>
        <w:t>”), is made between NRG Energy, Inc. (the “</w:t>
      </w:r>
      <w:r>
        <w:rPr>
          <w:rFonts w:ascii="Verdana" w:cs="Verdana" w:eastAsia="Verdana" w:hAnsi="Verdana"/>
          <w:sz w:val="18"/>
          <w:szCs w:val="18"/>
          <w:u w:val="single" w:color="auto"/>
          <w:color w:val="auto"/>
        </w:rPr>
        <w:t>Company</w:t>
      </w:r>
      <w:r>
        <w:rPr>
          <w:rFonts w:ascii="Verdana" w:cs="Verdana" w:eastAsia="Verdana" w:hAnsi="Verdana"/>
          <w:sz w:val="18"/>
          <w:szCs w:val="18"/>
          <w:color w:val="auto"/>
        </w:rPr>
        <w:t>”) and the Participant, as set forth in the Grant Notice. The Grant Notice is included in, and made part of, this Agreement.</w:t>
      </w:r>
    </w:p>
    <w:p>
      <w:pPr>
        <w:spacing w:after="0" w:line="170" w:lineRule="exact"/>
        <w:rPr>
          <w:sz w:val="20"/>
          <w:szCs w:val="20"/>
          <w:color w:val="auto"/>
        </w:rPr>
      </w:pPr>
    </w:p>
    <w:p>
      <w:pPr>
        <w:ind w:left="620" w:hanging="615"/>
        <w:spacing w:after="0"/>
        <w:tabs>
          <w:tab w:leader="none" w:pos="620" w:val="left"/>
        </w:tabs>
        <w:numPr>
          <w:ilvl w:val="0"/>
          <w:numId w:val="188"/>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Grant of RSUs</w:t>
      </w:r>
    </w:p>
    <w:p>
      <w:pPr>
        <w:spacing w:after="0" w:line="202" w:lineRule="exact"/>
        <w:rPr>
          <w:rFonts w:ascii="Verdana" w:cs="Verdana" w:eastAsia="Verdana" w:hAnsi="Verdana"/>
          <w:sz w:val="18"/>
          <w:szCs w:val="18"/>
          <w:b w:val="1"/>
          <w:bCs w:val="1"/>
          <w:color w:val="010000"/>
        </w:rPr>
      </w:pPr>
    </w:p>
    <w:p>
      <w:pPr>
        <w:jc w:val="both"/>
        <w:ind w:left="640"/>
        <w:spacing w:after="0" w:line="237" w:lineRule="auto"/>
        <w:rPr>
          <w:rFonts w:ascii="Verdana" w:cs="Verdana" w:eastAsia="Verdana" w:hAnsi="Verdana"/>
          <w:sz w:val="18"/>
          <w:szCs w:val="18"/>
          <w:b w:val="1"/>
          <w:bCs w:val="1"/>
          <w:color w:val="010000"/>
        </w:rPr>
      </w:pPr>
      <w:r>
        <w:rPr>
          <w:rFonts w:ascii="Verdana" w:cs="Verdana" w:eastAsia="Verdana" w:hAnsi="Verdana"/>
          <w:sz w:val="18"/>
          <w:szCs w:val="18"/>
          <w:color w:val="auto"/>
        </w:rPr>
        <w:t>Subject to the provisions of this Agreement and the provisions of the NRG Energy, Inc. Amended and Restated Long-Term Incentive Plan, as amended from time to time (the “</w:t>
      </w:r>
      <w:r>
        <w:rPr>
          <w:rFonts w:ascii="Verdana" w:cs="Verdana" w:eastAsia="Verdana" w:hAnsi="Verdana"/>
          <w:sz w:val="18"/>
          <w:szCs w:val="18"/>
          <w:u w:val="single" w:color="auto"/>
          <w:color w:val="auto"/>
        </w:rPr>
        <w:t>Plan</w:t>
      </w:r>
      <w:r>
        <w:rPr>
          <w:rFonts w:ascii="Verdana" w:cs="Verdana" w:eastAsia="Verdana" w:hAnsi="Verdana"/>
          <w:sz w:val="18"/>
          <w:szCs w:val="18"/>
          <w:color w:val="auto"/>
        </w:rPr>
        <w:t>”), the Company hereby grants to the Participant the number of Restricted Stock Units (“</w:t>
      </w:r>
      <w:r>
        <w:rPr>
          <w:rFonts w:ascii="Verdana" w:cs="Verdana" w:eastAsia="Verdana" w:hAnsi="Verdana"/>
          <w:sz w:val="18"/>
          <w:szCs w:val="18"/>
          <w:u w:val="single" w:color="auto"/>
          <w:color w:val="auto"/>
        </w:rPr>
        <w:t>RSUs</w:t>
      </w:r>
      <w:r>
        <w:rPr>
          <w:rFonts w:ascii="Verdana" w:cs="Verdana" w:eastAsia="Verdana" w:hAnsi="Verdana"/>
          <w:sz w:val="18"/>
          <w:szCs w:val="18"/>
          <w:color w:val="auto"/>
        </w:rPr>
        <w:t>”) set forth in the Grant Notice.</w:t>
      </w:r>
    </w:p>
    <w:p>
      <w:pPr>
        <w:spacing w:after="0" w:line="167" w:lineRule="exact"/>
        <w:rPr>
          <w:rFonts w:ascii="Verdana" w:cs="Verdana" w:eastAsia="Verdana" w:hAnsi="Verdana"/>
          <w:sz w:val="18"/>
          <w:szCs w:val="18"/>
          <w:b w:val="1"/>
          <w:bCs w:val="1"/>
          <w:color w:val="010000"/>
        </w:rPr>
      </w:pPr>
    </w:p>
    <w:p>
      <w:pPr>
        <w:ind w:left="620" w:hanging="615"/>
        <w:spacing w:after="0"/>
        <w:tabs>
          <w:tab w:leader="none" w:pos="620" w:val="left"/>
        </w:tabs>
        <w:numPr>
          <w:ilvl w:val="0"/>
          <w:numId w:val="188"/>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Vesting Schedule</w:t>
      </w:r>
    </w:p>
    <w:p>
      <w:pPr>
        <w:spacing w:after="0" w:line="189" w:lineRule="exact"/>
        <w:rPr>
          <w:rFonts w:ascii="Verdana" w:cs="Verdana" w:eastAsia="Verdana" w:hAnsi="Verdana"/>
          <w:sz w:val="18"/>
          <w:szCs w:val="18"/>
          <w:b w:val="1"/>
          <w:bCs w:val="1"/>
          <w:color w:val="010000"/>
        </w:rPr>
      </w:pPr>
    </w:p>
    <w:p>
      <w:pPr>
        <w:jc w:val="both"/>
        <w:ind w:left="640"/>
        <w:spacing w:after="0" w:line="235" w:lineRule="auto"/>
        <w:rPr>
          <w:rFonts w:ascii="Verdana" w:cs="Verdana" w:eastAsia="Verdana" w:hAnsi="Verdana"/>
          <w:sz w:val="18"/>
          <w:szCs w:val="18"/>
          <w:b w:val="1"/>
          <w:bCs w:val="1"/>
          <w:color w:val="010000"/>
        </w:rPr>
      </w:pPr>
      <w:r>
        <w:rPr>
          <w:rFonts w:ascii="Verdana" w:cs="Verdana" w:eastAsia="Verdana" w:hAnsi="Verdana"/>
          <w:sz w:val="18"/>
          <w:szCs w:val="18"/>
          <w:color w:val="auto"/>
        </w:rPr>
        <w:t>Provided that you have been continuously employed by the Company or its Subsidiaries during the vesting period, the RSUs will vest one-third each year beginning on the first anniversary of the Date of Grant. For the avoidance of doubt, the vesting period for the second and third portions of the RSUs begins when the previous one-third portion of the RSUs has completed vesting.</w:t>
      </w:r>
    </w:p>
    <w:p>
      <w:pPr>
        <w:spacing w:after="0" w:line="169" w:lineRule="exact"/>
        <w:rPr>
          <w:rFonts w:ascii="Verdana" w:cs="Verdana" w:eastAsia="Verdana" w:hAnsi="Verdana"/>
          <w:sz w:val="18"/>
          <w:szCs w:val="18"/>
          <w:b w:val="1"/>
          <w:bCs w:val="1"/>
          <w:color w:val="010000"/>
        </w:rPr>
      </w:pPr>
    </w:p>
    <w:p>
      <w:pPr>
        <w:ind w:left="620" w:hanging="615"/>
        <w:spacing w:after="0"/>
        <w:tabs>
          <w:tab w:leader="none" w:pos="620" w:val="left"/>
        </w:tabs>
        <w:numPr>
          <w:ilvl w:val="0"/>
          <w:numId w:val="188"/>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Conversion of RSUs and Issuance of Shares</w:t>
      </w:r>
    </w:p>
    <w:p>
      <w:pPr>
        <w:spacing w:after="0" w:line="189" w:lineRule="exact"/>
        <w:rPr>
          <w:rFonts w:ascii="Verdana" w:cs="Verdana" w:eastAsia="Verdana" w:hAnsi="Verdana"/>
          <w:sz w:val="18"/>
          <w:szCs w:val="18"/>
          <w:b w:val="1"/>
          <w:bCs w:val="1"/>
          <w:color w:val="010000"/>
        </w:rPr>
      </w:pPr>
    </w:p>
    <w:p>
      <w:pPr>
        <w:jc w:val="both"/>
        <w:ind w:left="640"/>
        <w:spacing w:after="0" w:line="233" w:lineRule="auto"/>
        <w:rPr>
          <w:rFonts w:ascii="Verdana" w:cs="Verdana" w:eastAsia="Verdana" w:hAnsi="Verdana"/>
          <w:sz w:val="18"/>
          <w:szCs w:val="18"/>
          <w:b w:val="1"/>
          <w:bCs w:val="1"/>
          <w:color w:val="010000"/>
        </w:rPr>
      </w:pPr>
      <w:r>
        <w:rPr>
          <w:rFonts w:ascii="Verdana" w:cs="Verdana" w:eastAsia="Verdana" w:hAnsi="Verdana"/>
          <w:sz w:val="18"/>
          <w:szCs w:val="18"/>
          <w:color w:val="auto"/>
        </w:rPr>
        <w:t xml:space="preserve">As soon as reasonably practicable following vesting of the RSUs, but in no event later than March 15 of the year following the year of vesting of the RSUs, subject to satisfaction of applicable tax withholding obligations in accordance with </w:t>
      </w:r>
      <w:r>
        <w:rPr>
          <w:rFonts w:ascii="Verdana" w:cs="Verdana" w:eastAsia="Verdana" w:hAnsi="Verdana"/>
          <w:sz w:val="18"/>
          <w:szCs w:val="18"/>
          <w:u w:val="single" w:color="auto"/>
          <w:color w:val="auto"/>
        </w:rPr>
        <w:t>Section 12(g)</w:t>
      </w:r>
      <w:r>
        <w:rPr>
          <w:rFonts w:ascii="Verdana" w:cs="Verdana" w:eastAsia="Verdana" w:hAnsi="Verdana"/>
          <w:sz w:val="18"/>
          <w:szCs w:val="18"/>
          <w:color w:val="auto"/>
        </w:rPr>
        <w:t xml:space="preserve">, the Company shall cause to be paid to the Participant one (1) share of NRG Energy, Inc. Common Stock for each RSU that vests on such vesting date, </w:t>
      </w:r>
      <w:r>
        <w:rPr>
          <w:rFonts w:ascii="Verdana" w:cs="Verdana" w:eastAsia="Verdana" w:hAnsi="Verdana"/>
          <w:sz w:val="18"/>
          <w:szCs w:val="18"/>
          <w:u w:val="single" w:color="auto"/>
          <w:color w:val="auto"/>
        </w:rPr>
        <w:t>provided</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auto"/>
        </w:rPr>
        <w:t>however</w:t>
      </w:r>
      <w:r>
        <w:rPr>
          <w:rFonts w:ascii="Verdana" w:cs="Verdana" w:eastAsia="Verdana" w:hAnsi="Verdana"/>
          <w:sz w:val="18"/>
          <w:szCs w:val="18"/>
          <w:color w:val="auto"/>
        </w:rPr>
        <w:t xml:space="preserve">, that if the Participant incurs a Termination of Service that qualifies for vesting as described in </w:t>
      </w:r>
      <w:r>
        <w:rPr>
          <w:rFonts w:ascii="Verdana" w:cs="Verdana" w:eastAsia="Verdana" w:hAnsi="Verdana"/>
          <w:sz w:val="18"/>
          <w:szCs w:val="18"/>
          <w:u w:val="single" w:color="auto"/>
          <w:color w:val="auto"/>
        </w:rPr>
        <w:t>Section 8</w:t>
      </w:r>
      <w:r>
        <w:rPr>
          <w:rFonts w:ascii="Verdana" w:cs="Verdana" w:eastAsia="Verdana" w:hAnsi="Verdana"/>
          <w:sz w:val="18"/>
          <w:szCs w:val="18"/>
          <w:color w:val="auto"/>
        </w:rPr>
        <w:t xml:space="preserve">, then such payment shall be made on the next administratively feasible regularly scheduled payroll date but at no time more than sixty (60) days after the vesting date described in the applicable subsection of </w:t>
      </w:r>
      <w:r>
        <w:rPr>
          <w:rFonts w:ascii="Verdana" w:cs="Verdana" w:eastAsia="Verdana" w:hAnsi="Verdana"/>
          <w:sz w:val="18"/>
          <w:szCs w:val="18"/>
          <w:u w:val="single" w:color="auto"/>
          <w:color w:val="auto"/>
        </w:rPr>
        <w:t>Section 8</w:t>
      </w:r>
      <w:r>
        <w:rPr>
          <w:rFonts w:ascii="Verdana" w:cs="Verdana" w:eastAsia="Verdana" w:hAnsi="Verdana"/>
          <w:sz w:val="18"/>
          <w:szCs w:val="18"/>
          <w:color w:val="auto"/>
        </w:rPr>
        <w:t xml:space="preserve">, and, in accordance with </w:t>
      </w:r>
      <w:r>
        <w:rPr>
          <w:rFonts w:ascii="Verdana" w:cs="Verdana" w:eastAsia="Verdana" w:hAnsi="Verdana"/>
          <w:sz w:val="18"/>
          <w:szCs w:val="18"/>
          <w:u w:val="single" w:color="auto"/>
          <w:color w:val="auto"/>
        </w:rPr>
        <w:t>Section 12(g)</w:t>
      </w:r>
      <w:r>
        <w:rPr>
          <w:rFonts w:ascii="Verdana" w:cs="Verdana" w:eastAsia="Verdana" w:hAnsi="Verdana"/>
          <w:sz w:val="18"/>
          <w:szCs w:val="18"/>
          <w:color w:val="auto"/>
        </w:rPr>
        <w:t>, the Fair Market Value of the RSUs shall be determined as of such vesting date, less applicable taxes.</w:t>
      </w:r>
    </w:p>
    <w:p>
      <w:pPr>
        <w:spacing w:after="0" w:line="195" w:lineRule="exact"/>
        <w:rPr>
          <w:rFonts w:ascii="Verdana" w:cs="Verdana" w:eastAsia="Verdana" w:hAnsi="Verdana"/>
          <w:sz w:val="18"/>
          <w:szCs w:val="18"/>
          <w:b w:val="1"/>
          <w:bCs w:val="1"/>
          <w:color w:val="010000"/>
        </w:rPr>
      </w:pPr>
    </w:p>
    <w:p>
      <w:pPr>
        <w:jc w:val="both"/>
        <w:ind w:left="640"/>
        <w:spacing w:after="0" w:line="268" w:lineRule="auto"/>
        <w:rPr>
          <w:rFonts w:ascii="Verdana" w:cs="Verdana" w:eastAsia="Verdana" w:hAnsi="Verdana"/>
          <w:sz w:val="18"/>
          <w:szCs w:val="18"/>
          <w:b w:val="1"/>
          <w:bCs w:val="1"/>
          <w:color w:val="010000"/>
        </w:rPr>
      </w:pPr>
      <w:r>
        <w:rPr>
          <w:rFonts w:ascii="Verdana" w:cs="Verdana" w:eastAsia="Verdana" w:hAnsi="Verdana"/>
          <w:sz w:val="16"/>
          <w:szCs w:val="16"/>
          <w:color w:val="auto"/>
        </w:rPr>
        <w:t xml:space="preserve">Notwithstanding the foregoing provisions of this </w:t>
      </w:r>
      <w:r>
        <w:rPr>
          <w:rFonts w:ascii="Verdana" w:cs="Verdana" w:eastAsia="Verdana" w:hAnsi="Verdana"/>
          <w:sz w:val="16"/>
          <w:szCs w:val="16"/>
          <w:u w:val="single" w:color="auto"/>
          <w:color w:val="auto"/>
        </w:rPr>
        <w:t>Section 3</w:t>
      </w:r>
      <w:r>
        <w:rPr>
          <w:rFonts w:ascii="Verdana" w:cs="Verdana" w:eastAsia="Verdana" w:hAnsi="Verdana"/>
          <w:sz w:val="16"/>
          <w:szCs w:val="16"/>
          <w:color w:val="auto"/>
        </w:rPr>
        <w:t xml:space="preserve"> to the contrary, if at the time of the Participant’s separation from service within the meaning of Code Section 409A, the Participant is a “specified employee” within the meaning of Code Section 409A, any payment hereunder that constitutes a “deferral of compensation” under Code Section 409A and that would otherwise become due on account of such separation from service, shall be delayed, and payment shall be made in full upon the earlier of (a) a date during the thirty (30) day period commencing six (6) months and one (1) day following such separation from service and (b) the date of the Participant’s death.</w:t>
      </w:r>
    </w:p>
    <w:p>
      <w:pPr>
        <w:spacing w:after="0" w:line="144" w:lineRule="exact"/>
        <w:rPr>
          <w:rFonts w:ascii="Verdana" w:cs="Verdana" w:eastAsia="Verdana" w:hAnsi="Verdana"/>
          <w:sz w:val="18"/>
          <w:szCs w:val="18"/>
          <w:b w:val="1"/>
          <w:bCs w:val="1"/>
          <w:color w:val="010000"/>
        </w:rPr>
      </w:pPr>
    </w:p>
    <w:p>
      <w:pPr>
        <w:ind w:left="620" w:hanging="615"/>
        <w:spacing w:after="0"/>
        <w:tabs>
          <w:tab w:leader="none" w:pos="620" w:val="left"/>
        </w:tabs>
        <w:numPr>
          <w:ilvl w:val="0"/>
          <w:numId w:val="188"/>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Dividend Equivalent Rights</w:t>
      </w:r>
    </w:p>
    <w:p>
      <w:pPr>
        <w:spacing w:after="0" w:line="202" w:lineRule="exact"/>
        <w:rPr>
          <w:rFonts w:ascii="Verdana" w:cs="Verdana" w:eastAsia="Verdana" w:hAnsi="Verdana"/>
          <w:sz w:val="18"/>
          <w:szCs w:val="18"/>
          <w:b w:val="1"/>
          <w:bCs w:val="1"/>
          <w:color w:val="010000"/>
        </w:rPr>
      </w:pPr>
    </w:p>
    <w:p>
      <w:pPr>
        <w:jc w:val="both"/>
        <w:ind w:left="640"/>
        <w:spacing w:after="0" w:line="235" w:lineRule="auto"/>
        <w:rPr>
          <w:rFonts w:ascii="Verdana" w:cs="Verdana" w:eastAsia="Verdana" w:hAnsi="Verdana"/>
          <w:sz w:val="18"/>
          <w:szCs w:val="18"/>
          <w:b w:val="1"/>
          <w:bCs w:val="1"/>
          <w:color w:val="010000"/>
        </w:rPr>
      </w:pPr>
      <w:r>
        <w:rPr>
          <w:rFonts w:ascii="Verdana" w:cs="Verdana" w:eastAsia="Verdana" w:hAnsi="Verdana"/>
          <w:sz w:val="18"/>
          <w:szCs w:val="18"/>
          <w:color w:val="auto"/>
        </w:rPr>
        <w:t xml:space="preserve">Cash dividends on shares of Common Stock issuable hereunder shall be credited to a dividend book entry account on behalf of the Participant with respect to each RSU granted to the Participant; </w:t>
      </w:r>
      <w:r>
        <w:rPr>
          <w:rFonts w:ascii="Verdana" w:cs="Verdana" w:eastAsia="Verdana" w:hAnsi="Verdana"/>
          <w:sz w:val="18"/>
          <w:szCs w:val="18"/>
          <w:u w:val="single" w:color="auto"/>
          <w:color w:val="auto"/>
        </w:rPr>
        <w:t>provided</w:t>
      </w:r>
      <w:r>
        <w:rPr>
          <w:rFonts w:ascii="Verdana" w:cs="Verdana" w:eastAsia="Verdana" w:hAnsi="Verdana"/>
          <w:sz w:val="18"/>
          <w:szCs w:val="18"/>
          <w:color w:val="auto"/>
        </w:rPr>
        <w:t xml:space="preserve"> that such cash dividends shall be deemed to be reinvested in shares of Common Stock immediately following the time declared at the then Fair Market Value of the Common Stock and shall vest and be paid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1"/>
          <w:szCs w:val="21"/>
          <w:color w:val="auto"/>
        </w:rPr>
        <w:t>2</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LEGAL\81347999\5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2026 RSU Agreement (CEO)</w:t>
      </w:r>
    </w:p>
    <w:p>
      <w:pPr>
        <w:sectPr>
          <w:pgSz w:w="11900" w:h="16838" w:orient="portrait"/>
          <w:cols w:equalWidth="0" w:num="1">
            <w:col w:w="11240"/>
          </w:cols>
          <w:pgMar w:left="320" w:top="386" w:right="339" w:bottom="1440" w:gutter="0" w:footer="0" w:header="0"/>
        </w:sectPr>
      </w:pPr>
    </w:p>
    <w:bookmarkStart w:id="232" w:name="page233"/>
    <w:bookmarkEnd w:id="232"/>
    <w:p>
      <w:pPr>
        <w:spacing w:after="0" w:line="200" w:lineRule="exact"/>
        <w:rPr>
          <w:sz w:val="20"/>
          <w:szCs w:val="20"/>
          <w:color w:val="auto"/>
        </w:rPr>
      </w:pPr>
    </w:p>
    <w:p>
      <w:pPr>
        <w:spacing w:after="0" w:line="232" w:lineRule="exact"/>
        <w:rPr>
          <w:sz w:val="20"/>
          <w:szCs w:val="20"/>
          <w:color w:val="auto"/>
        </w:rPr>
      </w:pPr>
    </w:p>
    <w:p>
      <w:pPr>
        <w:jc w:val="both"/>
        <w:ind w:left="640"/>
        <w:spacing w:after="0" w:line="264" w:lineRule="auto"/>
        <w:rPr>
          <w:sz w:val="20"/>
          <w:szCs w:val="20"/>
          <w:color w:val="auto"/>
        </w:rPr>
      </w:pPr>
      <w:r>
        <w:rPr>
          <w:rFonts w:ascii="Verdana" w:cs="Verdana" w:eastAsia="Verdana" w:hAnsi="Verdana"/>
          <w:sz w:val="16"/>
          <w:szCs w:val="16"/>
          <w:color w:val="auto"/>
        </w:rPr>
        <w:t xml:space="preserve">same time that the shares of Common Stock underlying the RSUs vest and are delivered to the Participant in accordance with the provisions hereof. Stock dividends on shares of Common Stock issuable hereunder shall be credited to a dividend book entry account on behalf of the Participant with respect to each RSU granted to the Participant; </w:t>
      </w:r>
      <w:r>
        <w:rPr>
          <w:rFonts w:ascii="Verdana" w:cs="Verdana" w:eastAsia="Verdana" w:hAnsi="Verdana"/>
          <w:sz w:val="16"/>
          <w:szCs w:val="16"/>
          <w:u w:val="single" w:color="auto"/>
          <w:color w:val="auto"/>
        </w:rPr>
        <w:t>provided</w:t>
      </w:r>
      <w:r>
        <w:rPr>
          <w:rFonts w:ascii="Verdana" w:cs="Verdana" w:eastAsia="Verdana" w:hAnsi="Verdana"/>
          <w:sz w:val="16"/>
          <w:szCs w:val="16"/>
          <w:color w:val="auto"/>
        </w:rPr>
        <w:t xml:space="preserve"> that such stock dividends shall vest and be paid at the same time that the shares of Common Stock underlying the RSUs vest and are delivered to the Participant in accordance with the provisions hereof. Notwithstanding the foregoing, in the event that there are insufficient shares of Common Stock available in the Plan to settle the accrued dividend book entry account in shares of Common Stock, such accrued book entry account shall be settled in cash in an amount equal to the Fair Market Value of such shares of Common Stock at the time of settlement. Except as otherwise provided herein, the Participant shall have no rights as a stockholder with respect to any shares of Common Stock underlying any RSU unless and until the Participant has become the holder of record of such shares.</w:t>
      </w:r>
    </w:p>
    <w:p>
      <w:pPr>
        <w:spacing w:after="0" w:line="364" w:lineRule="exact"/>
        <w:rPr>
          <w:sz w:val="20"/>
          <w:szCs w:val="20"/>
          <w:color w:val="auto"/>
        </w:rPr>
      </w:pPr>
    </w:p>
    <w:p>
      <w:pPr>
        <w:ind w:left="620" w:hanging="615"/>
        <w:spacing w:after="0"/>
        <w:tabs>
          <w:tab w:leader="none" w:pos="620" w:val="left"/>
        </w:tabs>
        <w:numPr>
          <w:ilvl w:val="0"/>
          <w:numId w:val="189"/>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Transfer of RSUs</w:t>
      </w:r>
    </w:p>
    <w:p>
      <w:pPr>
        <w:spacing w:after="0" w:line="202" w:lineRule="exact"/>
        <w:rPr>
          <w:rFonts w:ascii="Verdana" w:cs="Verdana" w:eastAsia="Verdana" w:hAnsi="Verdana"/>
          <w:sz w:val="18"/>
          <w:szCs w:val="18"/>
          <w:b w:val="1"/>
          <w:bCs w:val="1"/>
          <w:color w:val="010000"/>
        </w:rPr>
      </w:pPr>
    </w:p>
    <w:p>
      <w:pPr>
        <w:jc w:val="both"/>
        <w:ind w:left="640"/>
        <w:spacing w:after="0" w:line="237" w:lineRule="auto"/>
        <w:rPr>
          <w:rFonts w:ascii="Verdana" w:cs="Verdana" w:eastAsia="Verdana" w:hAnsi="Verdana"/>
          <w:sz w:val="18"/>
          <w:szCs w:val="18"/>
          <w:b w:val="1"/>
          <w:bCs w:val="1"/>
          <w:color w:val="010000"/>
        </w:rPr>
      </w:pPr>
      <w:r>
        <w:rPr>
          <w:rFonts w:ascii="Verdana" w:cs="Verdana" w:eastAsia="Verdana" w:hAnsi="Verdana"/>
          <w:sz w:val="18"/>
          <w:szCs w:val="18"/>
          <w:color w:val="auto"/>
        </w:rPr>
        <w:t xml:space="preserve">Unless otherwise permitted by the Committee or </w:t>
      </w:r>
      <w:r>
        <w:rPr>
          <w:rFonts w:ascii="Verdana" w:cs="Verdana" w:eastAsia="Verdana" w:hAnsi="Verdana"/>
          <w:sz w:val="18"/>
          <w:szCs w:val="18"/>
          <w:u w:val="single" w:color="auto"/>
          <w:color w:val="auto"/>
        </w:rPr>
        <w:t>Section 14</w:t>
      </w:r>
      <w:r>
        <w:rPr>
          <w:rFonts w:ascii="Verdana" w:cs="Verdana" w:eastAsia="Verdana" w:hAnsi="Verdana"/>
          <w:sz w:val="18"/>
          <w:szCs w:val="18"/>
          <w:color w:val="auto"/>
        </w:rPr>
        <w:t xml:space="preserve"> of the Plan, the RSUs may not be sold, transferred, pledged, assigned or otherwise alienated or hypothecated, other than pursuant to a will or the laws of descent and distribution. Any attempted disposition in violation of this </w:t>
      </w:r>
      <w:r>
        <w:rPr>
          <w:rFonts w:ascii="Verdana" w:cs="Verdana" w:eastAsia="Verdana" w:hAnsi="Verdana"/>
          <w:sz w:val="18"/>
          <w:szCs w:val="18"/>
          <w:u w:val="single" w:color="auto"/>
          <w:color w:val="auto"/>
        </w:rPr>
        <w:t>Section 5</w:t>
      </w:r>
      <w:r>
        <w:rPr>
          <w:rFonts w:ascii="Verdana" w:cs="Verdana" w:eastAsia="Verdana" w:hAnsi="Verdana"/>
          <w:sz w:val="18"/>
          <w:szCs w:val="18"/>
          <w:color w:val="auto"/>
        </w:rPr>
        <w:t xml:space="preserve"> and </w:t>
      </w:r>
      <w:r>
        <w:rPr>
          <w:rFonts w:ascii="Verdana" w:cs="Verdana" w:eastAsia="Verdana" w:hAnsi="Verdana"/>
          <w:sz w:val="18"/>
          <w:szCs w:val="18"/>
          <w:u w:val="single" w:color="auto"/>
          <w:color w:val="auto"/>
        </w:rPr>
        <w:t>Section 14</w:t>
      </w:r>
      <w:r>
        <w:rPr>
          <w:rFonts w:ascii="Verdana" w:cs="Verdana" w:eastAsia="Verdana" w:hAnsi="Verdana"/>
          <w:sz w:val="18"/>
          <w:szCs w:val="18"/>
          <w:color w:val="auto"/>
        </w:rPr>
        <w:t xml:space="preserve"> of the Plan shall be void.</w:t>
      </w:r>
    </w:p>
    <w:p>
      <w:pPr>
        <w:spacing w:after="0" w:line="167" w:lineRule="exact"/>
        <w:rPr>
          <w:rFonts w:ascii="Verdana" w:cs="Verdana" w:eastAsia="Verdana" w:hAnsi="Verdana"/>
          <w:sz w:val="18"/>
          <w:szCs w:val="18"/>
          <w:b w:val="1"/>
          <w:bCs w:val="1"/>
          <w:color w:val="010000"/>
        </w:rPr>
      </w:pPr>
    </w:p>
    <w:p>
      <w:pPr>
        <w:ind w:left="620" w:hanging="615"/>
        <w:spacing w:after="0"/>
        <w:tabs>
          <w:tab w:leader="none" w:pos="620" w:val="left"/>
        </w:tabs>
        <w:numPr>
          <w:ilvl w:val="0"/>
          <w:numId w:val="189"/>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Status of Participant</w:t>
      </w:r>
    </w:p>
    <w:p>
      <w:pPr>
        <w:spacing w:after="0" w:line="189" w:lineRule="exact"/>
        <w:rPr>
          <w:rFonts w:ascii="Verdana" w:cs="Verdana" w:eastAsia="Verdana" w:hAnsi="Verdana"/>
          <w:sz w:val="18"/>
          <w:szCs w:val="18"/>
          <w:b w:val="1"/>
          <w:bCs w:val="1"/>
          <w:color w:val="010000"/>
        </w:rPr>
      </w:pPr>
    </w:p>
    <w:p>
      <w:pPr>
        <w:jc w:val="both"/>
        <w:ind w:left="640"/>
        <w:spacing w:after="0" w:line="234" w:lineRule="auto"/>
        <w:rPr>
          <w:rFonts w:ascii="Verdana" w:cs="Verdana" w:eastAsia="Verdana" w:hAnsi="Verdana"/>
          <w:sz w:val="18"/>
          <w:szCs w:val="18"/>
          <w:b w:val="1"/>
          <w:bCs w:val="1"/>
          <w:color w:val="010000"/>
        </w:rPr>
      </w:pPr>
      <w:r>
        <w:rPr>
          <w:rFonts w:ascii="Verdana" w:cs="Verdana" w:eastAsia="Verdana" w:hAnsi="Verdana"/>
          <w:sz w:val="18"/>
          <w:szCs w:val="18"/>
          <w:color w:val="auto"/>
        </w:rPr>
        <w:t>The Participant shall not be, and, except as otherwise provided herein, shall not have rights as, a stockholder of the Company with respect to any of the shares of Common Stock subject to this Award, unless the Award has vested and shares of Common Stock underlying the RSUs have been issued and delivered to the Participant. The Company shall not be required to issue or transfer any certificates for shares of Common Stock upon vesting of the Award until all applicable requirements of law have been complied with and such shares have been duly listed on any securities exchange on which the Common Stock may then be listed.</w:t>
      </w:r>
    </w:p>
    <w:p>
      <w:pPr>
        <w:spacing w:after="0" w:line="167" w:lineRule="exact"/>
        <w:rPr>
          <w:rFonts w:ascii="Verdana" w:cs="Verdana" w:eastAsia="Verdana" w:hAnsi="Verdana"/>
          <w:sz w:val="18"/>
          <w:szCs w:val="18"/>
          <w:b w:val="1"/>
          <w:bCs w:val="1"/>
          <w:color w:val="010000"/>
        </w:rPr>
      </w:pPr>
    </w:p>
    <w:p>
      <w:pPr>
        <w:ind w:left="620" w:hanging="615"/>
        <w:spacing w:after="0"/>
        <w:tabs>
          <w:tab w:leader="none" w:pos="620" w:val="left"/>
        </w:tabs>
        <w:numPr>
          <w:ilvl w:val="0"/>
          <w:numId w:val="189"/>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No Effect on Capital Structure</w:t>
      </w:r>
    </w:p>
    <w:p>
      <w:pPr>
        <w:spacing w:after="0" w:line="189" w:lineRule="exact"/>
        <w:rPr>
          <w:rFonts w:ascii="Verdana" w:cs="Verdana" w:eastAsia="Verdana" w:hAnsi="Verdana"/>
          <w:sz w:val="18"/>
          <w:szCs w:val="18"/>
          <w:b w:val="1"/>
          <w:bCs w:val="1"/>
          <w:color w:val="010000"/>
        </w:rPr>
      </w:pPr>
    </w:p>
    <w:p>
      <w:pPr>
        <w:jc w:val="both"/>
        <w:ind w:left="640"/>
        <w:spacing w:after="0" w:line="237" w:lineRule="auto"/>
        <w:rPr>
          <w:rFonts w:ascii="Verdana" w:cs="Verdana" w:eastAsia="Verdana" w:hAnsi="Verdana"/>
          <w:sz w:val="18"/>
          <w:szCs w:val="18"/>
          <w:b w:val="1"/>
          <w:bCs w:val="1"/>
          <w:color w:val="010000"/>
        </w:rPr>
      </w:pPr>
      <w:r>
        <w:rPr>
          <w:rFonts w:ascii="Verdana" w:cs="Verdana" w:eastAsia="Verdana" w:hAnsi="Verdana"/>
          <w:sz w:val="18"/>
          <w:szCs w:val="18"/>
          <w:color w:val="auto"/>
        </w:rPr>
        <w:t>This Award shall not affect the right of the Company or any Subsidiary to reclassify, recapitalize or otherwise change its capital or debt structure or to merge, consolidate, convey any or all of its assets, dissolve, liquidate, windup, or otherwise reorganize.</w:t>
      </w:r>
    </w:p>
    <w:p>
      <w:pPr>
        <w:spacing w:after="0" w:line="167" w:lineRule="exact"/>
        <w:rPr>
          <w:rFonts w:ascii="Verdana" w:cs="Verdana" w:eastAsia="Verdana" w:hAnsi="Verdana"/>
          <w:sz w:val="18"/>
          <w:szCs w:val="18"/>
          <w:b w:val="1"/>
          <w:bCs w:val="1"/>
          <w:color w:val="010000"/>
        </w:rPr>
      </w:pPr>
    </w:p>
    <w:p>
      <w:pPr>
        <w:ind w:left="620" w:hanging="615"/>
        <w:spacing w:after="0"/>
        <w:tabs>
          <w:tab w:leader="none" w:pos="620" w:val="left"/>
        </w:tabs>
        <w:numPr>
          <w:ilvl w:val="0"/>
          <w:numId w:val="189"/>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Expiration and Forfeiture of Award</w:t>
      </w:r>
    </w:p>
    <w:p>
      <w:pPr>
        <w:spacing w:after="0" w:line="202" w:lineRule="exact"/>
        <w:rPr>
          <w:rFonts w:ascii="Verdana" w:cs="Verdana" w:eastAsia="Verdana" w:hAnsi="Verdana"/>
          <w:sz w:val="18"/>
          <w:szCs w:val="18"/>
          <w:b w:val="1"/>
          <w:bCs w:val="1"/>
          <w:color w:val="010000"/>
        </w:rPr>
      </w:pPr>
    </w:p>
    <w:p>
      <w:pPr>
        <w:jc w:val="both"/>
        <w:ind w:left="640"/>
        <w:spacing w:after="0" w:line="237" w:lineRule="auto"/>
        <w:rPr>
          <w:rFonts w:ascii="Verdana" w:cs="Verdana" w:eastAsia="Verdana" w:hAnsi="Verdana"/>
          <w:sz w:val="18"/>
          <w:szCs w:val="18"/>
          <w:b w:val="1"/>
          <w:bCs w:val="1"/>
          <w:color w:val="010000"/>
        </w:rPr>
      </w:pPr>
      <w:r>
        <w:rPr>
          <w:rFonts w:ascii="Verdana" w:cs="Verdana" w:eastAsia="Verdana" w:hAnsi="Verdana"/>
          <w:sz w:val="18"/>
          <w:szCs w:val="18"/>
          <w:color w:val="auto"/>
        </w:rPr>
        <w:t xml:space="preserve">This Award shall vest and/or expire in the circumstances described in this </w:t>
      </w:r>
      <w:r>
        <w:rPr>
          <w:rFonts w:ascii="Verdana" w:cs="Verdana" w:eastAsia="Verdana" w:hAnsi="Verdana"/>
          <w:sz w:val="18"/>
          <w:szCs w:val="18"/>
          <w:u w:val="single" w:color="auto"/>
          <w:color w:val="auto"/>
        </w:rPr>
        <w:t>Section 8</w:t>
      </w:r>
      <w:r>
        <w:rPr>
          <w:rFonts w:ascii="Verdana" w:cs="Verdana" w:eastAsia="Verdana" w:hAnsi="Verdana"/>
          <w:sz w:val="18"/>
          <w:szCs w:val="18"/>
          <w:color w:val="auto"/>
        </w:rPr>
        <w:t>. As used herein, “</w:t>
      </w:r>
      <w:r>
        <w:rPr>
          <w:rFonts w:ascii="Verdana" w:cs="Verdana" w:eastAsia="Verdana" w:hAnsi="Verdana"/>
          <w:sz w:val="18"/>
          <w:szCs w:val="18"/>
          <w:u w:val="single" w:color="auto"/>
          <w:color w:val="auto"/>
        </w:rPr>
        <w:t>Termination of</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auto"/>
        </w:rPr>
        <w:t>Service</w:t>
      </w:r>
      <w:r>
        <w:rPr>
          <w:rFonts w:ascii="Verdana" w:cs="Verdana" w:eastAsia="Verdana" w:hAnsi="Verdana"/>
          <w:sz w:val="18"/>
          <w:szCs w:val="18"/>
          <w:color w:val="auto"/>
        </w:rPr>
        <w:t>” means termination of a Participant’s employment by, or service to, the Company, including any of its Subsidiaries.</w:t>
      </w:r>
    </w:p>
    <w:p>
      <w:pPr>
        <w:spacing w:after="0" w:line="167" w:lineRule="exact"/>
        <w:rPr>
          <w:rFonts w:ascii="Verdana" w:cs="Verdana" w:eastAsia="Verdana" w:hAnsi="Verdana"/>
          <w:sz w:val="18"/>
          <w:szCs w:val="18"/>
          <w:b w:val="1"/>
          <w:bCs w:val="1"/>
          <w:color w:val="010000"/>
        </w:rPr>
      </w:pPr>
    </w:p>
    <w:p>
      <w:pPr>
        <w:ind w:left="1260" w:hanging="623"/>
        <w:spacing w:after="0"/>
        <w:tabs>
          <w:tab w:leader="none" w:pos="1260" w:val="left"/>
        </w:tabs>
        <w:numPr>
          <w:ilvl w:val="1"/>
          <w:numId w:val="189"/>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Death</w:t>
      </w:r>
    </w:p>
    <w:p>
      <w:pPr>
        <w:spacing w:after="0" w:line="189" w:lineRule="exact"/>
        <w:rPr>
          <w:sz w:val="20"/>
          <w:szCs w:val="20"/>
          <w:color w:val="auto"/>
        </w:rPr>
      </w:pPr>
    </w:p>
    <w:p>
      <w:pPr>
        <w:ind w:left="640"/>
        <w:spacing w:after="0" w:line="241" w:lineRule="auto"/>
        <w:rPr>
          <w:sz w:val="20"/>
          <w:szCs w:val="20"/>
          <w:color w:val="auto"/>
        </w:rPr>
      </w:pPr>
      <w:r>
        <w:rPr>
          <w:rFonts w:ascii="Verdana" w:cs="Verdana" w:eastAsia="Verdana" w:hAnsi="Verdana"/>
          <w:sz w:val="18"/>
          <w:szCs w:val="18"/>
          <w:color w:val="auto"/>
        </w:rPr>
        <w:t>Upon a Termination of Service by reason of death, the Award shall vest in full and the Common Stock underlying the RSUs shall be issued and delivered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LEGAL\81347999\5</w:t>
      </w:r>
    </w:p>
    <w:p>
      <w:pPr>
        <w:spacing w:after="0"/>
        <w:rPr>
          <w:sz w:val="20"/>
          <w:szCs w:val="20"/>
          <w:color w:val="auto"/>
        </w:rPr>
      </w:pPr>
      <w:r>
        <w:rPr>
          <w:rFonts w:ascii="Verdana" w:cs="Verdana" w:eastAsia="Verdana" w:hAnsi="Verdana"/>
          <w:sz w:val="14"/>
          <w:szCs w:val="14"/>
          <w:color w:val="auto"/>
        </w:rPr>
        <w:t>2026 RSU Agreement (CEO)</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200" w:lineRule="exact"/>
        <w:rPr>
          <w:sz w:val="20"/>
          <w:szCs w:val="20"/>
          <w:color w:val="auto"/>
        </w:rPr>
      </w:pPr>
    </w:p>
    <w:p>
      <w:pPr>
        <w:spacing w:after="0" w:line="232" w:lineRule="exact"/>
        <w:rPr>
          <w:sz w:val="20"/>
          <w:szCs w:val="20"/>
          <w:color w:val="auto"/>
        </w:rPr>
      </w:pPr>
    </w:p>
    <w:p>
      <w:pPr>
        <w:ind w:left="640"/>
        <w:spacing w:after="0"/>
        <w:rPr>
          <w:sz w:val="20"/>
          <w:szCs w:val="20"/>
          <w:color w:val="auto"/>
        </w:rPr>
      </w:pPr>
      <w:r>
        <w:rPr>
          <w:rFonts w:ascii="Verdana" w:cs="Verdana" w:eastAsia="Verdana" w:hAnsi="Verdana"/>
          <w:sz w:val="18"/>
          <w:szCs w:val="18"/>
          <w:color w:val="auto"/>
        </w:rPr>
        <w:t xml:space="preserve">Participant’s legal representatives, heirs, legatees, or distributees in accordance with </w:t>
      </w:r>
      <w:r>
        <w:rPr>
          <w:rFonts w:ascii="Verdana" w:cs="Verdana" w:eastAsia="Verdana" w:hAnsi="Verdana"/>
          <w:sz w:val="18"/>
          <w:szCs w:val="18"/>
          <w:u w:val="single" w:color="auto"/>
          <w:color w:val="auto"/>
        </w:rPr>
        <w:t>Section 3</w:t>
      </w:r>
      <w:r>
        <w:rPr>
          <w:rFonts w:ascii="Verdana" w:cs="Verdana" w:eastAsia="Verdana" w:hAnsi="Verdana"/>
          <w:sz w:val="18"/>
          <w:szCs w:val="18"/>
          <w:color w:val="auto"/>
        </w:rPr>
        <w:t>.</w:t>
      </w:r>
    </w:p>
    <w:p>
      <w:pPr>
        <w:spacing w:after="0" w:line="176" w:lineRule="exact"/>
        <w:rPr>
          <w:sz w:val="20"/>
          <w:szCs w:val="20"/>
          <w:color w:val="auto"/>
        </w:rPr>
      </w:pPr>
    </w:p>
    <w:p>
      <w:pPr>
        <w:ind w:left="1260" w:hanging="623"/>
        <w:spacing w:after="0"/>
        <w:tabs>
          <w:tab w:leader="none" w:pos="1260" w:val="left"/>
        </w:tabs>
        <w:numPr>
          <w:ilvl w:val="0"/>
          <w:numId w:val="190"/>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Retirement</w:t>
      </w:r>
    </w:p>
    <w:p>
      <w:pPr>
        <w:spacing w:after="0" w:line="202" w:lineRule="exact"/>
        <w:rPr>
          <w:sz w:val="20"/>
          <w:szCs w:val="20"/>
          <w:color w:val="auto"/>
        </w:rPr>
      </w:pPr>
    </w:p>
    <w:p>
      <w:pPr>
        <w:jc w:val="both"/>
        <w:ind w:left="640"/>
        <w:spacing w:after="0" w:line="237" w:lineRule="auto"/>
        <w:rPr>
          <w:sz w:val="20"/>
          <w:szCs w:val="20"/>
          <w:color w:val="auto"/>
        </w:rPr>
      </w:pPr>
      <w:r>
        <w:rPr>
          <w:rFonts w:ascii="Verdana" w:cs="Verdana" w:eastAsia="Verdana" w:hAnsi="Verdana"/>
          <w:sz w:val="18"/>
          <w:szCs w:val="18"/>
          <w:color w:val="auto"/>
        </w:rPr>
        <w:t xml:space="preserve">Upon a Termination of Service in the event of Retirement, the Award shall continue to vest according to the vesting schedule; </w:t>
      </w:r>
      <w:r>
        <w:rPr>
          <w:rFonts w:ascii="Verdana" w:cs="Verdana" w:eastAsia="Verdana" w:hAnsi="Verdana"/>
          <w:sz w:val="18"/>
          <w:szCs w:val="18"/>
          <w:u w:val="single" w:color="auto"/>
          <w:color w:val="auto"/>
        </w:rPr>
        <w:t>provided</w:t>
      </w:r>
      <w:r>
        <w:rPr>
          <w:rFonts w:ascii="Verdana" w:cs="Verdana" w:eastAsia="Verdana" w:hAnsi="Verdana"/>
          <w:sz w:val="18"/>
          <w:szCs w:val="18"/>
          <w:color w:val="auto"/>
        </w:rPr>
        <w:t xml:space="preserve"> that Retirement occurs more than twelve (12) months following the Date of Grant. Upon vesting, the Award shall be issued and delivered to the Participant in accordance with </w:t>
      </w:r>
      <w:r>
        <w:rPr>
          <w:rFonts w:ascii="Verdana" w:cs="Verdana" w:eastAsia="Verdana" w:hAnsi="Verdana"/>
          <w:sz w:val="18"/>
          <w:szCs w:val="18"/>
          <w:u w:val="single" w:color="auto"/>
          <w:color w:val="auto"/>
        </w:rPr>
        <w:t>Section 3</w:t>
      </w:r>
      <w:r>
        <w:rPr>
          <w:rFonts w:ascii="Verdana" w:cs="Verdana" w:eastAsia="Verdana" w:hAnsi="Verdana"/>
          <w:sz w:val="18"/>
          <w:szCs w:val="18"/>
          <w:color w:val="auto"/>
        </w:rPr>
        <w:t>.</w:t>
      </w:r>
    </w:p>
    <w:p>
      <w:pPr>
        <w:spacing w:after="0" w:line="168" w:lineRule="exact"/>
        <w:rPr>
          <w:sz w:val="20"/>
          <w:szCs w:val="20"/>
          <w:color w:val="auto"/>
        </w:rPr>
      </w:pPr>
    </w:p>
    <w:p>
      <w:pPr>
        <w:ind w:left="1260" w:hanging="623"/>
        <w:spacing w:after="0"/>
        <w:tabs>
          <w:tab w:leader="none" w:pos="1260" w:val="left"/>
        </w:tabs>
        <w:numPr>
          <w:ilvl w:val="0"/>
          <w:numId w:val="191"/>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Disability</w:t>
      </w:r>
    </w:p>
    <w:p>
      <w:pPr>
        <w:spacing w:after="0" w:line="189" w:lineRule="exact"/>
        <w:rPr>
          <w:sz w:val="20"/>
          <w:szCs w:val="20"/>
          <w:color w:val="auto"/>
        </w:rPr>
      </w:pPr>
    </w:p>
    <w:p>
      <w:pPr>
        <w:ind w:left="640"/>
        <w:spacing w:after="0" w:line="241" w:lineRule="auto"/>
        <w:rPr>
          <w:sz w:val="20"/>
          <w:szCs w:val="20"/>
          <w:color w:val="auto"/>
        </w:rPr>
      </w:pPr>
      <w:r>
        <w:rPr>
          <w:rFonts w:ascii="Verdana" w:cs="Verdana" w:eastAsia="Verdana" w:hAnsi="Verdana"/>
          <w:sz w:val="18"/>
          <w:szCs w:val="18"/>
          <w:color w:val="auto"/>
        </w:rPr>
        <w:t xml:space="preserve">Upon a Termination of Service as a result of Disability, the Award shall vest in full, and the Common Stock underlying the RSUs shall be issued and delivered to the Participant in accordance with </w:t>
      </w:r>
      <w:r>
        <w:rPr>
          <w:rFonts w:ascii="Verdana" w:cs="Verdana" w:eastAsia="Verdana" w:hAnsi="Verdana"/>
          <w:sz w:val="18"/>
          <w:szCs w:val="18"/>
          <w:u w:val="single" w:color="auto"/>
          <w:color w:val="auto"/>
        </w:rPr>
        <w:t>Section 3</w:t>
      </w:r>
      <w:r>
        <w:rPr>
          <w:rFonts w:ascii="Verdana" w:cs="Verdana" w:eastAsia="Verdana" w:hAnsi="Verdana"/>
          <w:sz w:val="18"/>
          <w:szCs w:val="18"/>
          <w:color w:val="auto"/>
        </w:rPr>
        <w:t>.</w:t>
      </w:r>
    </w:p>
    <w:p>
      <w:pPr>
        <w:spacing w:after="0" w:line="166" w:lineRule="exact"/>
        <w:rPr>
          <w:sz w:val="20"/>
          <w:szCs w:val="20"/>
          <w:color w:val="auto"/>
        </w:rPr>
      </w:pPr>
    </w:p>
    <w:p>
      <w:pPr>
        <w:ind w:left="1260" w:hanging="623"/>
        <w:spacing w:after="0"/>
        <w:tabs>
          <w:tab w:leader="none" w:pos="1260" w:val="left"/>
        </w:tabs>
        <w:numPr>
          <w:ilvl w:val="0"/>
          <w:numId w:val="192"/>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Change in Control</w:t>
      </w:r>
    </w:p>
    <w:p>
      <w:pPr>
        <w:spacing w:after="0" w:line="189" w:lineRule="exact"/>
        <w:rPr>
          <w:sz w:val="20"/>
          <w:szCs w:val="20"/>
          <w:color w:val="auto"/>
        </w:rPr>
      </w:pPr>
    </w:p>
    <w:p>
      <w:pPr>
        <w:jc w:val="both"/>
        <w:ind w:left="640"/>
        <w:spacing w:after="0" w:line="266" w:lineRule="auto"/>
        <w:rPr>
          <w:sz w:val="20"/>
          <w:szCs w:val="20"/>
          <w:color w:val="auto"/>
        </w:rPr>
      </w:pPr>
      <w:r>
        <w:rPr>
          <w:rFonts w:ascii="Verdana" w:cs="Verdana" w:eastAsia="Verdana" w:hAnsi="Verdana"/>
          <w:sz w:val="16"/>
          <w:szCs w:val="16"/>
          <w:color w:val="auto"/>
        </w:rPr>
        <w:t xml:space="preserve">Notwithstanding anything in this </w:t>
      </w:r>
      <w:r>
        <w:rPr>
          <w:rFonts w:ascii="Verdana" w:cs="Verdana" w:eastAsia="Verdana" w:hAnsi="Verdana"/>
          <w:sz w:val="16"/>
          <w:szCs w:val="16"/>
          <w:u w:val="single" w:color="auto"/>
          <w:color w:val="auto"/>
        </w:rPr>
        <w:t>Section 8</w:t>
      </w:r>
      <w:r>
        <w:rPr>
          <w:rFonts w:ascii="Verdana" w:cs="Verdana" w:eastAsia="Verdana" w:hAnsi="Verdana"/>
          <w:sz w:val="16"/>
          <w:szCs w:val="16"/>
          <w:color w:val="auto"/>
        </w:rPr>
        <w:t xml:space="preserve"> to the contrary, upon a Termination of Service without Cause in connection with a Change in Control, the RSUs shall vest in full immediately upon the later of such Change in Control or such termination of employment. Upon vesting, the Award shall be issued and delivered to the Participant in accordance with </w:t>
      </w:r>
      <w:r>
        <w:rPr>
          <w:rFonts w:ascii="Verdana" w:cs="Verdana" w:eastAsia="Verdana" w:hAnsi="Verdana"/>
          <w:sz w:val="16"/>
          <w:szCs w:val="16"/>
          <w:u w:val="single" w:color="auto"/>
          <w:color w:val="auto"/>
        </w:rPr>
        <w:t>Section 3</w:t>
      </w:r>
      <w:r>
        <w:rPr>
          <w:rFonts w:ascii="Verdana" w:cs="Verdana" w:eastAsia="Verdana" w:hAnsi="Verdana"/>
          <w:sz w:val="16"/>
          <w:szCs w:val="16"/>
          <w:color w:val="auto"/>
        </w:rPr>
        <w:t>. A Termination of Service without Cause may be treated as being in connection with a Change in Control only if such termination occurs during the period beginning six (6) months prior to the Change in Control and ending twenty-four (24) months following the Change in Control. The Committee shall determine, in its sole and absolute discretion, whether there was a Termination of Service without Cause in connection with a Change in Control.</w:t>
      </w:r>
    </w:p>
    <w:p>
      <w:pPr>
        <w:spacing w:after="0" w:line="149" w:lineRule="exact"/>
        <w:rPr>
          <w:sz w:val="20"/>
          <w:szCs w:val="20"/>
          <w:color w:val="auto"/>
        </w:rPr>
      </w:pPr>
    </w:p>
    <w:p>
      <w:pPr>
        <w:ind w:left="1260" w:hanging="623"/>
        <w:spacing w:after="0"/>
        <w:tabs>
          <w:tab w:leader="none" w:pos="1260" w:val="left"/>
        </w:tabs>
        <w:numPr>
          <w:ilvl w:val="0"/>
          <w:numId w:val="193"/>
        </w:numPr>
        <w:rPr>
          <w:rFonts w:ascii="Verdana" w:cs="Verdana" w:eastAsia="Verdana" w:hAnsi="Verdana"/>
          <w:sz w:val="16"/>
          <w:szCs w:val="16"/>
          <w:b w:val="1"/>
          <w:bCs w:val="1"/>
          <w:color w:val="010000"/>
        </w:rPr>
      </w:pPr>
      <w:r>
        <w:rPr>
          <w:rFonts w:ascii="Verdana" w:cs="Verdana" w:eastAsia="Verdana" w:hAnsi="Verdana"/>
          <w:sz w:val="16"/>
          <w:szCs w:val="16"/>
          <w:b w:val="1"/>
          <w:bCs w:val="1"/>
          <w:color w:val="auto"/>
        </w:rPr>
        <w:t>Termination of Service Other Than as a Result of Death, Retirement, Disability, or Change in Control</w:t>
      </w:r>
    </w:p>
    <w:p>
      <w:pPr>
        <w:spacing w:after="0" w:line="227" w:lineRule="exact"/>
        <w:rPr>
          <w:sz w:val="20"/>
          <w:szCs w:val="20"/>
          <w:color w:val="auto"/>
        </w:rPr>
      </w:pPr>
    </w:p>
    <w:p>
      <w:pPr>
        <w:jc w:val="both"/>
        <w:ind w:left="640"/>
        <w:spacing w:after="0" w:line="273" w:lineRule="auto"/>
        <w:rPr>
          <w:sz w:val="20"/>
          <w:szCs w:val="20"/>
          <w:color w:val="auto"/>
        </w:rPr>
      </w:pPr>
      <w:r>
        <w:rPr>
          <w:rFonts w:ascii="Verdana" w:cs="Verdana" w:eastAsia="Verdana" w:hAnsi="Verdana"/>
          <w:sz w:val="16"/>
          <w:szCs w:val="16"/>
          <w:color w:val="auto"/>
        </w:rPr>
        <w:t>Any unvested portion of this Award shall expire and be forfeited by the Participant to the Company upon a Termination of Service by: (i) any reason other than death, Retirement, Disability, or without Cause in connection with a Change in Control, including, without limitation, as a result of retirement or disability that does not meet the requirements set forth in the definitions of such terms in the Plan; (ii) voluntary resignation; or (iii) termination for Cause.</w:t>
      </w:r>
    </w:p>
    <w:p>
      <w:pPr>
        <w:spacing w:after="0" w:line="142" w:lineRule="exact"/>
        <w:rPr>
          <w:sz w:val="20"/>
          <w:szCs w:val="20"/>
          <w:color w:val="auto"/>
        </w:rPr>
      </w:pPr>
    </w:p>
    <w:p>
      <w:pPr>
        <w:ind w:left="1260" w:hanging="623"/>
        <w:spacing w:after="0"/>
        <w:tabs>
          <w:tab w:leader="none" w:pos="1260" w:val="left"/>
        </w:tabs>
        <w:numPr>
          <w:ilvl w:val="0"/>
          <w:numId w:val="194"/>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Clawback/Repayment as a Result of Misconduct</w:t>
      </w:r>
    </w:p>
    <w:p>
      <w:pPr>
        <w:spacing w:after="0" w:line="189" w:lineRule="exact"/>
        <w:rPr>
          <w:sz w:val="20"/>
          <w:szCs w:val="20"/>
          <w:color w:val="auto"/>
        </w:rPr>
      </w:pPr>
    </w:p>
    <w:p>
      <w:pPr>
        <w:jc w:val="both"/>
        <w:ind w:left="640"/>
        <w:spacing w:after="0" w:line="233" w:lineRule="auto"/>
        <w:rPr>
          <w:sz w:val="20"/>
          <w:szCs w:val="20"/>
          <w:color w:val="auto"/>
        </w:rPr>
      </w:pPr>
      <w:r>
        <w:rPr>
          <w:rFonts w:ascii="Verdana" w:cs="Verdana" w:eastAsia="Verdana" w:hAnsi="Verdana"/>
          <w:sz w:val="18"/>
          <w:szCs w:val="18"/>
          <w:color w:val="auto"/>
        </w:rPr>
        <w:t>Unless otherwise determined by the Committee, if the Company is required to prepare a material restatement of its financial statements as a result of misconduct, and the Committee determines that the Participant knowingly engaged in the misconduct, was grossly negligent with respect to such misconduct, or acted knowingly or with gross negligence in failing to prevent the misconduct, or the Committee concludes that the Participant engaged in willful fraud, embezzlement or other similar activity (including acts of omission) materially detrimental to the Company, the Company may require the Participant (or the Participant’s beneficiary) to reimburse the Company for all or any portion of this Award, and/or to forfeit the proceeds of any sale (including any sales to the Company) of any Company securities acquired by or on behalf of the Participant (or the Participant’s beneficiary)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LEGAL\81347999\5</w:t>
      </w:r>
    </w:p>
    <w:p>
      <w:pPr>
        <w:spacing w:after="0"/>
        <w:rPr>
          <w:sz w:val="20"/>
          <w:szCs w:val="20"/>
          <w:color w:val="auto"/>
        </w:rPr>
      </w:pPr>
      <w:r>
        <w:rPr>
          <w:rFonts w:ascii="Verdana" w:cs="Verdana" w:eastAsia="Verdana" w:hAnsi="Verdana"/>
          <w:sz w:val="14"/>
          <w:szCs w:val="14"/>
          <w:color w:val="auto"/>
        </w:rPr>
        <w:t>2026 RSU Agreement (CEO)</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200" w:lineRule="exact"/>
        <w:rPr>
          <w:sz w:val="20"/>
          <w:szCs w:val="20"/>
          <w:color w:val="auto"/>
        </w:rPr>
      </w:pPr>
    </w:p>
    <w:p>
      <w:pPr>
        <w:spacing w:after="0" w:line="232" w:lineRule="exact"/>
        <w:rPr>
          <w:sz w:val="20"/>
          <w:szCs w:val="20"/>
          <w:color w:val="auto"/>
        </w:rPr>
      </w:pPr>
    </w:p>
    <w:p>
      <w:pPr>
        <w:jc w:val="both"/>
        <w:ind w:left="640"/>
        <w:spacing w:after="0" w:line="234" w:lineRule="auto"/>
        <w:rPr>
          <w:sz w:val="20"/>
          <w:szCs w:val="20"/>
          <w:color w:val="auto"/>
        </w:rPr>
      </w:pPr>
      <w:r>
        <w:rPr>
          <w:rFonts w:ascii="Verdana" w:cs="Verdana" w:eastAsia="Verdana" w:hAnsi="Verdana"/>
          <w:sz w:val="18"/>
          <w:szCs w:val="18"/>
          <w:color w:val="auto"/>
        </w:rPr>
        <w:t>to the Award granted under this Agreement during the 12- month period following the first public filing of the financial document requiring restatement or during the 12-month period following the date of the Participant’s misconduct. To the extent that the Participant is subject to the Company’s Clawback Policy, effective as of October 1, 2023, as it may be amended from time to time (the “</w:t>
      </w:r>
      <w:r>
        <w:rPr>
          <w:rFonts w:ascii="Verdana" w:cs="Verdana" w:eastAsia="Verdana" w:hAnsi="Verdana"/>
          <w:sz w:val="18"/>
          <w:szCs w:val="18"/>
          <w:u w:val="single" w:color="auto"/>
          <w:color w:val="auto"/>
        </w:rPr>
        <w:t>Clawback Policy</w:t>
      </w:r>
      <w:r>
        <w:rPr>
          <w:rFonts w:ascii="Verdana" w:cs="Verdana" w:eastAsia="Verdana" w:hAnsi="Verdana"/>
          <w:sz w:val="18"/>
          <w:szCs w:val="18"/>
          <w:color w:val="auto"/>
        </w:rPr>
        <w:t>”), notwithstanding the foregoing, the Clawback Policy shall be applicable to this Agreement and any award or right granted hereunder.</w:t>
      </w:r>
    </w:p>
    <w:p>
      <w:pPr>
        <w:spacing w:after="0" w:line="170" w:lineRule="exact"/>
        <w:rPr>
          <w:sz w:val="20"/>
          <w:szCs w:val="20"/>
          <w:color w:val="auto"/>
        </w:rPr>
      </w:pPr>
    </w:p>
    <w:p>
      <w:pPr>
        <w:ind w:left="620" w:hanging="615"/>
        <w:spacing w:after="0"/>
        <w:tabs>
          <w:tab w:leader="none" w:pos="620" w:val="left"/>
        </w:tabs>
        <w:numPr>
          <w:ilvl w:val="0"/>
          <w:numId w:val="195"/>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Committee Authority</w:t>
      </w:r>
    </w:p>
    <w:p>
      <w:pPr>
        <w:spacing w:after="0" w:line="202" w:lineRule="exact"/>
        <w:rPr>
          <w:rFonts w:ascii="Verdana" w:cs="Verdana" w:eastAsia="Verdana" w:hAnsi="Verdana"/>
          <w:sz w:val="18"/>
          <w:szCs w:val="18"/>
          <w:b w:val="1"/>
          <w:bCs w:val="1"/>
          <w:color w:val="010000"/>
        </w:rPr>
      </w:pPr>
    </w:p>
    <w:p>
      <w:pPr>
        <w:jc w:val="both"/>
        <w:ind w:left="640"/>
        <w:spacing w:after="0" w:line="237" w:lineRule="auto"/>
        <w:rPr>
          <w:rFonts w:ascii="Verdana" w:cs="Verdana" w:eastAsia="Verdana" w:hAnsi="Verdana"/>
          <w:sz w:val="18"/>
          <w:szCs w:val="18"/>
          <w:b w:val="1"/>
          <w:bCs w:val="1"/>
          <w:color w:val="010000"/>
        </w:rPr>
      </w:pPr>
      <w:r>
        <w:rPr>
          <w:rFonts w:ascii="Verdana" w:cs="Verdana" w:eastAsia="Verdana" w:hAnsi="Verdana"/>
          <w:sz w:val="18"/>
          <w:szCs w:val="18"/>
          <w:color w:val="auto"/>
        </w:rPr>
        <w:t>Any question concerning the interpretation of this Agreement, any adjustments required to be made under the Plan, and any controversy that may arise under the Plan or this Agreement shall be determined by the Committee in its sole discretion. Any decisions by the Committee regarding the Plan or this Agreement shall be final and binding.</w:t>
      </w:r>
    </w:p>
    <w:p>
      <w:pPr>
        <w:spacing w:after="0" w:line="167" w:lineRule="exact"/>
        <w:rPr>
          <w:rFonts w:ascii="Verdana" w:cs="Verdana" w:eastAsia="Verdana" w:hAnsi="Verdana"/>
          <w:sz w:val="18"/>
          <w:szCs w:val="18"/>
          <w:b w:val="1"/>
          <w:bCs w:val="1"/>
          <w:color w:val="010000"/>
        </w:rPr>
      </w:pPr>
    </w:p>
    <w:p>
      <w:pPr>
        <w:ind w:left="640" w:hanging="635"/>
        <w:spacing w:after="0"/>
        <w:tabs>
          <w:tab w:leader="none" w:pos="640" w:val="left"/>
        </w:tabs>
        <w:numPr>
          <w:ilvl w:val="0"/>
          <w:numId w:val="195"/>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Plan Controls</w:t>
      </w:r>
    </w:p>
    <w:p>
      <w:pPr>
        <w:spacing w:after="0" w:line="189" w:lineRule="exact"/>
        <w:rPr>
          <w:rFonts w:ascii="Verdana" w:cs="Verdana" w:eastAsia="Verdana" w:hAnsi="Verdana"/>
          <w:sz w:val="18"/>
          <w:szCs w:val="18"/>
          <w:b w:val="1"/>
          <w:bCs w:val="1"/>
          <w:color w:val="010000"/>
        </w:rPr>
      </w:pPr>
    </w:p>
    <w:p>
      <w:pPr>
        <w:jc w:val="both"/>
        <w:ind w:left="640"/>
        <w:spacing w:after="0" w:line="235" w:lineRule="auto"/>
        <w:rPr>
          <w:rFonts w:ascii="Verdana" w:cs="Verdana" w:eastAsia="Verdana" w:hAnsi="Verdana"/>
          <w:sz w:val="18"/>
          <w:szCs w:val="18"/>
          <w:b w:val="1"/>
          <w:bCs w:val="1"/>
          <w:color w:val="010000"/>
        </w:rPr>
      </w:pPr>
      <w:r>
        <w:rPr>
          <w:rFonts w:ascii="Verdana" w:cs="Verdana" w:eastAsia="Verdana" w:hAnsi="Verdana"/>
          <w:sz w:val="18"/>
          <w:szCs w:val="18"/>
          <w:color w:val="auto"/>
        </w:rPr>
        <w:t>The terms of this Agreement are governed by the terms of the Plan, as it exists on the Date of Grant and as the Plan may be amended from time to time thereafter. In the event of any conflict between the provisions of this Agreement and the provisions of the Plan, the terms of the Plan shall control. Capitalized terms used but not defined in this Agreement shall have the meaning assigned to them in the Plan.</w:t>
      </w:r>
    </w:p>
    <w:p>
      <w:pPr>
        <w:spacing w:after="0" w:line="169" w:lineRule="exact"/>
        <w:rPr>
          <w:rFonts w:ascii="Verdana" w:cs="Verdana" w:eastAsia="Verdana" w:hAnsi="Verdana"/>
          <w:sz w:val="18"/>
          <w:szCs w:val="18"/>
          <w:b w:val="1"/>
          <w:bCs w:val="1"/>
          <w:color w:val="010000"/>
        </w:rPr>
      </w:pPr>
    </w:p>
    <w:p>
      <w:pPr>
        <w:ind w:left="640" w:hanging="635"/>
        <w:spacing w:after="0"/>
        <w:tabs>
          <w:tab w:leader="none" w:pos="640" w:val="left"/>
        </w:tabs>
        <w:numPr>
          <w:ilvl w:val="0"/>
          <w:numId w:val="195"/>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Limitation on Rights; No Right to Future Grants</w:t>
      </w:r>
    </w:p>
    <w:p>
      <w:pPr>
        <w:spacing w:after="0" w:line="189" w:lineRule="exact"/>
        <w:rPr>
          <w:rFonts w:ascii="Verdana" w:cs="Verdana" w:eastAsia="Verdana" w:hAnsi="Verdana"/>
          <w:sz w:val="18"/>
          <w:szCs w:val="18"/>
          <w:b w:val="1"/>
          <w:bCs w:val="1"/>
          <w:color w:val="010000"/>
        </w:rPr>
      </w:pPr>
    </w:p>
    <w:p>
      <w:pPr>
        <w:jc w:val="both"/>
        <w:ind w:left="640"/>
        <w:spacing w:after="0" w:line="232" w:lineRule="auto"/>
        <w:rPr>
          <w:rFonts w:ascii="Verdana" w:cs="Verdana" w:eastAsia="Verdana" w:hAnsi="Verdana"/>
          <w:sz w:val="18"/>
          <w:szCs w:val="18"/>
          <w:b w:val="1"/>
          <w:bCs w:val="1"/>
          <w:color w:val="010000"/>
        </w:rPr>
      </w:pPr>
      <w:r>
        <w:rPr>
          <w:rFonts w:ascii="Verdana" w:cs="Verdana" w:eastAsia="Verdana" w:hAnsi="Verdana"/>
          <w:sz w:val="18"/>
          <w:szCs w:val="18"/>
          <w:color w:val="auto"/>
        </w:rPr>
        <w:t xml:space="preserve">By entering into this Agreement and accepting this Award, the Participant acknowledges that: (a) the Plan is discretionary and may be modified, suspended or terminated by the Company at any time, as provided in the Plan; </w:t>
      </w:r>
      <w:r>
        <w:rPr>
          <w:rFonts w:ascii="Verdana" w:cs="Verdana" w:eastAsia="Verdana" w:hAnsi="Verdana"/>
          <w:sz w:val="18"/>
          <w:szCs w:val="18"/>
          <w:u w:val="single" w:color="auto"/>
          <w:color w:val="auto"/>
        </w:rPr>
        <w:t>provided</w:t>
      </w:r>
      <w:r>
        <w:rPr>
          <w:rFonts w:ascii="Verdana" w:cs="Verdana" w:eastAsia="Verdana" w:hAnsi="Verdana"/>
          <w:sz w:val="18"/>
          <w:szCs w:val="18"/>
          <w:color w:val="auto"/>
        </w:rPr>
        <w:t xml:space="preserve"> that, except as provided in </w:t>
      </w:r>
      <w:r>
        <w:rPr>
          <w:rFonts w:ascii="Verdana" w:cs="Verdana" w:eastAsia="Verdana" w:hAnsi="Verdana"/>
          <w:sz w:val="18"/>
          <w:szCs w:val="18"/>
          <w:u w:val="single" w:color="auto"/>
          <w:color w:val="auto"/>
        </w:rPr>
        <w:t>Section 18</w:t>
      </w:r>
      <w:r>
        <w:rPr>
          <w:rFonts w:ascii="Verdana" w:cs="Verdana" w:eastAsia="Verdana" w:hAnsi="Verdana"/>
          <w:sz w:val="18"/>
          <w:szCs w:val="18"/>
          <w:color w:val="auto"/>
        </w:rPr>
        <w:t xml:space="preserve"> of the Plan, no amendment to this Agreement shall adversely affect in a material manner the Participant’s rights under this Agreement without his or her written consent; (b) the grant of this Award is a one- time benefit and does not create any contractual or other right to receive future grants of awards or benefits in lieu of awards; (c) all determinations with respect to any such future grants, including, but not limited to, the times when awards will be granted, the number of shares subject to each award, the award price, if any, and the time or times when each award will be settled, will be at the sole discretion of the Company; (d) participation in the Plan is voluntary; (e) the value of this Award is an extraordinary item that is outside the scope of the Participant’s employment contract, if any, unless expressly provided for in any such employment contract; (f) this Award is not part of normal or expected compensation for any purpose, including, without limitation, for calculating any benefits, severance, resignation, termination, redundancy, end of service payments, bonuses, long-service awards, pension or retirement benefits or similar payments, and the Participant will have no entitlement to compensation or damages as a consequence of any forfeiture of any portion of this Award pursuant to </w:t>
      </w:r>
      <w:r>
        <w:rPr>
          <w:rFonts w:ascii="Verdana" w:cs="Verdana" w:eastAsia="Verdana" w:hAnsi="Verdana"/>
          <w:sz w:val="18"/>
          <w:szCs w:val="18"/>
          <w:u w:val="single" w:color="auto"/>
          <w:color w:val="auto"/>
        </w:rPr>
        <w:t>Section 8</w:t>
      </w:r>
      <w:r>
        <w:rPr>
          <w:rFonts w:ascii="Verdana" w:cs="Verdana" w:eastAsia="Verdana" w:hAnsi="Verdana"/>
          <w:sz w:val="18"/>
          <w:szCs w:val="18"/>
          <w:color w:val="auto"/>
        </w:rPr>
        <w:t>; (g) the future value of the Common Stock subject to this Award is unknown and cannot be predicted with certainty; (h) neither the Plan, this Award nor the issuance of the shares of Common Stock underlying this Award confers upon the Participant any right to continue in the employ or service of (or any other relationship with) the Company or any Subsidiary, nor do they limit in any respect the right of the Company or any Subsidiary to terminate the Participant’s employment or other relationship with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LEGAL\81347999\5</w:t>
      </w:r>
    </w:p>
    <w:p>
      <w:pPr>
        <w:spacing w:after="0" w:line="7" w:lineRule="exact"/>
        <w:rPr>
          <w:sz w:val="20"/>
          <w:szCs w:val="20"/>
          <w:color w:val="auto"/>
        </w:rPr>
      </w:pPr>
    </w:p>
    <w:p>
      <w:pPr>
        <w:spacing w:after="0"/>
        <w:rPr>
          <w:sz w:val="20"/>
          <w:szCs w:val="20"/>
          <w:color w:val="auto"/>
        </w:rPr>
      </w:pPr>
      <w:r>
        <w:rPr>
          <w:rFonts w:ascii="Verdana" w:cs="Verdana" w:eastAsia="Verdana" w:hAnsi="Verdana"/>
          <w:sz w:val="14"/>
          <w:szCs w:val="14"/>
          <w:color w:val="auto"/>
        </w:rPr>
        <w:t>2026 RSU Agreement (CEO)</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200" w:lineRule="exact"/>
        <w:rPr>
          <w:sz w:val="20"/>
          <w:szCs w:val="20"/>
          <w:color w:val="auto"/>
        </w:rPr>
      </w:pPr>
    </w:p>
    <w:p>
      <w:pPr>
        <w:spacing w:after="0" w:line="232" w:lineRule="exact"/>
        <w:rPr>
          <w:sz w:val="20"/>
          <w:szCs w:val="20"/>
          <w:color w:val="auto"/>
        </w:rPr>
      </w:pPr>
    </w:p>
    <w:p>
      <w:pPr>
        <w:ind w:left="640"/>
        <w:spacing w:after="0" w:line="241" w:lineRule="auto"/>
        <w:rPr>
          <w:sz w:val="20"/>
          <w:szCs w:val="20"/>
          <w:color w:val="auto"/>
        </w:rPr>
      </w:pPr>
      <w:r>
        <w:rPr>
          <w:rFonts w:ascii="Verdana" w:cs="Verdana" w:eastAsia="Verdana" w:hAnsi="Verdana"/>
          <w:sz w:val="18"/>
          <w:szCs w:val="18"/>
          <w:color w:val="auto"/>
        </w:rPr>
        <w:t>any Subsidiary, as the case may be, at any time with or without Cause; and (i) the grant of this Award will not be interpreted to form an employment relationship or contract with the Company or any Subsidiary.</w:t>
      </w:r>
    </w:p>
    <w:p>
      <w:pPr>
        <w:spacing w:after="0" w:line="166" w:lineRule="exact"/>
        <w:rPr>
          <w:sz w:val="20"/>
          <w:szCs w:val="20"/>
          <w:color w:val="auto"/>
        </w:rPr>
      </w:pPr>
    </w:p>
    <w:p>
      <w:pPr>
        <w:ind w:left="640" w:hanging="635"/>
        <w:spacing w:after="0"/>
        <w:tabs>
          <w:tab w:leader="none" w:pos="640" w:val="left"/>
        </w:tabs>
        <w:numPr>
          <w:ilvl w:val="0"/>
          <w:numId w:val="196"/>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General Provisions</w:t>
      </w:r>
    </w:p>
    <w:p>
      <w:pPr>
        <w:spacing w:after="0" w:line="175" w:lineRule="exact"/>
        <w:rPr>
          <w:rFonts w:ascii="Verdana" w:cs="Verdana" w:eastAsia="Verdana" w:hAnsi="Verdana"/>
          <w:sz w:val="18"/>
          <w:szCs w:val="18"/>
          <w:b w:val="1"/>
          <w:bCs w:val="1"/>
          <w:color w:val="010000"/>
        </w:rPr>
      </w:pPr>
    </w:p>
    <w:p>
      <w:pPr>
        <w:ind w:left="1260" w:hanging="623"/>
        <w:spacing w:after="0"/>
        <w:tabs>
          <w:tab w:leader="none" w:pos="1260" w:val="left"/>
        </w:tabs>
        <w:numPr>
          <w:ilvl w:val="1"/>
          <w:numId w:val="196"/>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Notice</w:t>
      </w:r>
    </w:p>
    <w:p>
      <w:pPr>
        <w:spacing w:after="0" w:line="189" w:lineRule="exact"/>
        <w:rPr>
          <w:sz w:val="20"/>
          <w:szCs w:val="20"/>
          <w:color w:val="auto"/>
        </w:rPr>
      </w:pPr>
    </w:p>
    <w:p>
      <w:pPr>
        <w:jc w:val="both"/>
        <w:ind w:left="640"/>
        <w:spacing w:after="0" w:line="233" w:lineRule="auto"/>
        <w:rPr>
          <w:sz w:val="20"/>
          <w:szCs w:val="20"/>
          <w:color w:val="auto"/>
        </w:rPr>
      </w:pPr>
      <w:r>
        <w:rPr>
          <w:rFonts w:ascii="Verdana" w:cs="Verdana" w:eastAsia="Verdana" w:hAnsi="Verdana"/>
          <w:sz w:val="18"/>
          <w:szCs w:val="18"/>
          <w:color w:val="auto"/>
        </w:rPr>
        <w:t>Whenever any notice is required or permitted hereunder, such notice must be in writing and delivered in person or by mail (to the address set forth below if notice is being delivered to the Company) or electronically. Any notice delivered in person or by mail shall be deemed to be delivered on the date on which it is personally delivered, or, whether actually received or not, on the third business day after it is deposited in the United States mail, certified or registered, postage prepaid, addressed to the person who is to receive it at the address set forth in this Agreement. Any notice delivered electronically shall be deemed to be delivered when transmitted and receipt is confirmed. Notices delivered to the Participant in person or by mail shall be addressed to the address for the Participant in the records of the Company. Notices delivered to the Company in person or by mail shall be addressed as follows:</w:t>
      </w:r>
    </w:p>
    <w:p>
      <w:pPr>
        <w:sectPr>
          <w:pgSz w:w="11900" w:h="16838" w:orient="portrait"/>
          <w:cols w:equalWidth="0" w:num="1">
            <w:col w:w="11240"/>
          </w:cols>
          <w:pgMar w:left="320" w:top="1440" w:right="339" w:bottom="1440" w:gutter="0" w:footer="0" w:header="0"/>
        </w:sectPr>
      </w:pPr>
    </w:p>
    <w:p>
      <w:pPr>
        <w:spacing w:after="0" w:line="222" w:lineRule="exact"/>
        <w:rPr>
          <w:sz w:val="20"/>
          <w:szCs w:val="20"/>
          <w:color w:val="auto"/>
        </w:rPr>
      </w:pPr>
    </w:p>
    <w:p>
      <w:pPr>
        <w:ind w:left="1400"/>
        <w:spacing w:after="0"/>
        <w:rPr>
          <w:sz w:val="20"/>
          <w:szCs w:val="20"/>
          <w:color w:val="auto"/>
        </w:rPr>
      </w:pPr>
      <w:r>
        <w:rPr>
          <w:rFonts w:ascii="Verdana" w:cs="Verdana" w:eastAsia="Verdana" w:hAnsi="Verdana"/>
          <w:sz w:val="16"/>
          <w:szCs w:val="16"/>
          <w:color w:val="auto"/>
        </w:rPr>
        <w:t>Company:</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Verdana" w:cs="Verdana" w:eastAsia="Verdana" w:hAnsi="Verdana"/>
          <w:sz w:val="18"/>
          <w:szCs w:val="18"/>
          <w:color w:val="auto"/>
        </w:rPr>
        <w:t>NRG Energy, Inc.</w:t>
      </w:r>
    </w:p>
    <w:p>
      <w:pPr>
        <w:spacing w:after="0"/>
        <w:rPr>
          <w:sz w:val="20"/>
          <w:szCs w:val="20"/>
          <w:color w:val="auto"/>
        </w:rPr>
      </w:pPr>
      <w:r>
        <w:rPr>
          <w:rFonts w:ascii="Verdana" w:cs="Verdana" w:eastAsia="Verdana" w:hAnsi="Verdana"/>
          <w:sz w:val="16"/>
          <w:szCs w:val="16"/>
          <w:color w:val="auto"/>
        </w:rPr>
        <w:t>Attn: Talent &amp; Culture</w:t>
      </w:r>
    </w:p>
    <w:p>
      <w:pPr>
        <w:spacing w:after="0" w:line="8" w:lineRule="exact"/>
        <w:rPr>
          <w:sz w:val="20"/>
          <w:szCs w:val="20"/>
          <w:color w:val="auto"/>
        </w:rPr>
      </w:pPr>
    </w:p>
    <w:p>
      <w:pPr>
        <w:spacing w:after="0"/>
        <w:rPr>
          <w:sz w:val="20"/>
          <w:szCs w:val="20"/>
          <w:color w:val="auto"/>
        </w:rPr>
      </w:pPr>
      <w:r>
        <w:rPr>
          <w:rFonts w:ascii="Verdana" w:cs="Verdana" w:eastAsia="Verdana" w:hAnsi="Verdana"/>
          <w:sz w:val="18"/>
          <w:szCs w:val="18"/>
          <w:color w:val="auto"/>
        </w:rPr>
        <w:t>804 Carnegie Center</w:t>
      </w:r>
    </w:p>
    <w:p>
      <w:pPr>
        <w:spacing w:after="0"/>
        <w:rPr>
          <w:sz w:val="20"/>
          <w:szCs w:val="20"/>
          <w:color w:val="auto"/>
        </w:rPr>
      </w:pPr>
      <w:r>
        <w:rPr>
          <w:rFonts w:ascii="Verdana" w:cs="Verdana" w:eastAsia="Verdana" w:hAnsi="Verdana"/>
          <w:sz w:val="18"/>
          <w:szCs w:val="18"/>
          <w:color w:val="auto"/>
        </w:rPr>
        <w:t>Princeton, NJ 08450</w:t>
      </w:r>
    </w:p>
    <w:p>
      <w:pPr>
        <w:spacing w:after="0" w:line="110" w:lineRule="exact"/>
        <w:rPr>
          <w:sz w:val="20"/>
          <w:szCs w:val="20"/>
          <w:color w:val="auto"/>
        </w:rPr>
      </w:pPr>
    </w:p>
    <w:p>
      <w:pPr>
        <w:sectPr>
          <w:pgSz w:w="11900" w:h="16838" w:orient="portrait"/>
          <w:cols w:equalWidth="0" w:num="2">
            <w:col w:w="2780" w:space="720"/>
            <w:col w:w="7740"/>
          </w:cols>
          <w:pgMar w:left="320" w:top="1440" w:right="339" w:bottom="1440" w:gutter="0" w:footer="0" w:header="0"/>
          <w:type w:val="continuous"/>
        </w:sectPr>
      </w:pPr>
    </w:p>
    <w:p>
      <w:pPr>
        <w:ind w:left="640"/>
        <w:spacing w:after="0" w:line="241" w:lineRule="auto"/>
        <w:rPr>
          <w:sz w:val="20"/>
          <w:szCs w:val="20"/>
          <w:color w:val="auto"/>
        </w:rPr>
      </w:pPr>
      <w:r>
        <w:rPr>
          <w:rFonts w:ascii="Verdana" w:cs="Verdana" w:eastAsia="Verdana" w:hAnsi="Verdana"/>
          <w:sz w:val="18"/>
          <w:szCs w:val="18"/>
          <w:color w:val="auto"/>
        </w:rPr>
        <w:t>The Company or the Participant may change, by written notice to the other, the address previously specified for receiving notices.</w:t>
      </w:r>
    </w:p>
    <w:p>
      <w:pPr>
        <w:spacing w:after="0" w:line="166" w:lineRule="exact"/>
        <w:rPr>
          <w:sz w:val="20"/>
          <w:szCs w:val="20"/>
          <w:color w:val="auto"/>
        </w:rPr>
      </w:pPr>
    </w:p>
    <w:p>
      <w:pPr>
        <w:ind w:left="1260" w:hanging="623"/>
        <w:spacing w:after="0"/>
        <w:tabs>
          <w:tab w:leader="none" w:pos="1260" w:val="left"/>
        </w:tabs>
        <w:numPr>
          <w:ilvl w:val="0"/>
          <w:numId w:val="197"/>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No Waiver</w:t>
      </w:r>
    </w:p>
    <w:p>
      <w:pPr>
        <w:spacing w:after="0" w:line="189" w:lineRule="exact"/>
        <w:rPr>
          <w:sz w:val="20"/>
          <w:szCs w:val="20"/>
          <w:color w:val="auto"/>
        </w:rPr>
      </w:pPr>
    </w:p>
    <w:p>
      <w:pPr>
        <w:jc w:val="both"/>
        <w:ind w:left="640"/>
        <w:spacing w:after="0" w:line="237" w:lineRule="auto"/>
        <w:rPr>
          <w:sz w:val="20"/>
          <w:szCs w:val="20"/>
          <w:color w:val="auto"/>
        </w:rPr>
      </w:pPr>
      <w:r>
        <w:rPr>
          <w:rFonts w:ascii="Verdana" w:cs="Verdana" w:eastAsia="Verdana" w:hAnsi="Verdana"/>
          <w:sz w:val="18"/>
          <w:szCs w:val="18"/>
          <w:color w:val="auto"/>
        </w:rPr>
        <w:t>No waiver of any provision of this Agreement will be valid unless in writing and signed by the person against whom such waiver is sought to be enforced, nor will failure to enforce any right under this Agreement constitute a continuing waiver of the same or a waiver of any other right hereunder.</w:t>
      </w:r>
    </w:p>
    <w:p>
      <w:pPr>
        <w:spacing w:after="0" w:line="168" w:lineRule="exact"/>
        <w:rPr>
          <w:sz w:val="20"/>
          <w:szCs w:val="20"/>
          <w:color w:val="auto"/>
        </w:rPr>
      </w:pPr>
    </w:p>
    <w:p>
      <w:pPr>
        <w:ind w:left="1260" w:hanging="623"/>
        <w:spacing w:after="0"/>
        <w:tabs>
          <w:tab w:leader="none" w:pos="1260" w:val="left"/>
        </w:tabs>
        <w:numPr>
          <w:ilvl w:val="0"/>
          <w:numId w:val="198"/>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Undertaking</w:t>
      </w:r>
    </w:p>
    <w:p>
      <w:pPr>
        <w:spacing w:after="0" w:line="189" w:lineRule="exact"/>
        <w:rPr>
          <w:sz w:val="20"/>
          <w:szCs w:val="20"/>
          <w:color w:val="auto"/>
        </w:rPr>
      </w:pPr>
    </w:p>
    <w:p>
      <w:pPr>
        <w:jc w:val="both"/>
        <w:ind w:left="640"/>
        <w:spacing w:after="0" w:line="237" w:lineRule="auto"/>
        <w:rPr>
          <w:sz w:val="20"/>
          <w:szCs w:val="20"/>
          <w:color w:val="auto"/>
        </w:rPr>
      </w:pPr>
      <w:r>
        <w:rPr>
          <w:rFonts w:ascii="Verdana" w:cs="Verdana" w:eastAsia="Verdana" w:hAnsi="Verdana"/>
          <w:sz w:val="18"/>
          <w:szCs w:val="18"/>
          <w:color w:val="auto"/>
        </w:rPr>
        <w:t>The Participant hereby agrees to take whatever additional action, and execute whatever additional documents, the Company may deem necessary or advisable in order to carry out or effect one or more of the obligations or restrictions imposed on either the Participant or the Award pursuant to the express provisions of this Agreement.</w:t>
      </w:r>
    </w:p>
    <w:p>
      <w:pPr>
        <w:spacing w:after="0" w:line="168" w:lineRule="exact"/>
        <w:rPr>
          <w:sz w:val="20"/>
          <w:szCs w:val="20"/>
          <w:color w:val="auto"/>
        </w:rPr>
      </w:pPr>
    </w:p>
    <w:p>
      <w:pPr>
        <w:ind w:left="1260" w:hanging="623"/>
        <w:spacing w:after="0"/>
        <w:tabs>
          <w:tab w:leader="none" w:pos="1260" w:val="left"/>
        </w:tabs>
        <w:numPr>
          <w:ilvl w:val="0"/>
          <w:numId w:val="199"/>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Entire Contract</w:t>
      </w:r>
    </w:p>
    <w:p>
      <w:pPr>
        <w:spacing w:after="0" w:line="202" w:lineRule="exact"/>
        <w:rPr>
          <w:sz w:val="20"/>
          <w:szCs w:val="20"/>
          <w:color w:val="auto"/>
        </w:rPr>
      </w:pPr>
    </w:p>
    <w:p>
      <w:pPr>
        <w:jc w:val="both"/>
        <w:ind w:left="640"/>
        <w:spacing w:after="0" w:line="237" w:lineRule="auto"/>
        <w:rPr>
          <w:sz w:val="20"/>
          <w:szCs w:val="20"/>
          <w:color w:val="auto"/>
        </w:rPr>
      </w:pPr>
      <w:r>
        <w:rPr>
          <w:rFonts w:ascii="Verdana" w:cs="Verdana" w:eastAsia="Verdana" w:hAnsi="Verdana"/>
          <w:sz w:val="18"/>
          <w:szCs w:val="18"/>
          <w:color w:val="auto"/>
        </w:rPr>
        <w:t>This Agreement and the Plan constitute the entire contract between the parties hereto with regard to the subject matter hereof. This Agreement is made pursuant to the provisions of the Plan and will, in all respects, be construed in conformity with the express terms and provisions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6</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LEGAL\81347999\5</w:t>
      </w:r>
    </w:p>
    <w:p>
      <w:pPr>
        <w:spacing w:after="0" w:line="7" w:lineRule="exact"/>
        <w:rPr>
          <w:sz w:val="20"/>
          <w:szCs w:val="20"/>
          <w:color w:val="auto"/>
        </w:rPr>
      </w:pPr>
    </w:p>
    <w:p>
      <w:pPr>
        <w:spacing w:after="0"/>
        <w:rPr>
          <w:sz w:val="20"/>
          <w:szCs w:val="20"/>
          <w:color w:val="auto"/>
        </w:rPr>
      </w:pPr>
      <w:r>
        <w:rPr>
          <w:rFonts w:ascii="Verdana" w:cs="Verdana" w:eastAsia="Verdana" w:hAnsi="Verdana"/>
          <w:sz w:val="14"/>
          <w:szCs w:val="14"/>
          <w:color w:val="auto"/>
        </w:rPr>
        <w:t>2026 RSU Agreement (CEO)</w:t>
      </w:r>
    </w:p>
    <w:p>
      <w:pPr>
        <w:sectPr>
          <w:pgSz w:w="11900" w:h="16838" w:orient="portrait"/>
          <w:cols w:equalWidth="0" w:num="1">
            <w:col w:w="11240"/>
          </w:cols>
          <w:pgMar w:left="320" w:top="1440" w:right="339" w:bottom="1440" w:gutter="0" w:footer="0" w:header="0"/>
          <w:type w:val="continuous"/>
        </w:sectPr>
      </w:pPr>
    </w:p>
    <w:bookmarkStart w:id="236" w:name="page237"/>
    <w:bookmarkEnd w:id="236"/>
    <w:p>
      <w:pPr>
        <w:spacing w:after="0" w:line="200" w:lineRule="exact"/>
        <w:rPr>
          <w:sz w:val="20"/>
          <w:szCs w:val="20"/>
          <w:color w:val="auto"/>
        </w:rPr>
      </w:pPr>
    </w:p>
    <w:p>
      <w:pPr>
        <w:spacing w:after="0" w:line="205" w:lineRule="exact"/>
        <w:rPr>
          <w:sz w:val="20"/>
          <w:szCs w:val="20"/>
          <w:color w:val="auto"/>
        </w:rPr>
      </w:pPr>
    </w:p>
    <w:p>
      <w:pPr>
        <w:ind w:left="1260" w:hanging="623"/>
        <w:spacing w:after="0"/>
        <w:tabs>
          <w:tab w:leader="none" w:pos="1260" w:val="left"/>
        </w:tabs>
        <w:numPr>
          <w:ilvl w:val="0"/>
          <w:numId w:val="200"/>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Successors and Assigns</w:t>
      </w:r>
    </w:p>
    <w:p>
      <w:pPr>
        <w:spacing w:after="0" w:line="202" w:lineRule="exact"/>
        <w:rPr>
          <w:sz w:val="20"/>
          <w:szCs w:val="20"/>
          <w:color w:val="auto"/>
        </w:rPr>
      </w:pPr>
    </w:p>
    <w:p>
      <w:pPr>
        <w:jc w:val="both"/>
        <w:ind w:left="640"/>
        <w:spacing w:after="0" w:line="237" w:lineRule="auto"/>
        <w:rPr>
          <w:sz w:val="20"/>
          <w:szCs w:val="20"/>
          <w:color w:val="auto"/>
        </w:rPr>
      </w:pPr>
      <w:r>
        <w:rPr>
          <w:rFonts w:ascii="Verdana" w:cs="Verdana" w:eastAsia="Verdana" w:hAnsi="Verdana"/>
          <w:sz w:val="18"/>
          <w:szCs w:val="18"/>
          <w:color w:val="auto"/>
        </w:rPr>
        <w:t>The provisions of this Agreement shall inure to the benefit of, and be binding on, the Company and its successors and assigns and Participant and Participant’s legal representatives, heirs, legatees, distributees, assigns and transferees by operation of law.</w:t>
      </w:r>
    </w:p>
    <w:p>
      <w:pPr>
        <w:spacing w:after="0" w:line="168" w:lineRule="exact"/>
        <w:rPr>
          <w:sz w:val="20"/>
          <w:szCs w:val="20"/>
          <w:color w:val="auto"/>
        </w:rPr>
      </w:pPr>
    </w:p>
    <w:p>
      <w:pPr>
        <w:ind w:left="1260" w:hanging="623"/>
        <w:spacing w:after="0"/>
        <w:tabs>
          <w:tab w:leader="none" w:pos="1260" w:val="left"/>
        </w:tabs>
        <w:numPr>
          <w:ilvl w:val="0"/>
          <w:numId w:val="201"/>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Securities Law Compliance</w:t>
      </w:r>
    </w:p>
    <w:p>
      <w:pPr>
        <w:spacing w:after="0" w:line="189" w:lineRule="exact"/>
        <w:rPr>
          <w:sz w:val="20"/>
          <w:szCs w:val="20"/>
          <w:color w:val="auto"/>
        </w:rPr>
      </w:pPr>
    </w:p>
    <w:p>
      <w:pPr>
        <w:jc w:val="both"/>
        <w:ind w:left="640"/>
        <w:spacing w:after="0" w:line="232" w:lineRule="auto"/>
        <w:rPr>
          <w:sz w:val="20"/>
          <w:szCs w:val="20"/>
          <w:color w:val="auto"/>
        </w:rPr>
      </w:pPr>
      <w:r>
        <w:rPr>
          <w:rFonts w:ascii="Verdana" w:cs="Verdana" w:eastAsia="Verdana" w:hAnsi="Verdana"/>
          <w:sz w:val="18"/>
          <w:szCs w:val="18"/>
          <w:color w:val="auto"/>
        </w:rPr>
        <w:t>The Company currently has an effective registration statement on file with the Securities and Exchange Commission with respect to the shares of Common Stock underlying this Award. The Company intends to maintain this registration statement but has no obligation to the Participant to do so. If the registration statement ceases to be effective, the Participant will not be able to transfer or sell shares of Common Stock issued pursuant to this Award, unless exemptions from registration under applicable securities laws are available. Such exemptions from registration are very limited and might be unavailable. Participant agrees that any resale of the shares of Common Stock issued pursuant to this Award shall comply in all respects with the requirements of all applicable securities laws, rules and regulations (including, without limitation, the provisions of the Securities Act of 1933, the Securities Exchange Act of 1934 and the respective rules and regulations promulgated thereunder) and any other law, rule or regulation applicable thereto, as such laws, rules, and regulations may be amended from time to time. The Company shall not be obligated to either issue shares of Common Stock or permit the resale of any such shares if such issuance or resale would violate any such requirements.</w:t>
      </w:r>
    </w:p>
    <w:p>
      <w:pPr>
        <w:spacing w:after="0" w:line="173" w:lineRule="exact"/>
        <w:rPr>
          <w:sz w:val="20"/>
          <w:szCs w:val="20"/>
          <w:color w:val="auto"/>
        </w:rPr>
      </w:pPr>
    </w:p>
    <w:p>
      <w:pPr>
        <w:ind w:left="1260" w:hanging="623"/>
        <w:spacing w:after="0"/>
        <w:tabs>
          <w:tab w:leader="none" w:pos="1260" w:val="left"/>
        </w:tabs>
        <w:numPr>
          <w:ilvl w:val="0"/>
          <w:numId w:val="202"/>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Taxes</w:t>
      </w:r>
    </w:p>
    <w:p>
      <w:pPr>
        <w:spacing w:after="0" w:line="189" w:lineRule="exact"/>
        <w:rPr>
          <w:sz w:val="20"/>
          <w:szCs w:val="20"/>
          <w:color w:val="auto"/>
        </w:rPr>
      </w:pPr>
    </w:p>
    <w:p>
      <w:pPr>
        <w:jc w:val="both"/>
        <w:ind w:left="640"/>
        <w:spacing w:after="0" w:line="232" w:lineRule="auto"/>
        <w:rPr>
          <w:sz w:val="20"/>
          <w:szCs w:val="20"/>
          <w:color w:val="auto"/>
        </w:rPr>
      </w:pPr>
      <w:r>
        <w:rPr>
          <w:rFonts w:ascii="Verdana" w:cs="Verdana" w:eastAsia="Verdana" w:hAnsi="Verdana"/>
          <w:sz w:val="18"/>
          <w:szCs w:val="18"/>
          <w:color w:val="auto"/>
        </w:rPr>
        <w:t>The Participant acknowledges that the vesting, earning, and settlement of the RSUs will give rise to a withholding tax liability and that no shares of Common Stock are issuable hereunder until such withholding obligation is satisfied in full. The Participant agrees to remit to the Company the amount of any taxes required to be withheld. The Committee may, in its sole discretion, require or permit the Participant to satisfy all or part of such tax obligation, and the Participant agrees to cooperate with the Committee or Company in any such action, by (i) withholding the number of shares of Common Stock otherwise issuable to the Participant hereunder which shall be retained by the Company, (ii) a “sell-to-cover” arrangement whereby the number of shares of Common Stock otherwise issuable to the Participant is sold on behalf of the Participant, and/or (iii) the Participant transferring to the Company unrestricted shares of Common Stock previously owned by the Participant that have a Fair Market Value equal to the amount of the withholding to be credited. Such withholding obligation value shall be based on the Fair Market Value of the Common Stock as of the date the amount of tax to be withheld is determined.</w:t>
      </w:r>
    </w:p>
    <w:p>
      <w:pPr>
        <w:spacing w:after="0" w:line="174" w:lineRule="exact"/>
        <w:rPr>
          <w:sz w:val="20"/>
          <w:szCs w:val="20"/>
          <w:color w:val="auto"/>
        </w:rPr>
      </w:pPr>
    </w:p>
    <w:p>
      <w:pPr>
        <w:ind w:left="1260" w:hanging="623"/>
        <w:spacing w:after="0"/>
        <w:tabs>
          <w:tab w:leader="none" w:pos="1260" w:val="left"/>
        </w:tabs>
        <w:numPr>
          <w:ilvl w:val="0"/>
          <w:numId w:val="203"/>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Governing Law</w:t>
      </w:r>
    </w:p>
    <w:p>
      <w:pPr>
        <w:spacing w:after="0" w:line="202" w:lineRule="exact"/>
        <w:rPr>
          <w:sz w:val="20"/>
          <w:szCs w:val="20"/>
          <w:color w:val="auto"/>
        </w:rPr>
      </w:pPr>
    </w:p>
    <w:p>
      <w:pPr>
        <w:ind w:left="640"/>
        <w:spacing w:after="0" w:line="241" w:lineRule="auto"/>
        <w:rPr>
          <w:sz w:val="20"/>
          <w:szCs w:val="20"/>
          <w:color w:val="auto"/>
        </w:rPr>
      </w:pPr>
      <w:r>
        <w:rPr>
          <w:rFonts w:ascii="Verdana" w:cs="Verdana" w:eastAsia="Verdana" w:hAnsi="Verdana"/>
          <w:sz w:val="18"/>
          <w:szCs w:val="18"/>
          <w:color w:val="auto"/>
        </w:rPr>
        <w:t>Except as may otherwise be provided in the Plan, the provisions of this Agreement shall be governed by the laws of the State of Delaware without giving effect to principles of conflicts of law.</w:t>
      </w:r>
    </w:p>
    <w:p>
      <w:pPr>
        <w:spacing w:after="0" w:line="192" w:lineRule="exact"/>
        <w:rPr>
          <w:sz w:val="20"/>
          <w:szCs w:val="20"/>
          <w:color w:val="auto"/>
        </w:rPr>
      </w:pPr>
    </w:p>
    <w:p>
      <w:pPr>
        <w:ind w:left="1120" w:hanging="483"/>
        <w:spacing w:after="0"/>
        <w:tabs>
          <w:tab w:leader="none" w:pos="1120" w:val="left"/>
        </w:tabs>
        <w:numPr>
          <w:ilvl w:val="0"/>
          <w:numId w:val="204"/>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Code Section 409A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7</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LEGAL\81347999\5</w:t>
      </w:r>
    </w:p>
    <w:p>
      <w:pPr>
        <w:spacing w:after="0" w:line="7" w:lineRule="exact"/>
        <w:rPr>
          <w:sz w:val="20"/>
          <w:szCs w:val="20"/>
          <w:color w:val="auto"/>
        </w:rPr>
      </w:pPr>
    </w:p>
    <w:p>
      <w:pPr>
        <w:spacing w:after="0"/>
        <w:rPr>
          <w:sz w:val="20"/>
          <w:szCs w:val="20"/>
          <w:color w:val="auto"/>
        </w:rPr>
      </w:pPr>
      <w:r>
        <w:rPr>
          <w:rFonts w:ascii="Verdana" w:cs="Verdana" w:eastAsia="Verdana" w:hAnsi="Verdana"/>
          <w:sz w:val="14"/>
          <w:szCs w:val="14"/>
          <w:color w:val="auto"/>
        </w:rPr>
        <w:t>2026 RSU Agreement (CEO)</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200" w:lineRule="exact"/>
        <w:rPr>
          <w:sz w:val="20"/>
          <w:szCs w:val="20"/>
          <w:color w:val="auto"/>
        </w:rPr>
      </w:pPr>
    </w:p>
    <w:p>
      <w:pPr>
        <w:spacing w:after="0" w:line="232" w:lineRule="exact"/>
        <w:rPr>
          <w:sz w:val="20"/>
          <w:szCs w:val="20"/>
          <w:color w:val="auto"/>
        </w:rPr>
      </w:pPr>
    </w:p>
    <w:p>
      <w:pPr>
        <w:jc w:val="both"/>
        <w:ind w:left="640"/>
        <w:spacing w:after="0" w:line="234" w:lineRule="auto"/>
        <w:rPr>
          <w:sz w:val="20"/>
          <w:szCs w:val="20"/>
          <w:color w:val="auto"/>
        </w:rPr>
      </w:pPr>
      <w:r>
        <w:rPr>
          <w:rFonts w:ascii="Verdana" w:cs="Verdana" w:eastAsia="Verdana" w:hAnsi="Verdana"/>
          <w:sz w:val="18"/>
          <w:szCs w:val="18"/>
          <w:color w:val="auto"/>
        </w:rPr>
        <w:t>To the extent that the Committee determines that the Award granted under this Agreement is subject to Section 409A of the Code and fails to comply with the requirements of such Section, notwithstanding anything to the contrary contained in the Plan or in this Agreement, the Committee reserves the right to amend, restructure, terminate or replace this Award in order to cause the Award to either not be subject to Section 409A of the Code or comply with the applicable provisions of such Section.</w:t>
      </w:r>
    </w:p>
    <w:p>
      <w:pPr>
        <w:spacing w:after="0" w:line="197"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8</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LEGAL\81347999\5</w:t>
      </w:r>
    </w:p>
    <w:p>
      <w:pPr>
        <w:spacing w:after="0" w:line="7" w:lineRule="exact"/>
        <w:rPr>
          <w:sz w:val="20"/>
          <w:szCs w:val="20"/>
          <w:color w:val="auto"/>
        </w:rPr>
      </w:pPr>
    </w:p>
    <w:p>
      <w:pPr>
        <w:spacing w:after="0"/>
        <w:rPr>
          <w:sz w:val="20"/>
          <w:szCs w:val="20"/>
          <w:color w:val="auto"/>
        </w:rPr>
      </w:pPr>
      <w:r>
        <w:rPr>
          <w:rFonts w:ascii="Verdana" w:cs="Verdana" w:eastAsia="Verdana" w:hAnsi="Verdana"/>
          <w:sz w:val="14"/>
          <w:szCs w:val="14"/>
          <w:color w:val="auto"/>
        </w:rPr>
        <w:t>2026 RSU Agreement (CEO)</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Verdana" w:cs="Verdana" w:eastAsia="Verdana" w:hAnsi="Verdana"/>
          <w:sz w:val="16"/>
          <w:szCs w:val="16"/>
          <w:color w:val="auto"/>
        </w:rPr>
        <w:t>IN WITNESS WHEREOF, this Agreement has been executed as of the Date of Grant.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160"/>
        <w:spacing w:after="0"/>
        <w:rPr>
          <w:sz w:val="20"/>
          <w:szCs w:val="20"/>
          <w:color w:val="auto"/>
        </w:rPr>
      </w:pPr>
      <w:r>
        <w:rPr>
          <w:rFonts w:ascii="Verdana" w:cs="Verdana" w:eastAsia="Verdana" w:hAnsi="Verdana"/>
          <w:sz w:val="18"/>
          <w:szCs w:val="18"/>
          <w:b w:val="1"/>
          <w:bCs w:val="1"/>
          <w:color w:val="auto"/>
        </w:rPr>
        <w:t>NRG ENERGY, INC.</w:t>
      </w:r>
    </w:p>
    <w:p>
      <w:pPr>
        <w:spacing w:after="0" w:line="5" w:lineRule="exact"/>
        <w:rPr>
          <w:sz w:val="20"/>
          <w:szCs w:val="20"/>
          <w:color w:val="auto"/>
        </w:rPr>
      </w:pPr>
    </w:p>
    <w:p>
      <w:pPr>
        <w:ind w:left="4120"/>
        <w:spacing w:after="0"/>
        <w:rPr>
          <w:sz w:val="20"/>
          <w:szCs w:val="20"/>
          <w:color w:val="auto"/>
        </w:rPr>
      </w:pPr>
      <w:r>
        <w:rPr>
          <w:rFonts w:ascii="Verdana" w:cs="Verdana" w:eastAsia="Verdana" w:hAnsi="Verdana"/>
          <w:sz w:val="18"/>
          <w:szCs w:val="18"/>
          <w:color w:val="auto"/>
        </w:rPr>
        <w:t>/s/ Brian Curci</w:t>
      </w:r>
    </w:p>
    <w:p>
      <w:pPr>
        <w:spacing w:after="0" w:line="5" w:lineRule="exact"/>
        <w:rPr>
          <w:sz w:val="20"/>
          <w:szCs w:val="20"/>
          <w:color w:val="auto"/>
        </w:rPr>
      </w:pPr>
    </w:p>
    <w:p>
      <w:pPr>
        <w:ind w:left="3100"/>
        <w:spacing w:after="0"/>
        <w:tabs>
          <w:tab w:leader="none" w:pos="4000" w:val="left"/>
        </w:tabs>
        <w:rPr>
          <w:sz w:val="20"/>
          <w:szCs w:val="20"/>
          <w:color w:val="auto"/>
        </w:rPr>
      </w:pPr>
      <w:r>
        <w:rPr>
          <w:rFonts w:ascii="Verdana" w:cs="Verdana" w:eastAsia="Verdana" w:hAnsi="Verdana"/>
          <w:sz w:val="18"/>
          <w:szCs w:val="18"/>
          <w:color w:val="auto"/>
        </w:rPr>
        <w:t>Name:</w:t>
      </w:r>
      <w:r>
        <w:rPr>
          <w:sz w:val="20"/>
          <w:szCs w:val="20"/>
          <w:color w:val="auto"/>
        </w:rPr>
        <w:tab/>
      </w:r>
      <w:r>
        <w:rPr>
          <w:rFonts w:ascii="Verdana" w:cs="Verdana" w:eastAsia="Verdana" w:hAnsi="Verdana"/>
          <w:sz w:val="18"/>
          <w:szCs w:val="18"/>
          <w:color w:val="auto"/>
        </w:rPr>
        <w:t>Brian Curci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2501900</wp:posOffset>
            </wp:positionH>
            <wp:positionV relativeFrom="paragraph">
              <wp:posOffset>-135255</wp:posOffset>
            </wp:positionV>
            <wp:extent cx="24396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56">
                      <a:extLst>
                        <a:ext uri="{28A0092B-C50C-407E-A947-70E740481C1C}"/>
                      </a:extLst>
                    </a:blip>
                    <a:srcRect/>
                    <a:stretch>
                      <a:fillRect/>
                    </a:stretch>
                  </pic:blipFill>
                  <pic:spPr bwMode="auto">
                    <a:xfrm>
                      <a:off x="0" y="0"/>
                      <a:ext cx="2439670" cy="8255"/>
                    </a:xfrm>
                    <a:prstGeom prst="rect">
                      <a:avLst/>
                    </a:prstGeom>
                    <a:noFill/>
                  </pic:spPr>
                </pic:pic>
              </a:graphicData>
            </a:graphic>
          </wp:anchor>
        </w:drawing>
      </w:r>
    </w:p>
    <w:p>
      <w:pPr>
        <w:ind w:left="3100"/>
        <w:spacing w:after="0"/>
        <w:tabs>
          <w:tab w:leader="none" w:pos="4000" w:val="left"/>
        </w:tabs>
        <w:rPr>
          <w:sz w:val="20"/>
          <w:szCs w:val="20"/>
          <w:color w:val="auto"/>
        </w:rPr>
      </w:pPr>
      <w:r>
        <w:rPr>
          <w:rFonts w:ascii="Verdana" w:cs="Verdana" w:eastAsia="Verdana" w:hAnsi="Verdana"/>
          <w:sz w:val="18"/>
          <w:szCs w:val="18"/>
          <w:color w:val="auto"/>
        </w:rPr>
        <w:t>Title:</w:t>
      </w:r>
      <w:r>
        <w:rPr>
          <w:sz w:val="20"/>
          <w:szCs w:val="20"/>
          <w:color w:val="auto"/>
        </w:rPr>
        <w:tab/>
      </w:r>
      <w:r>
        <w:rPr>
          <w:rFonts w:ascii="Verdana" w:cs="Verdana" w:eastAsia="Verdana" w:hAnsi="Verdana"/>
          <w:sz w:val="18"/>
          <w:szCs w:val="18"/>
          <w:color w:val="auto"/>
        </w:rPr>
        <w:t>EVP,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2501900</wp:posOffset>
            </wp:positionH>
            <wp:positionV relativeFrom="paragraph">
              <wp:posOffset>14605</wp:posOffset>
            </wp:positionV>
            <wp:extent cx="243967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57">
                      <a:extLst>
                        <a:ext uri="{28A0092B-C50C-407E-A947-70E740481C1C}"/>
                      </a:extLst>
                    </a:blip>
                    <a:srcRect/>
                    <a:stretch>
                      <a:fillRect/>
                    </a:stretch>
                  </pic:blipFill>
                  <pic:spPr bwMode="auto">
                    <a:xfrm>
                      <a:off x="0" y="0"/>
                      <a:ext cx="2439670" cy="8255"/>
                    </a:xfrm>
                    <a:prstGeom prst="rect">
                      <a:avLst/>
                    </a:prstGeom>
                    <a:noFill/>
                  </pic:spPr>
                </pic:pic>
              </a:graphicData>
            </a:graphic>
          </wp:anchor>
        </w:drawing>
        <w:drawing>
          <wp:anchor simplePos="0" relativeHeight="251657728" behindDoc="1" locked="0" layoutInCell="0" allowOverlap="1">
            <wp:simplePos x="0" y="0"/>
            <wp:positionH relativeFrom="column">
              <wp:posOffset>2501900</wp:posOffset>
            </wp:positionH>
            <wp:positionV relativeFrom="paragraph">
              <wp:posOffset>-135255</wp:posOffset>
            </wp:positionV>
            <wp:extent cx="24396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58">
                      <a:extLst>
                        <a:ext uri="{28A0092B-C50C-407E-A947-70E740481C1C}"/>
                      </a:extLst>
                    </a:blip>
                    <a:srcRect/>
                    <a:stretch>
                      <a:fillRect/>
                    </a:stretch>
                  </pic:blipFill>
                  <pic:spPr bwMode="auto">
                    <a:xfrm>
                      <a:off x="0" y="0"/>
                      <a:ext cx="2439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9</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LEGAL\81347999\5</w:t>
      </w:r>
    </w:p>
    <w:p>
      <w:pPr>
        <w:spacing w:after="0"/>
        <w:rPr>
          <w:sz w:val="20"/>
          <w:szCs w:val="20"/>
          <w:color w:val="auto"/>
        </w:rPr>
      </w:pPr>
      <w:r>
        <w:rPr>
          <w:rFonts w:ascii="Verdana" w:cs="Verdana" w:eastAsia="Verdana" w:hAnsi="Verdana"/>
          <w:sz w:val="14"/>
          <w:szCs w:val="14"/>
          <w:color w:val="auto"/>
        </w:rPr>
        <w:t>2026 RSU Agreement (CEO)</w:t>
      </w:r>
    </w:p>
    <w:p>
      <w:pPr>
        <w:sectPr>
          <w:pgSz w:w="11900" w:h="16838" w:orient="portrait"/>
          <w:cols w:equalWidth="0" w:num="1">
            <w:col w:w="10139"/>
          </w:cols>
          <w:pgMar w:left="320" w:top="1440" w:right="1440" w:bottom="1440" w:gutter="0" w:footer="0" w:header="0"/>
        </w:sectPr>
      </w:pPr>
    </w:p>
    <w:bookmarkStart w:id="239" w:name="page240"/>
    <w:bookmarkEnd w:id="239"/>
    <w:p>
      <w:pPr>
        <w:ind w:left="1760" w:right="500"/>
        <w:spacing w:after="0" w:line="321" w:lineRule="auto"/>
        <w:rPr>
          <w:sz w:val="20"/>
          <w:szCs w:val="20"/>
          <w:color w:val="auto"/>
        </w:rPr>
      </w:pPr>
      <w:r>
        <w:rPr>
          <w:rFonts w:ascii="Verdana" w:cs="Verdana" w:eastAsia="Verdana" w:hAnsi="Verdana"/>
          <w:sz w:val="26"/>
          <w:szCs w:val="26"/>
          <w:b w:val="1"/>
          <w:bCs w:val="1"/>
          <w:color w:val="auto"/>
        </w:rPr>
        <w:drawing>
          <wp:anchor simplePos="0" relativeHeight="251657728" behindDoc="1" locked="0" layoutInCell="0" allowOverlap="1">
            <wp:simplePos x="0" y="0"/>
            <wp:positionH relativeFrom="page">
              <wp:posOffset>214630</wp:posOffset>
            </wp:positionH>
            <wp:positionV relativeFrom="page">
              <wp:posOffset>106045</wp:posOffset>
            </wp:positionV>
            <wp:extent cx="793750" cy="5346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59">
                      <a:clrChange>
                        <a:clrFrom>
                          <a:srgbClr val="FFFFFF"/>
                        </a:clrFrom>
                        <a:clrTo>
                          <a:srgbClr val="FFFFFF">
                            <a:alpha val="0"/>
                          </a:srgbClr>
                        </a:clrTo>
                      </a:clrChange>
                      <a:extLst>
                        <a:ext uri="{28A0092B-C50C-407E-A947-70E740481C1C}"/>
                      </a:extLst>
                    </a:blip>
                    <a:srcRect/>
                    <a:stretch>
                      <a:fillRect/>
                    </a:stretch>
                  </pic:blipFill>
                  <pic:spPr bwMode="auto">
                    <a:xfrm>
                      <a:off x="0" y="0"/>
                      <a:ext cx="793750" cy="534670"/>
                    </a:xfrm>
                    <a:prstGeom prst="rect">
                      <a:avLst/>
                    </a:prstGeom>
                    <a:noFill/>
                  </pic:spPr>
                </pic:pic>
              </a:graphicData>
            </a:graphic>
          </wp:anchor>
        </w:drawing>
        <w:t>NRG ENERGY, INC. LONG-TERM INCENTIVE PLAN NOTICE OF RELATIVE PERFORMANCE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-41275</wp:posOffset>
            </wp:positionV>
            <wp:extent cx="713549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6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8"/>
          <w:szCs w:val="28"/>
          <w:b w:val="1"/>
          <w:bCs w:val="1"/>
          <w:color w:val="auto"/>
        </w:rPr>
        <w:t>Exhibit 10.12</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%%FIRST_NAME_LAST_NAME%-%</w:t>
      </w:r>
    </w:p>
    <w:p>
      <w:pPr>
        <w:spacing w:after="0" w:line="18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%%ADDRESS_LINE_1%-%</w:t>
      </w:r>
    </w:p>
    <w:p>
      <w:pPr>
        <w:spacing w:after="0" w:line="230" w:lineRule="auto"/>
        <w:rPr>
          <w:sz w:val="20"/>
          <w:szCs w:val="20"/>
          <w:color w:val="auto"/>
        </w:rPr>
      </w:pPr>
      <w:r>
        <w:rPr>
          <w:rFonts w:ascii="Verdana" w:cs="Verdana" w:eastAsia="Verdana" w:hAnsi="Verdana"/>
          <w:sz w:val="18"/>
          <w:szCs w:val="18"/>
          <w:b w:val="1"/>
          <w:bCs w:val="1"/>
          <w:color w:val="auto"/>
        </w:rPr>
        <w:t>%%ADDRESS_LINE_2%-%</w:t>
      </w:r>
    </w:p>
    <w:p>
      <w:pPr>
        <w:spacing w:after="0" w:line="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%%CITY_STATE_ZIPCODE%-%</w:t>
      </w:r>
    </w:p>
    <w:p>
      <w:pPr>
        <w:spacing w:after="0" w:line="202" w:lineRule="exact"/>
        <w:rPr>
          <w:sz w:val="20"/>
          <w:szCs w:val="20"/>
          <w:color w:val="auto"/>
        </w:rPr>
      </w:pPr>
    </w:p>
    <w:p>
      <w:pPr>
        <w:jc w:val="both"/>
        <w:spacing w:after="0" w:line="233" w:lineRule="auto"/>
        <w:rPr>
          <w:sz w:val="20"/>
          <w:szCs w:val="20"/>
          <w:color w:val="auto"/>
        </w:rPr>
      </w:pPr>
      <w:r>
        <w:rPr>
          <w:rFonts w:ascii="Verdana" w:cs="Verdana" w:eastAsia="Verdana" w:hAnsi="Verdana"/>
          <w:sz w:val="18"/>
          <w:szCs w:val="18"/>
          <w:color w:val="auto"/>
        </w:rPr>
        <w:t>Congratulations on your selection as a Participant under the NRG Energy, Inc. Amended and Restated Long-Term Incentive Plan, as amended from time to time</w:t>
      </w:r>
      <w:r>
        <w:rPr>
          <w:rFonts w:ascii="Verdana" w:cs="Verdana" w:eastAsia="Verdana" w:hAnsi="Verdana"/>
          <w:sz w:val="11"/>
          <w:szCs w:val="11"/>
          <w:color w:val="auto"/>
        </w:rPr>
        <w:t>1</w:t>
      </w:r>
      <w:r>
        <w:rPr>
          <w:rFonts w:ascii="Verdana" w:cs="Verdana" w:eastAsia="Verdana" w:hAnsi="Verdana"/>
          <w:sz w:val="18"/>
          <w:szCs w:val="18"/>
          <w:color w:val="auto"/>
        </w:rPr>
        <w:t xml:space="preserve"> (the “</w:t>
      </w:r>
      <w:r>
        <w:rPr>
          <w:rFonts w:ascii="Verdana" w:cs="Verdana" w:eastAsia="Verdana" w:hAnsi="Verdana"/>
          <w:sz w:val="18"/>
          <w:szCs w:val="18"/>
          <w:u w:val="single" w:color="auto"/>
          <w:color w:val="auto"/>
        </w:rPr>
        <w:t>Plan</w:t>
      </w:r>
      <w:r>
        <w:rPr>
          <w:rFonts w:ascii="Verdana" w:cs="Verdana" w:eastAsia="Verdana" w:hAnsi="Verdana"/>
          <w:sz w:val="18"/>
          <w:szCs w:val="18"/>
          <w:color w:val="auto"/>
        </w:rPr>
        <w:t>”). This Notice of Relative Performance Stock Units (the “</w:t>
      </w:r>
      <w:r>
        <w:rPr>
          <w:rFonts w:ascii="Verdana" w:cs="Verdana" w:eastAsia="Verdana" w:hAnsi="Verdana"/>
          <w:sz w:val="18"/>
          <w:szCs w:val="18"/>
          <w:u w:val="single" w:color="auto"/>
          <w:color w:val="auto"/>
        </w:rPr>
        <w:t>Grant Notice</w:t>
      </w:r>
      <w:r>
        <w:rPr>
          <w:rFonts w:ascii="Verdana" w:cs="Verdana" w:eastAsia="Verdana" w:hAnsi="Verdana"/>
          <w:sz w:val="18"/>
          <w:szCs w:val="18"/>
          <w:color w:val="auto"/>
        </w:rPr>
        <w:t>”) and the attached Relative Performance Stock Unit Agreement (collectively referred to as the “</w:t>
      </w:r>
      <w:r>
        <w:rPr>
          <w:rFonts w:ascii="Verdana" w:cs="Verdana" w:eastAsia="Verdana" w:hAnsi="Verdana"/>
          <w:sz w:val="18"/>
          <w:szCs w:val="18"/>
          <w:u w:val="single" w:color="auto"/>
          <w:color w:val="auto"/>
        </w:rPr>
        <w:t>Agreement</w:t>
      </w:r>
      <w:r>
        <w:rPr>
          <w:rFonts w:ascii="Verdana" w:cs="Verdana" w:eastAsia="Verdana" w:hAnsi="Verdana"/>
          <w:sz w:val="18"/>
          <w:szCs w:val="18"/>
          <w:color w:val="auto"/>
        </w:rPr>
        <w:t>”) constitute an agreement between you and NRG Energy, Inc. (the “</w:t>
      </w:r>
      <w:r>
        <w:rPr>
          <w:rFonts w:ascii="Verdana" w:cs="Verdana" w:eastAsia="Verdana" w:hAnsi="Verdana"/>
          <w:sz w:val="18"/>
          <w:szCs w:val="18"/>
          <w:u w:val="single" w:color="auto"/>
          <w:color w:val="auto"/>
        </w:rPr>
        <w:t>Company</w:t>
      </w:r>
      <w:r>
        <w:rPr>
          <w:rFonts w:ascii="Verdana" w:cs="Verdana" w:eastAsia="Verdana" w:hAnsi="Verdana"/>
          <w:sz w:val="18"/>
          <w:szCs w:val="18"/>
          <w:color w:val="auto"/>
        </w:rPr>
        <w:t xml:space="preserve">”) pursuant to </w:t>
      </w:r>
      <w:r>
        <w:rPr>
          <w:rFonts w:ascii="Verdana" w:cs="Verdana" w:eastAsia="Verdana" w:hAnsi="Verdana"/>
          <w:sz w:val="18"/>
          <w:szCs w:val="18"/>
          <w:u w:val="single" w:color="auto"/>
          <w:color w:val="auto"/>
        </w:rPr>
        <w:t>Section 9</w:t>
      </w:r>
      <w:r>
        <w:rPr>
          <w:rFonts w:ascii="Verdana" w:cs="Verdana" w:eastAsia="Verdana" w:hAnsi="Verdana"/>
          <w:sz w:val="18"/>
          <w:szCs w:val="18"/>
          <w:color w:val="auto"/>
        </w:rPr>
        <w:t xml:space="preserve"> of the Plan. In the event of any inconsistency between the terms of this Agreement and the terms of the Plan, the Plan’s terms shall supersede and replace the conflicting terms of this Agreement. Capitalized terms used but not defined in this Agreement shall have the meaning assigned to them in the Plan. You are sometimes referred to as the “</w:t>
      </w:r>
      <w:r>
        <w:rPr>
          <w:rFonts w:ascii="Verdana" w:cs="Verdana" w:eastAsia="Verdana" w:hAnsi="Verdana"/>
          <w:sz w:val="18"/>
          <w:szCs w:val="18"/>
          <w:u w:val="single" w:color="auto"/>
          <w:color w:val="auto"/>
        </w:rPr>
        <w:t>Participant</w:t>
      </w:r>
      <w:r>
        <w:rPr>
          <w:rFonts w:ascii="Verdana" w:cs="Verdana" w:eastAsia="Verdana" w:hAnsi="Verdana"/>
          <w:sz w:val="18"/>
          <w:szCs w:val="18"/>
          <w:color w:val="auto"/>
        </w:rPr>
        <w:t>” in this Agreement.</w:t>
      </w:r>
    </w:p>
    <w:p>
      <w:pPr>
        <w:spacing w:after="0" w:line="198"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 xml:space="preserve">%%FIRST NAME LAST NAME%-% </w:t>
      </w:r>
      <w:r>
        <w:rPr>
          <w:rFonts w:ascii="Verdana" w:cs="Verdana" w:eastAsia="Verdana" w:hAnsi="Verdana"/>
          <w:sz w:val="18"/>
          <w:szCs w:val="18"/>
          <w:color w:val="auto"/>
        </w:rPr>
        <w:t>is hereby granted Relative Performance Stock Units (“</w:t>
      </w:r>
      <w:r>
        <w:rPr>
          <w:rFonts w:ascii="Verdana" w:cs="Verdana" w:eastAsia="Verdana" w:hAnsi="Verdana"/>
          <w:sz w:val="18"/>
          <w:szCs w:val="18"/>
          <w:u w:val="single" w:color="auto"/>
          <w:color w:val="auto"/>
        </w:rPr>
        <w:t>RPSUs</w:t>
      </w:r>
      <w:r>
        <w:rPr>
          <w:rFonts w:ascii="Verdana" w:cs="Verdana" w:eastAsia="Verdana" w:hAnsi="Verdana"/>
          <w:sz w:val="18"/>
          <w:szCs w:val="18"/>
          <w:color w:val="auto"/>
        </w:rPr>
        <w:t>”) as follows:</w:t>
      </w:r>
    </w:p>
    <w:p>
      <w:pPr>
        <w:sectPr>
          <w:pgSz w:w="11900" w:h="16838" w:orient="portrait"/>
          <w:cols w:equalWidth="0" w:num="1">
            <w:col w:w="11240"/>
          </w:cols>
          <w:pgMar w:left="320" w:top="386" w:right="339" w:bottom="1440" w:gutter="0" w:footer="0" w:header="0"/>
        </w:sectPr>
      </w:pPr>
    </w:p>
    <w:p>
      <w:pPr>
        <w:spacing w:after="0" w:line="229" w:lineRule="exact"/>
        <w:rPr>
          <w:sz w:val="20"/>
          <w:szCs w:val="20"/>
          <w:color w:val="auto"/>
        </w:rPr>
      </w:pPr>
    </w:p>
    <w:p>
      <w:pPr>
        <w:ind w:left="500"/>
        <w:spacing w:after="0"/>
        <w:rPr>
          <w:sz w:val="20"/>
          <w:szCs w:val="20"/>
          <w:color w:val="auto"/>
        </w:rPr>
      </w:pPr>
      <w:r>
        <w:rPr>
          <w:rFonts w:ascii="Verdana" w:cs="Verdana" w:eastAsia="Verdana" w:hAnsi="Verdana"/>
          <w:sz w:val="16"/>
          <w:szCs w:val="16"/>
          <w:color w:val="auto"/>
        </w:rPr>
        <w:t>Date of Grant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%%OPTION DATE ‘Month DD, YYYY’%-%</w:t>
      </w:r>
    </w:p>
    <w:p>
      <w:pPr>
        <w:spacing w:after="0" w:line="200" w:lineRule="exact"/>
        <w:rPr>
          <w:sz w:val="20"/>
          <w:szCs w:val="20"/>
          <w:color w:val="auto"/>
        </w:rPr>
      </w:pPr>
    </w:p>
    <w:p>
      <w:pPr>
        <w:sectPr>
          <w:pgSz w:w="11900" w:h="16838" w:orient="portrait"/>
          <w:cols w:equalWidth="0" w:num="2">
            <w:col w:w="2880" w:space="720"/>
            <w:col w:w="7640"/>
          </w:cols>
          <w:pgMar w:left="320" w:top="386" w:right="339" w:bottom="1440" w:gutter="0" w:footer="0" w:header="0"/>
          <w:type w:val="continuous"/>
        </w:sectPr>
      </w:pPr>
    </w:p>
    <w:p>
      <w:pPr>
        <w:spacing w:after="0" w:line="40" w:lineRule="exact"/>
        <w:rPr>
          <w:sz w:val="20"/>
          <w:szCs w:val="20"/>
          <w:color w:val="auto"/>
        </w:rPr>
      </w:pPr>
    </w:p>
    <w:p>
      <w:pPr>
        <w:ind w:left="500"/>
        <w:spacing w:after="0"/>
        <w:rPr>
          <w:sz w:val="20"/>
          <w:szCs w:val="20"/>
          <w:color w:val="auto"/>
        </w:rPr>
      </w:pPr>
      <w:r>
        <w:rPr>
          <w:rFonts w:ascii="Verdana" w:cs="Verdana" w:eastAsia="Verdana" w:hAnsi="Verdana"/>
          <w:sz w:val="16"/>
          <w:szCs w:val="16"/>
          <w:color w:val="auto"/>
        </w:rPr>
        <w:t>Performance Period:</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Verdana" w:cs="Verdana" w:eastAsia="Verdana" w:hAnsi="Verdana"/>
          <w:sz w:val="16"/>
          <w:szCs w:val="16"/>
          <w:color w:val="auto"/>
        </w:rPr>
        <w:t>January 2, 2026 through January 2, 2029</w:t>
      </w:r>
    </w:p>
    <w:p>
      <w:pPr>
        <w:spacing w:after="0" w:line="200" w:lineRule="exact"/>
        <w:rPr>
          <w:sz w:val="20"/>
          <w:szCs w:val="20"/>
          <w:color w:val="auto"/>
        </w:rPr>
      </w:pPr>
    </w:p>
    <w:p>
      <w:pPr>
        <w:sectPr>
          <w:pgSz w:w="11900" w:h="16838" w:orient="portrait"/>
          <w:cols w:equalWidth="0" w:num="2">
            <w:col w:w="2880" w:space="720"/>
            <w:col w:w="7640"/>
          </w:cols>
          <w:pgMar w:left="320" w:top="386" w:right="339" w:bottom="1440" w:gutter="0" w:footer="0" w:header="0"/>
          <w:type w:val="continuous"/>
        </w:sectPr>
      </w:pPr>
    </w:p>
    <w:p>
      <w:pPr>
        <w:spacing w:after="0" w:line="40" w:lineRule="exact"/>
        <w:rPr>
          <w:sz w:val="20"/>
          <w:szCs w:val="20"/>
          <w:color w:val="auto"/>
        </w:rPr>
      </w:pPr>
    </w:p>
    <w:p>
      <w:pPr>
        <w:ind w:left="500"/>
        <w:spacing w:after="0"/>
        <w:rPr>
          <w:sz w:val="20"/>
          <w:szCs w:val="20"/>
          <w:color w:val="auto"/>
        </w:rPr>
      </w:pPr>
      <w:r>
        <w:rPr>
          <w:rFonts w:ascii="Verdana" w:cs="Verdana" w:eastAsia="Verdana" w:hAnsi="Verdana"/>
          <w:sz w:val="16"/>
          <w:szCs w:val="16"/>
          <w:color w:val="auto"/>
        </w:rPr>
        <w:t>Target Award:</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%%TOTAL SHARES GRANTED, ‘999,999,999’%-%</w:t>
      </w:r>
    </w:p>
    <w:p>
      <w:pPr>
        <w:spacing w:after="0" w:line="200" w:lineRule="exact"/>
        <w:rPr>
          <w:sz w:val="20"/>
          <w:szCs w:val="20"/>
          <w:color w:val="auto"/>
        </w:rPr>
      </w:pPr>
    </w:p>
    <w:p>
      <w:pPr>
        <w:sectPr>
          <w:pgSz w:w="11900" w:h="16838" w:orient="portrait"/>
          <w:cols w:equalWidth="0" w:num="2">
            <w:col w:w="2880" w:space="720"/>
            <w:col w:w="7640"/>
          </w:cols>
          <w:pgMar w:left="320" w:top="386" w:right="339" w:bottom="1440" w:gutter="0" w:footer="0" w:header="0"/>
          <w:type w:val="continuous"/>
        </w:sectPr>
      </w:pPr>
    </w:p>
    <w:p>
      <w:pPr>
        <w:spacing w:after="0" w:line="40" w:lineRule="exact"/>
        <w:rPr>
          <w:sz w:val="20"/>
          <w:szCs w:val="20"/>
          <w:color w:val="auto"/>
        </w:rPr>
      </w:pPr>
    </w:p>
    <w:p>
      <w:pPr>
        <w:ind w:left="500"/>
        <w:spacing w:after="0"/>
        <w:rPr>
          <w:sz w:val="20"/>
          <w:szCs w:val="20"/>
          <w:color w:val="auto"/>
        </w:rPr>
      </w:pPr>
      <w:r>
        <w:rPr>
          <w:rFonts w:ascii="Verdana" w:cs="Verdana" w:eastAsia="Verdana" w:hAnsi="Verdana"/>
          <w:sz w:val="16"/>
          <w:szCs w:val="16"/>
          <w:color w:val="auto"/>
        </w:rPr>
        <w:t>Final Award:</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jc w:val="both"/>
        <w:ind w:right="860"/>
        <w:spacing w:after="0" w:line="206" w:lineRule="auto"/>
        <w:rPr>
          <w:sz w:val="20"/>
          <w:szCs w:val="20"/>
          <w:color w:val="auto"/>
        </w:rPr>
      </w:pPr>
      <w:r>
        <w:rPr>
          <w:rFonts w:ascii="Verdana" w:cs="Verdana" w:eastAsia="Verdana" w:hAnsi="Verdana"/>
          <w:sz w:val="18"/>
          <w:szCs w:val="18"/>
          <w:color w:val="auto"/>
        </w:rPr>
        <w:t>Target Award multiplied by the “Payout Percentage” (as defined below) based on the Company’s total shareholder return relative to total shareholder return of peer group members of the Standard &amp; Poors 500 Index, as set forth in this Agreement.</w:t>
      </w:r>
    </w:p>
    <w:p>
      <w:pPr>
        <w:spacing w:after="0" w:line="200" w:lineRule="exact"/>
        <w:rPr>
          <w:sz w:val="20"/>
          <w:szCs w:val="20"/>
          <w:color w:val="auto"/>
        </w:rPr>
      </w:pPr>
    </w:p>
    <w:p>
      <w:pPr>
        <w:sectPr>
          <w:pgSz w:w="11900" w:h="16838" w:orient="portrait"/>
          <w:cols w:equalWidth="0" w:num="2">
            <w:col w:w="2880" w:space="720"/>
            <w:col w:w="7640"/>
          </w:cols>
          <w:pgMar w:left="320" w:top="386" w:right="339" w:bottom="1440" w:gutter="0" w:footer="0" w:header="0"/>
          <w:type w:val="continuous"/>
        </w:sectPr>
      </w:pPr>
    </w:p>
    <w:p>
      <w:pPr>
        <w:spacing w:after="0" w:line="102" w:lineRule="exact"/>
        <w:rPr>
          <w:sz w:val="20"/>
          <w:szCs w:val="20"/>
          <w:color w:val="auto"/>
        </w:rPr>
      </w:pPr>
    </w:p>
    <w:p>
      <w:pPr>
        <w:jc w:val="both"/>
        <w:spacing w:after="0" w:line="237" w:lineRule="auto"/>
        <w:rPr>
          <w:sz w:val="20"/>
          <w:szCs w:val="20"/>
          <w:color w:val="auto"/>
        </w:rPr>
      </w:pPr>
      <w:r>
        <w:rPr>
          <w:rFonts w:ascii="Verdana" w:cs="Verdana" w:eastAsia="Verdana" w:hAnsi="Verdana"/>
          <w:sz w:val="18"/>
          <w:szCs w:val="18"/>
          <w:color w:val="auto"/>
        </w:rPr>
        <w:t>Payment of the Final Award shall be made in NRG Energy, Inc. Common Stock and shall be made no earlier than January 2, 2029 and no later than March 15, 2029, , but in no event later than two and a half months following the end of the calendar year in which the Final Award vested in compliance with the short-term deferral exception of IRC Section 409A.</w:t>
      </w:r>
    </w:p>
    <w:p>
      <w:pPr>
        <w:spacing w:after="0" w:line="194" w:lineRule="exact"/>
        <w:rPr>
          <w:sz w:val="20"/>
          <w:szCs w:val="20"/>
          <w:color w:val="auto"/>
        </w:rPr>
      </w:pPr>
    </w:p>
    <w:p>
      <w:pPr>
        <w:jc w:val="both"/>
        <w:spacing w:after="0" w:line="237" w:lineRule="auto"/>
        <w:rPr>
          <w:sz w:val="20"/>
          <w:szCs w:val="20"/>
          <w:color w:val="auto"/>
        </w:rPr>
      </w:pPr>
      <w:r>
        <w:rPr>
          <w:rFonts w:ascii="Verdana" w:cs="Verdana" w:eastAsia="Verdana" w:hAnsi="Verdana"/>
          <w:sz w:val="18"/>
          <w:szCs w:val="18"/>
          <w:color w:val="auto"/>
        </w:rPr>
        <w:t xml:space="preserve">Subject to </w:t>
      </w:r>
      <w:r>
        <w:rPr>
          <w:rFonts w:ascii="Verdana" w:cs="Verdana" w:eastAsia="Verdana" w:hAnsi="Verdana"/>
          <w:sz w:val="18"/>
          <w:szCs w:val="18"/>
          <w:u w:val="single" w:color="auto"/>
          <w:color w:val="auto"/>
        </w:rPr>
        <w:t>Section 8</w:t>
      </w:r>
      <w:r>
        <w:rPr>
          <w:rFonts w:ascii="Verdana" w:cs="Verdana" w:eastAsia="Verdana" w:hAnsi="Verdana"/>
          <w:sz w:val="18"/>
          <w:szCs w:val="18"/>
          <w:color w:val="auto"/>
        </w:rPr>
        <w:t xml:space="preserve"> of this Agreement, if your employment by, or service to, the Company, including any of its Subsidiaries, is terminated at any time during the Performance Period, any award or right granted hereunder shall expire and be forfeited, and no Final Award or dividend equivalent related thereto shall be paid.</w:t>
      </w:r>
    </w:p>
    <w:p>
      <w:pPr>
        <w:spacing w:after="0" w:line="194"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b w:val="1"/>
          <w:bCs w:val="1"/>
          <w:color w:val="auto"/>
        </w:rPr>
        <w:t>If you disagree with any of the terms of this award, please contact Peter Johnson at 609-524-4759 prior to accepting this award. You must accept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160401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61">
                      <a:extLst>
                        <a:ext uri="{28A0092B-C50C-407E-A947-70E740481C1C}"/>
                      </a:extLst>
                    </a:blip>
                    <a:srcRect/>
                    <a:stretch>
                      <a:fillRect/>
                    </a:stretch>
                  </pic:blipFill>
                  <pic:spPr bwMode="auto">
                    <a:xfrm>
                      <a:off x="0" y="0"/>
                      <a:ext cx="1604010" cy="8255"/>
                    </a:xfrm>
                    <a:prstGeom prst="rect">
                      <a:avLst/>
                    </a:prstGeom>
                    <a:noFill/>
                  </pic:spPr>
                </pic:pic>
              </a:graphicData>
            </a:graphic>
          </wp:anchor>
        </w:drawing>
      </w:r>
    </w:p>
    <w:p>
      <w:pPr>
        <w:spacing w:after="0" w:line="226" w:lineRule="exact"/>
        <w:rPr>
          <w:sz w:val="20"/>
          <w:szCs w:val="20"/>
          <w:color w:val="auto"/>
        </w:rPr>
      </w:pPr>
    </w:p>
    <w:p>
      <w:pPr>
        <w:ind w:left="140" w:hanging="135"/>
        <w:spacing w:after="0"/>
        <w:tabs>
          <w:tab w:leader="none" w:pos="140" w:val="left"/>
        </w:tabs>
        <w:numPr>
          <w:ilvl w:val="0"/>
          <w:numId w:val="205"/>
        </w:numPr>
        <w:rPr>
          <w:rFonts w:ascii="Verdana" w:cs="Verdana" w:eastAsia="Verdana" w:hAnsi="Verdana"/>
          <w:sz w:val="23"/>
          <w:szCs w:val="23"/>
          <w:color w:val="auto"/>
          <w:vertAlign w:val="superscript"/>
        </w:rPr>
      </w:pPr>
      <w:r>
        <w:rPr>
          <w:rFonts w:ascii="Verdana" w:cs="Verdana" w:eastAsia="Verdana" w:hAnsi="Verdana"/>
          <w:sz w:val="18"/>
          <w:szCs w:val="18"/>
          <w:color w:val="auto"/>
        </w:rPr>
        <w:t>As Amended and Restated on July 25, 2024.</w:t>
      </w: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color w:val="auto"/>
        </w:rPr>
        <w:t>2026 RPSU Agreement (CEO)</w:t>
      </w:r>
    </w:p>
    <w:p>
      <w:pPr>
        <w:sectPr>
          <w:pgSz w:w="11900" w:h="16838" w:orient="portrait"/>
          <w:cols w:equalWidth="0" w:num="1">
            <w:col w:w="11240"/>
          </w:cols>
          <w:pgMar w:left="320" w:top="386" w:right="339" w:bottom="1440" w:gutter="0" w:footer="0" w:header="0"/>
          <w:type w:val="continuous"/>
        </w:sectPr>
      </w:pPr>
    </w:p>
    <w:bookmarkStart w:id="240" w:name="page241"/>
    <w:bookmarkEnd w:id="240"/>
    <w:p>
      <w:pPr>
        <w:spacing w:after="0" w:line="200" w:lineRule="exact"/>
        <w:rPr>
          <w:sz w:val="20"/>
          <w:szCs w:val="20"/>
          <w:color w:val="auto"/>
        </w:rPr>
      </w:pPr>
    </w:p>
    <w:p>
      <w:pPr>
        <w:spacing w:after="0" w:line="232" w:lineRule="exact"/>
        <w:rPr>
          <w:sz w:val="20"/>
          <w:szCs w:val="20"/>
          <w:color w:val="auto"/>
        </w:rPr>
      </w:pPr>
    </w:p>
    <w:p>
      <w:pPr>
        <w:spacing w:after="0" w:line="241" w:lineRule="auto"/>
        <w:rPr>
          <w:sz w:val="20"/>
          <w:szCs w:val="20"/>
          <w:color w:val="auto"/>
        </w:rPr>
      </w:pPr>
      <w:r>
        <w:rPr>
          <w:rFonts w:ascii="Verdana" w:cs="Verdana" w:eastAsia="Verdana" w:hAnsi="Verdana"/>
          <w:sz w:val="18"/>
          <w:szCs w:val="18"/>
          <w:b w:val="1"/>
          <w:bCs w:val="1"/>
          <w:color w:val="auto"/>
        </w:rPr>
        <w:t>and the terms of the Grant Notice and the Plan by January 31 of the year of the Date of Grant through E*Trade or this Award will be cancelled unless the Company decides, in its sole discretion, to extend this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LEGAL\81347992\6</w:t>
      </w:r>
    </w:p>
    <w:p>
      <w:pPr>
        <w:spacing w:after="0" w:line="7" w:lineRule="exact"/>
        <w:rPr>
          <w:sz w:val="20"/>
          <w:szCs w:val="20"/>
          <w:color w:val="auto"/>
        </w:rPr>
      </w:pPr>
    </w:p>
    <w:p>
      <w:pPr>
        <w:spacing w:after="0"/>
        <w:rPr>
          <w:sz w:val="20"/>
          <w:szCs w:val="20"/>
          <w:color w:val="auto"/>
        </w:rPr>
      </w:pPr>
      <w:r>
        <w:rPr>
          <w:rFonts w:ascii="Verdana" w:cs="Verdana" w:eastAsia="Verdana" w:hAnsi="Verdana"/>
          <w:sz w:val="14"/>
          <w:szCs w:val="14"/>
          <w:color w:val="auto"/>
        </w:rPr>
        <w:t>2026 RPSU Agreement (CEO)</w:t>
      </w:r>
    </w:p>
    <w:p>
      <w:pPr>
        <w:sectPr>
          <w:pgSz w:w="11900" w:h="16838" w:orient="portrait"/>
          <w:cols w:equalWidth="0" w:num="1">
            <w:col w:w="11240"/>
          </w:cols>
          <w:pgMar w:left="320" w:top="1440" w:right="339" w:bottom="1440" w:gutter="0" w:footer="0" w:header="0"/>
        </w:sectPr>
      </w:pPr>
    </w:p>
    <w:bookmarkStart w:id="241" w:name="page242"/>
    <w:bookmarkEnd w:id="241"/>
    <w:p>
      <w:pPr>
        <w:ind w:left="1760" w:right="660"/>
        <w:spacing w:after="0" w:line="321" w:lineRule="auto"/>
        <w:rPr>
          <w:sz w:val="20"/>
          <w:szCs w:val="20"/>
          <w:color w:val="auto"/>
        </w:rPr>
      </w:pPr>
      <w:r>
        <w:rPr>
          <w:rFonts w:ascii="Verdana" w:cs="Verdana" w:eastAsia="Verdana" w:hAnsi="Verdana"/>
          <w:sz w:val="26"/>
          <w:szCs w:val="26"/>
          <w:b w:val="1"/>
          <w:bCs w:val="1"/>
          <w:color w:val="auto"/>
        </w:rPr>
        <w:drawing>
          <wp:anchor simplePos="0" relativeHeight="251657728" behindDoc="1" locked="0" layoutInCell="0" allowOverlap="1">
            <wp:simplePos x="0" y="0"/>
            <wp:positionH relativeFrom="page">
              <wp:posOffset>214630</wp:posOffset>
            </wp:positionH>
            <wp:positionV relativeFrom="page">
              <wp:posOffset>105410</wp:posOffset>
            </wp:positionV>
            <wp:extent cx="793750" cy="5346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62">
                      <a:clrChange>
                        <a:clrFrom>
                          <a:srgbClr val="FFFFFF"/>
                        </a:clrFrom>
                        <a:clrTo>
                          <a:srgbClr val="FFFFFF">
                            <a:alpha val="0"/>
                          </a:srgbClr>
                        </a:clrTo>
                      </a:clrChange>
                      <a:extLst>
                        <a:ext uri="{28A0092B-C50C-407E-A947-70E740481C1C}"/>
                      </a:extLst>
                    </a:blip>
                    <a:srcRect/>
                    <a:stretch>
                      <a:fillRect/>
                    </a:stretch>
                  </pic:blipFill>
                  <pic:spPr bwMode="auto">
                    <a:xfrm>
                      <a:off x="0" y="0"/>
                      <a:ext cx="793750" cy="534670"/>
                    </a:xfrm>
                    <a:prstGeom prst="rect">
                      <a:avLst/>
                    </a:prstGeom>
                    <a:noFill/>
                  </pic:spPr>
                </pic:pic>
              </a:graphicData>
            </a:graphic>
          </wp:anchor>
        </w:drawing>
        <w:t>NRG ENERGY, INC. LONG-TERM INCENTIVE PLAN RELATIVE PERFORMANCE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-41275</wp:posOffset>
            </wp:positionV>
            <wp:extent cx="713549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63">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35" w:lineRule="auto"/>
        <w:rPr>
          <w:sz w:val="20"/>
          <w:szCs w:val="20"/>
          <w:color w:val="auto"/>
        </w:rPr>
      </w:pPr>
      <w:r>
        <w:rPr>
          <w:rFonts w:ascii="Verdana" w:cs="Verdana" w:eastAsia="Verdana" w:hAnsi="Verdana"/>
          <w:sz w:val="18"/>
          <w:szCs w:val="18"/>
          <w:color w:val="auto"/>
        </w:rPr>
        <w:t>This Relative Performance Stock Unit Agreement, dated as of the Date of Grant set forth in the Notice of Relative Performance Stock Units to which this Agreement is attached (the “</w:t>
      </w:r>
      <w:r>
        <w:rPr>
          <w:rFonts w:ascii="Verdana" w:cs="Verdana" w:eastAsia="Verdana" w:hAnsi="Verdana"/>
          <w:sz w:val="18"/>
          <w:szCs w:val="18"/>
          <w:u w:val="single" w:color="auto"/>
          <w:color w:val="auto"/>
        </w:rPr>
        <w:t>Grant Notice</w:t>
      </w:r>
      <w:r>
        <w:rPr>
          <w:rFonts w:ascii="Verdana" w:cs="Verdana" w:eastAsia="Verdana" w:hAnsi="Verdana"/>
          <w:sz w:val="18"/>
          <w:szCs w:val="18"/>
          <w:color w:val="auto"/>
        </w:rPr>
        <w:t>,” and together with this Relative Performance Stock Unit Agreement, the “</w:t>
      </w:r>
      <w:r>
        <w:rPr>
          <w:rFonts w:ascii="Verdana" w:cs="Verdana" w:eastAsia="Verdana" w:hAnsi="Verdana"/>
          <w:sz w:val="18"/>
          <w:szCs w:val="18"/>
          <w:u w:val="single" w:color="auto"/>
          <w:color w:val="auto"/>
        </w:rPr>
        <w:t>Agreement</w:t>
      </w:r>
      <w:r>
        <w:rPr>
          <w:rFonts w:ascii="Verdana" w:cs="Verdana" w:eastAsia="Verdana" w:hAnsi="Verdana"/>
          <w:sz w:val="18"/>
          <w:szCs w:val="18"/>
          <w:color w:val="auto"/>
        </w:rPr>
        <w:t>”), is made between NRG Energy, Inc. (the “</w:t>
      </w:r>
      <w:r>
        <w:rPr>
          <w:rFonts w:ascii="Verdana" w:cs="Verdana" w:eastAsia="Verdana" w:hAnsi="Verdana"/>
          <w:sz w:val="18"/>
          <w:szCs w:val="18"/>
          <w:u w:val="single" w:color="auto"/>
          <w:color w:val="auto"/>
        </w:rPr>
        <w:t>Company</w:t>
      </w:r>
      <w:r>
        <w:rPr>
          <w:rFonts w:ascii="Verdana" w:cs="Verdana" w:eastAsia="Verdana" w:hAnsi="Verdana"/>
          <w:sz w:val="18"/>
          <w:szCs w:val="18"/>
          <w:color w:val="auto"/>
        </w:rPr>
        <w:t>”) and the Participant, as set forth in the Grant Notice. The Grant Notice is included in, and made part of, this Agreement.</w:t>
      </w:r>
    </w:p>
    <w:p>
      <w:pPr>
        <w:spacing w:after="0" w:line="170" w:lineRule="exact"/>
        <w:rPr>
          <w:sz w:val="20"/>
          <w:szCs w:val="20"/>
          <w:color w:val="auto"/>
        </w:rPr>
      </w:pPr>
    </w:p>
    <w:p>
      <w:pPr>
        <w:ind w:left="620" w:hanging="615"/>
        <w:spacing w:after="0"/>
        <w:tabs>
          <w:tab w:leader="none" w:pos="620" w:val="left"/>
        </w:tabs>
        <w:numPr>
          <w:ilvl w:val="0"/>
          <w:numId w:val="206"/>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Performance Criteria and Award Determination</w:t>
      </w:r>
    </w:p>
    <w:p>
      <w:pPr>
        <w:spacing w:after="0" w:line="162" w:lineRule="exact"/>
        <w:rPr>
          <w:rFonts w:ascii="Verdana" w:cs="Verdana" w:eastAsia="Verdana" w:hAnsi="Verdana"/>
          <w:sz w:val="18"/>
          <w:szCs w:val="18"/>
          <w:b w:val="1"/>
          <w:bCs w:val="1"/>
          <w:color w:val="auto"/>
        </w:rPr>
      </w:pPr>
    </w:p>
    <w:p>
      <w:pPr>
        <w:ind w:left="1260" w:hanging="623"/>
        <w:spacing w:after="0"/>
        <w:tabs>
          <w:tab w:leader="none" w:pos="1260" w:val="left"/>
        </w:tabs>
        <w:numPr>
          <w:ilvl w:val="1"/>
          <w:numId w:val="206"/>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General - Award Determination</w:t>
      </w:r>
    </w:p>
    <w:p>
      <w:pPr>
        <w:spacing w:after="0" w:line="189" w:lineRule="exact"/>
        <w:rPr>
          <w:sz w:val="20"/>
          <w:szCs w:val="20"/>
          <w:color w:val="auto"/>
        </w:rPr>
      </w:pPr>
    </w:p>
    <w:p>
      <w:pPr>
        <w:jc w:val="both"/>
        <w:ind w:left="640"/>
        <w:spacing w:after="0" w:line="235" w:lineRule="auto"/>
        <w:rPr>
          <w:sz w:val="20"/>
          <w:szCs w:val="20"/>
          <w:color w:val="auto"/>
        </w:rPr>
      </w:pPr>
      <w:r>
        <w:rPr>
          <w:rFonts w:ascii="Verdana" w:cs="Verdana" w:eastAsia="Verdana" w:hAnsi="Verdana"/>
          <w:sz w:val="18"/>
          <w:szCs w:val="18"/>
          <w:color w:val="auto"/>
        </w:rPr>
        <w:t>Subject to the provisions of this Agreement and the provisions of the NRG Energy, Inc. Amended and Restated Long-Term Incentive Plan, as amended from time to time (the “</w:t>
      </w:r>
      <w:r>
        <w:rPr>
          <w:rFonts w:ascii="Verdana" w:cs="Verdana" w:eastAsia="Verdana" w:hAnsi="Verdana"/>
          <w:sz w:val="18"/>
          <w:szCs w:val="18"/>
          <w:u w:val="single" w:color="auto"/>
          <w:color w:val="auto"/>
        </w:rPr>
        <w:t>Plan</w:t>
      </w:r>
      <w:r>
        <w:rPr>
          <w:rFonts w:ascii="Verdana" w:cs="Verdana" w:eastAsia="Verdana" w:hAnsi="Verdana"/>
          <w:sz w:val="18"/>
          <w:szCs w:val="18"/>
          <w:color w:val="auto"/>
        </w:rPr>
        <w:t>”), the Company hereby grants to the Participant the number of Relative Performance Stock Units (“</w:t>
      </w:r>
      <w:r>
        <w:rPr>
          <w:rFonts w:ascii="Verdana" w:cs="Verdana" w:eastAsia="Verdana" w:hAnsi="Verdana"/>
          <w:sz w:val="18"/>
          <w:szCs w:val="18"/>
          <w:u w:val="single" w:color="auto"/>
          <w:color w:val="auto"/>
        </w:rPr>
        <w:t>RPSUs</w:t>
      </w:r>
      <w:r>
        <w:rPr>
          <w:rFonts w:ascii="Verdana" w:cs="Verdana" w:eastAsia="Verdana" w:hAnsi="Verdana"/>
          <w:sz w:val="18"/>
          <w:szCs w:val="18"/>
          <w:color w:val="auto"/>
        </w:rPr>
        <w:t>”), set forth in the Grant Notice (“</w:t>
      </w:r>
      <w:r>
        <w:rPr>
          <w:rFonts w:ascii="Verdana" w:cs="Verdana" w:eastAsia="Verdana" w:hAnsi="Verdana"/>
          <w:sz w:val="18"/>
          <w:szCs w:val="18"/>
          <w:u w:val="single" w:color="auto"/>
          <w:color w:val="auto"/>
        </w:rPr>
        <w:t>Target Award</w:t>
      </w:r>
      <w:r>
        <w:rPr>
          <w:rFonts w:ascii="Verdana" w:cs="Verdana" w:eastAsia="Verdana" w:hAnsi="Verdana"/>
          <w:sz w:val="18"/>
          <w:szCs w:val="18"/>
          <w:color w:val="auto"/>
        </w:rPr>
        <w:t>”), each of which will have a value equivalent to one (1) share of the Company’s Common Stock.</w:t>
      </w:r>
    </w:p>
    <w:p>
      <w:pPr>
        <w:spacing w:after="0" w:line="196" w:lineRule="exact"/>
        <w:rPr>
          <w:sz w:val="20"/>
          <w:szCs w:val="20"/>
          <w:color w:val="auto"/>
        </w:rPr>
      </w:pPr>
    </w:p>
    <w:p>
      <w:pPr>
        <w:jc w:val="both"/>
        <w:ind w:left="640"/>
        <w:spacing w:after="0" w:line="234" w:lineRule="auto"/>
        <w:rPr>
          <w:sz w:val="20"/>
          <w:szCs w:val="20"/>
          <w:color w:val="auto"/>
        </w:rPr>
      </w:pPr>
      <w:r>
        <w:rPr>
          <w:rFonts w:ascii="Verdana" w:cs="Verdana" w:eastAsia="Verdana" w:hAnsi="Verdana"/>
          <w:sz w:val="18"/>
          <w:szCs w:val="18"/>
          <w:color w:val="auto"/>
        </w:rPr>
        <w:t>At the end of the Performance Period, the Participant shall be entitled to receive a payment, payable in shares of the Company’s Common Stock, equal to the Target Award times a “Payout Percentage” (the “</w:t>
      </w:r>
      <w:r>
        <w:rPr>
          <w:rFonts w:ascii="Verdana" w:cs="Verdana" w:eastAsia="Verdana" w:hAnsi="Verdana"/>
          <w:sz w:val="18"/>
          <w:szCs w:val="18"/>
          <w:u w:val="single" w:color="auto"/>
          <w:color w:val="auto"/>
        </w:rPr>
        <w:t>Final Award</w:t>
      </w:r>
      <w:r>
        <w:rPr>
          <w:rFonts w:ascii="Verdana" w:cs="Verdana" w:eastAsia="Verdana" w:hAnsi="Verdana"/>
          <w:sz w:val="18"/>
          <w:szCs w:val="18"/>
          <w:color w:val="auto"/>
        </w:rPr>
        <w:t xml:space="preserve">”). The “Payout Percentage” is based on the achievement of the performance criteria set forth in </w:t>
      </w:r>
      <w:r>
        <w:rPr>
          <w:rFonts w:ascii="Verdana" w:cs="Verdana" w:eastAsia="Verdana" w:hAnsi="Verdana"/>
          <w:sz w:val="18"/>
          <w:szCs w:val="18"/>
          <w:u w:val="single" w:color="auto"/>
          <w:color w:val="auto"/>
        </w:rPr>
        <w:t>Section 1(b)</w:t>
      </w:r>
      <w:r>
        <w:rPr>
          <w:rFonts w:ascii="Verdana" w:cs="Verdana" w:eastAsia="Verdana" w:hAnsi="Verdana"/>
          <w:sz w:val="18"/>
          <w:szCs w:val="18"/>
          <w:color w:val="auto"/>
        </w:rPr>
        <w:t xml:space="preserve"> of this Agreement, as determined and certified in writing by the Compensation Committee of the Company’s Board of Directors (the “</w:t>
      </w:r>
      <w:r>
        <w:rPr>
          <w:rFonts w:ascii="Verdana" w:cs="Verdana" w:eastAsia="Verdana" w:hAnsi="Verdana"/>
          <w:sz w:val="18"/>
          <w:szCs w:val="18"/>
          <w:u w:val="single" w:color="auto"/>
          <w:color w:val="auto"/>
        </w:rPr>
        <w:t>Committee</w:t>
      </w:r>
      <w:r>
        <w:rPr>
          <w:rFonts w:ascii="Verdana" w:cs="Verdana" w:eastAsia="Verdana" w:hAnsi="Verdana"/>
          <w:sz w:val="18"/>
          <w:szCs w:val="18"/>
          <w:color w:val="auto"/>
        </w:rPr>
        <w:t>”).</w:t>
      </w:r>
    </w:p>
    <w:p>
      <w:pPr>
        <w:spacing w:after="0" w:line="170" w:lineRule="exact"/>
        <w:rPr>
          <w:sz w:val="20"/>
          <w:szCs w:val="20"/>
          <w:color w:val="auto"/>
        </w:rPr>
      </w:pPr>
    </w:p>
    <w:p>
      <w:pPr>
        <w:ind w:left="1260" w:hanging="623"/>
        <w:spacing w:after="0"/>
        <w:tabs>
          <w:tab w:leader="none" w:pos="1260" w:val="left"/>
        </w:tabs>
        <w:numPr>
          <w:ilvl w:val="0"/>
          <w:numId w:val="207"/>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Performance Criteria and Relative TSR Comparison</w:t>
      </w:r>
    </w:p>
    <w:p>
      <w:pPr>
        <w:spacing w:after="0" w:line="202" w:lineRule="exact"/>
        <w:rPr>
          <w:sz w:val="20"/>
          <w:szCs w:val="20"/>
          <w:color w:val="auto"/>
        </w:rPr>
      </w:pPr>
    </w:p>
    <w:p>
      <w:pPr>
        <w:jc w:val="both"/>
        <w:ind w:left="640"/>
        <w:spacing w:after="0" w:line="235" w:lineRule="auto"/>
        <w:rPr>
          <w:sz w:val="20"/>
          <w:szCs w:val="20"/>
          <w:color w:val="auto"/>
        </w:rPr>
      </w:pPr>
      <w:r>
        <w:rPr>
          <w:rFonts w:ascii="Verdana" w:cs="Verdana" w:eastAsia="Verdana" w:hAnsi="Verdana"/>
          <w:sz w:val="18"/>
          <w:szCs w:val="18"/>
          <w:color w:val="auto"/>
        </w:rPr>
        <w:t xml:space="preserve">Except as provided in </w:t>
      </w:r>
      <w:r>
        <w:rPr>
          <w:rFonts w:ascii="Verdana" w:cs="Verdana" w:eastAsia="Verdana" w:hAnsi="Verdana"/>
          <w:sz w:val="18"/>
          <w:szCs w:val="18"/>
          <w:u w:val="single" w:color="auto"/>
          <w:color w:val="auto"/>
        </w:rPr>
        <w:t>Section 8</w:t>
      </w:r>
      <w:r>
        <w:rPr>
          <w:rFonts w:ascii="Verdana" w:cs="Verdana" w:eastAsia="Verdana" w:hAnsi="Verdana"/>
          <w:sz w:val="18"/>
          <w:szCs w:val="18"/>
          <w:color w:val="auto"/>
        </w:rPr>
        <w:t xml:space="preserve"> of this Agreement, a “Payout Percentage” is used to determine the Final Award under this Agreement. Subject to </w:t>
      </w:r>
      <w:r>
        <w:rPr>
          <w:rFonts w:ascii="Verdana" w:cs="Verdana" w:eastAsia="Verdana" w:hAnsi="Verdana"/>
          <w:sz w:val="18"/>
          <w:szCs w:val="18"/>
          <w:u w:val="single" w:color="auto"/>
          <w:color w:val="auto"/>
        </w:rPr>
        <w:t>Section 1(c)</w:t>
      </w:r>
      <w:r>
        <w:rPr>
          <w:rFonts w:ascii="Verdana" w:cs="Verdana" w:eastAsia="Verdana" w:hAnsi="Verdana"/>
          <w:sz w:val="18"/>
          <w:szCs w:val="18"/>
          <w:color w:val="auto"/>
        </w:rPr>
        <w:t xml:space="preserve"> of this Agreement, the “</w:t>
      </w:r>
      <w:r>
        <w:rPr>
          <w:rFonts w:ascii="Verdana" w:cs="Verdana" w:eastAsia="Verdana" w:hAnsi="Verdana"/>
          <w:sz w:val="18"/>
          <w:szCs w:val="18"/>
          <w:u w:val="single" w:color="auto"/>
          <w:color w:val="auto"/>
        </w:rPr>
        <w:t>Payout Percentage</w:t>
      </w:r>
      <w:r>
        <w:rPr>
          <w:rFonts w:ascii="Verdana" w:cs="Verdana" w:eastAsia="Verdana" w:hAnsi="Verdana"/>
          <w:sz w:val="18"/>
          <w:szCs w:val="18"/>
          <w:color w:val="auto"/>
        </w:rPr>
        <w:t>” shall be based upon the Company’s total shareholder return (“</w:t>
      </w:r>
      <w:r>
        <w:rPr>
          <w:rFonts w:ascii="Verdana" w:cs="Verdana" w:eastAsia="Verdana" w:hAnsi="Verdana"/>
          <w:sz w:val="18"/>
          <w:szCs w:val="18"/>
          <w:u w:val="single" w:color="auto"/>
          <w:color w:val="auto"/>
        </w:rPr>
        <w:t>TSR</w:t>
      </w:r>
      <w:r>
        <w:rPr>
          <w:rFonts w:ascii="Verdana" w:cs="Verdana" w:eastAsia="Verdana" w:hAnsi="Verdana"/>
          <w:sz w:val="18"/>
          <w:szCs w:val="18"/>
          <w:color w:val="auto"/>
        </w:rPr>
        <w:t xml:space="preserve">”) percentile ranking, as determined pursuant to </w:t>
      </w:r>
      <w:r>
        <w:rPr>
          <w:rFonts w:ascii="Verdana" w:cs="Verdana" w:eastAsia="Verdana" w:hAnsi="Verdana"/>
          <w:sz w:val="18"/>
          <w:szCs w:val="18"/>
          <w:u w:val="single" w:color="auto"/>
          <w:color w:val="auto"/>
        </w:rPr>
        <w:t>Section 2</w:t>
      </w:r>
      <w:r>
        <w:rPr>
          <w:rFonts w:ascii="Verdana" w:cs="Verdana" w:eastAsia="Verdana" w:hAnsi="Verdana"/>
          <w:sz w:val="18"/>
          <w:szCs w:val="18"/>
          <w:color w:val="auto"/>
        </w:rPr>
        <w:t xml:space="preserve"> of this Agreement, and the Company’s TSR percentile ranking relative to “Chart A” below.</w:t>
      </w:r>
    </w:p>
    <w:p>
      <w:pPr>
        <w:spacing w:after="0" w:line="207" w:lineRule="exact"/>
        <w:rPr>
          <w:sz w:val="20"/>
          <w:szCs w:val="20"/>
          <w:color w:val="auto"/>
        </w:rPr>
      </w:pPr>
    </w:p>
    <w:tbl>
      <w:tblPr>
        <w:tblLayout w:type="fixed"/>
        <w:tblInd w:w="1350" w:type="dxa"/>
        <w:tblCellMar>
          <w:top w:w="0" w:type="dxa"/>
          <w:left w:w="0" w:type="dxa"/>
          <w:bottom w:w="0" w:type="dxa"/>
          <w:right w:w="0" w:type="dxa"/>
        </w:tblCellMar>
      </w:tblPr>
      <w:tr>
        <w:trPr>
          <w:trHeight w:val="296"/>
        </w:trPr>
        <w:tc>
          <w:tcPr>
            <w:tcW w:w="3160" w:type="dxa"/>
            <w:vAlign w:val="bottom"/>
            <w:tcBorders>
              <w:top w:val="single" w:sz="8" w:color="auto"/>
              <w:left w:val="single" w:sz="8" w:color="auto"/>
              <w:bottom w:val="single" w:sz="8" w:color="auto"/>
            </w:tcBorders>
          </w:tcPr>
          <w:p>
            <w:pPr>
              <w:spacing w:after="0"/>
              <w:rPr>
                <w:sz w:val="24"/>
                <w:szCs w:val="24"/>
                <w:color w:val="auto"/>
              </w:rPr>
            </w:pPr>
          </w:p>
        </w:tc>
        <w:tc>
          <w:tcPr>
            <w:tcW w:w="4200" w:type="dxa"/>
            <w:vAlign w:val="bottom"/>
            <w:tcBorders>
              <w:top w:val="single" w:sz="8" w:color="auto"/>
              <w:bottom w:val="single" w:sz="8" w:color="auto"/>
              <w:right w:val="single" w:sz="8" w:color="auto"/>
            </w:tcBorders>
            <w:gridSpan w:val="2"/>
          </w:tcPr>
          <w:p>
            <w:pPr>
              <w:ind w:left="160"/>
              <w:spacing w:after="0"/>
              <w:rPr>
                <w:sz w:val="20"/>
                <w:szCs w:val="20"/>
                <w:color w:val="auto"/>
              </w:rPr>
            </w:pPr>
            <w:r>
              <w:rPr>
                <w:rFonts w:ascii="Verdana" w:cs="Verdana" w:eastAsia="Verdana" w:hAnsi="Verdana"/>
                <w:sz w:val="18"/>
                <w:szCs w:val="18"/>
                <w:b w:val="1"/>
                <w:bCs w:val="1"/>
                <w:color w:val="auto"/>
              </w:rPr>
              <w:t>Chart A</w:t>
            </w:r>
          </w:p>
        </w:tc>
        <w:tc>
          <w:tcPr>
            <w:tcW w:w="0" w:type="dxa"/>
            <w:vAlign w:val="bottom"/>
          </w:tcPr>
          <w:p>
            <w:pPr>
              <w:spacing w:after="0"/>
              <w:rPr>
                <w:sz w:val="1"/>
                <w:szCs w:val="1"/>
                <w:color w:val="auto"/>
              </w:rPr>
            </w:pPr>
          </w:p>
        </w:tc>
      </w:tr>
      <w:tr>
        <w:trPr>
          <w:trHeight w:val="224"/>
        </w:trPr>
        <w:tc>
          <w:tcPr>
            <w:tcW w:w="3160" w:type="dxa"/>
            <w:vAlign w:val="bottom"/>
            <w:tcBorders>
              <w:left w:val="single" w:sz="8" w:color="auto"/>
            </w:tcBorders>
          </w:tcPr>
          <w:p>
            <w:pPr>
              <w:ind w:left="120"/>
              <w:spacing w:after="0"/>
              <w:rPr>
                <w:sz w:val="20"/>
                <w:szCs w:val="20"/>
                <w:color w:val="auto"/>
              </w:rPr>
            </w:pPr>
            <w:r>
              <w:rPr>
                <w:rFonts w:ascii="Verdana" w:cs="Verdana" w:eastAsia="Verdana" w:hAnsi="Verdana"/>
                <w:sz w:val="18"/>
                <w:szCs w:val="18"/>
                <w:b w:val="1"/>
                <w:bCs w:val="1"/>
                <w:color w:val="auto"/>
              </w:rPr>
              <w:t>TSR Performance Relative to</w:t>
            </w:r>
          </w:p>
        </w:tc>
        <w:tc>
          <w:tcPr>
            <w:tcW w:w="760" w:type="dxa"/>
            <w:vAlign w:val="bottom"/>
            <w:tcBorders>
              <w:right w:val="single" w:sz="8" w:color="auto"/>
            </w:tcBorders>
          </w:tcPr>
          <w:p>
            <w:pPr>
              <w:spacing w:after="0"/>
              <w:rPr>
                <w:sz w:val="19"/>
                <w:szCs w:val="19"/>
                <w:color w:val="auto"/>
              </w:rPr>
            </w:pPr>
          </w:p>
        </w:tc>
        <w:tc>
          <w:tcPr>
            <w:tcW w:w="3440" w:type="dxa"/>
            <w:vAlign w:val="bottom"/>
            <w:tcBorders>
              <w:right w:val="single" w:sz="8" w:color="auto"/>
            </w:tcBorders>
          </w:tcPr>
          <w:p>
            <w:pPr>
              <w:ind w:left="100"/>
              <w:spacing w:after="0"/>
              <w:rPr>
                <w:sz w:val="20"/>
                <w:szCs w:val="20"/>
                <w:color w:val="auto"/>
              </w:rPr>
            </w:pPr>
            <w:r>
              <w:rPr>
                <w:rFonts w:ascii="Verdana" w:cs="Verdana" w:eastAsia="Verdana" w:hAnsi="Verdana"/>
                <w:sz w:val="18"/>
                <w:szCs w:val="18"/>
                <w:b w:val="1"/>
                <w:bCs w:val="1"/>
                <w:color w:val="auto"/>
              </w:rPr>
              <w:t>Payout Percentage</w:t>
            </w:r>
          </w:p>
        </w:tc>
        <w:tc>
          <w:tcPr>
            <w:tcW w:w="0" w:type="dxa"/>
            <w:vAlign w:val="bottom"/>
          </w:tcPr>
          <w:p>
            <w:pPr>
              <w:spacing w:after="0"/>
              <w:rPr>
                <w:sz w:val="1"/>
                <w:szCs w:val="1"/>
                <w:color w:val="auto"/>
              </w:rPr>
            </w:pPr>
          </w:p>
        </w:tc>
      </w:tr>
      <w:tr>
        <w:trPr>
          <w:trHeight w:val="228"/>
        </w:trPr>
        <w:tc>
          <w:tcPr>
            <w:tcW w:w="3160" w:type="dxa"/>
            <w:vAlign w:val="bottom"/>
            <w:tcBorders>
              <w:left w:val="single" w:sz="8" w:color="auto"/>
            </w:tcBorders>
          </w:tcPr>
          <w:p>
            <w:pPr>
              <w:ind w:left="120"/>
              <w:spacing w:after="0"/>
              <w:rPr>
                <w:sz w:val="20"/>
                <w:szCs w:val="20"/>
                <w:color w:val="auto"/>
              </w:rPr>
            </w:pPr>
            <w:r>
              <w:rPr>
                <w:rFonts w:ascii="Verdana" w:cs="Verdana" w:eastAsia="Verdana" w:hAnsi="Verdana"/>
                <w:sz w:val="18"/>
                <w:szCs w:val="18"/>
                <w:b w:val="1"/>
                <w:bCs w:val="1"/>
                <w:color w:val="auto"/>
              </w:rPr>
              <w:t>Companies in the Peer Group</w:t>
            </w:r>
          </w:p>
        </w:tc>
        <w:tc>
          <w:tcPr>
            <w:tcW w:w="760" w:type="dxa"/>
            <w:vAlign w:val="bottom"/>
            <w:tcBorders>
              <w:right w:val="single" w:sz="8" w:color="auto"/>
            </w:tcBorders>
          </w:tcPr>
          <w:p>
            <w:pPr>
              <w:spacing w:after="0"/>
              <w:rPr>
                <w:sz w:val="19"/>
                <w:szCs w:val="19"/>
                <w:color w:val="auto"/>
              </w:rPr>
            </w:pPr>
          </w:p>
        </w:tc>
        <w:tc>
          <w:tcPr>
            <w:tcW w:w="3440" w:type="dxa"/>
            <w:vAlign w:val="bottom"/>
            <w:tcBorders>
              <w:right w:val="single" w:sz="8" w:color="auto"/>
            </w:tcBorders>
            <w:vMerge w:val="restart"/>
          </w:tcPr>
          <w:p>
            <w:pPr>
              <w:ind w:left="100"/>
              <w:spacing w:after="0"/>
              <w:rPr>
                <w:sz w:val="20"/>
                <w:szCs w:val="20"/>
                <w:color w:val="auto"/>
              </w:rPr>
            </w:pPr>
            <w:r>
              <w:rPr>
                <w:rFonts w:ascii="Verdana" w:cs="Verdana" w:eastAsia="Verdana" w:hAnsi="Verdana"/>
                <w:sz w:val="18"/>
                <w:szCs w:val="18"/>
                <w:b w:val="1"/>
                <w:bCs w:val="1"/>
                <w:color w:val="auto"/>
              </w:rPr>
              <w:t>(% of Target)</w:t>
            </w:r>
          </w:p>
        </w:tc>
        <w:tc>
          <w:tcPr>
            <w:tcW w:w="0" w:type="dxa"/>
            <w:vAlign w:val="bottom"/>
          </w:tcPr>
          <w:p>
            <w:pPr>
              <w:spacing w:after="0"/>
              <w:rPr>
                <w:sz w:val="1"/>
                <w:szCs w:val="1"/>
                <w:color w:val="auto"/>
              </w:rPr>
            </w:pPr>
          </w:p>
        </w:tc>
      </w:tr>
      <w:tr>
        <w:trPr>
          <w:trHeight w:val="68"/>
        </w:trPr>
        <w:tc>
          <w:tcPr>
            <w:tcW w:w="3160" w:type="dxa"/>
            <w:vAlign w:val="bottom"/>
            <w:tcBorders>
              <w:left w:val="single" w:sz="8" w:color="auto"/>
              <w:bottom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344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3160" w:type="dxa"/>
            <w:vAlign w:val="bottom"/>
            <w:tcBorders>
              <w:left w:val="single" w:sz="8" w:color="auto"/>
              <w:bottom w:val="single" w:sz="8" w:color="auto"/>
            </w:tcBorders>
          </w:tcPr>
          <w:p>
            <w:pPr>
              <w:ind w:left="120"/>
              <w:spacing w:after="0"/>
              <w:rPr>
                <w:sz w:val="20"/>
                <w:szCs w:val="20"/>
                <w:color w:val="auto"/>
              </w:rPr>
            </w:pPr>
            <w:r>
              <w:rPr>
                <w:rFonts w:ascii="Verdana" w:cs="Verdana" w:eastAsia="Verdana" w:hAnsi="Verdana"/>
                <w:sz w:val="18"/>
                <w:szCs w:val="18"/>
                <w:b w:val="1"/>
                <w:bCs w:val="1"/>
                <w:color w:val="auto"/>
              </w:rPr>
              <w:t>75th Percentile or Above</w:t>
            </w:r>
          </w:p>
        </w:tc>
        <w:tc>
          <w:tcPr>
            <w:tcW w:w="760" w:type="dxa"/>
            <w:vAlign w:val="bottom"/>
            <w:tcBorders>
              <w:bottom w:val="single" w:sz="8" w:color="auto"/>
              <w:right w:val="single" w:sz="8" w:color="auto"/>
            </w:tcBorders>
          </w:tcPr>
          <w:p>
            <w:pPr>
              <w:spacing w:after="0"/>
              <w:rPr>
                <w:sz w:val="24"/>
                <w:szCs w:val="24"/>
                <w:color w:val="auto"/>
              </w:rPr>
            </w:pPr>
          </w:p>
        </w:tc>
        <w:tc>
          <w:tcPr>
            <w:tcW w:w="3440" w:type="dxa"/>
            <w:vAlign w:val="bottom"/>
            <w:tcBorders>
              <w:bottom w:val="single" w:sz="8" w:color="auto"/>
              <w:right w:val="single" w:sz="8" w:color="auto"/>
            </w:tcBorders>
          </w:tcPr>
          <w:p>
            <w:pPr>
              <w:ind w:left="100"/>
              <w:spacing w:after="0"/>
              <w:rPr>
                <w:sz w:val="20"/>
                <w:szCs w:val="20"/>
                <w:color w:val="auto"/>
              </w:rPr>
            </w:pPr>
            <w:r>
              <w:rPr>
                <w:rFonts w:ascii="Verdana" w:cs="Verdana" w:eastAsia="Verdana" w:hAnsi="Verdana"/>
                <w:sz w:val="18"/>
                <w:szCs w:val="18"/>
                <w:b w:val="1"/>
                <w:bCs w:val="1"/>
                <w:color w:val="auto"/>
              </w:rPr>
              <w:t>200%</w:t>
            </w:r>
          </w:p>
        </w:tc>
        <w:tc>
          <w:tcPr>
            <w:tcW w:w="0" w:type="dxa"/>
            <w:vAlign w:val="bottom"/>
          </w:tcPr>
          <w:p>
            <w:pPr>
              <w:spacing w:after="0"/>
              <w:rPr>
                <w:sz w:val="1"/>
                <w:szCs w:val="1"/>
                <w:color w:val="auto"/>
              </w:rPr>
            </w:pPr>
          </w:p>
        </w:tc>
      </w:tr>
      <w:tr>
        <w:trPr>
          <w:trHeight w:val="283"/>
        </w:trPr>
        <w:tc>
          <w:tcPr>
            <w:tcW w:w="3160" w:type="dxa"/>
            <w:vAlign w:val="bottom"/>
            <w:tcBorders>
              <w:left w:val="single" w:sz="8" w:color="auto"/>
              <w:bottom w:val="single" w:sz="8" w:color="auto"/>
            </w:tcBorders>
          </w:tcPr>
          <w:p>
            <w:pPr>
              <w:ind w:left="120"/>
              <w:spacing w:after="0"/>
              <w:rPr>
                <w:sz w:val="20"/>
                <w:szCs w:val="20"/>
                <w:color w:val="auto"/>
              </w:rPr>
            </w:pPr>
            <w:r>
              <w:rPr>
                <w:rFonts w:ascii="Verdana" w:cs="Verdana" w:eastAsia="Verdana" w:hAnsi="Verdana"/>
                <w:sz w:val="18"/>
                <w:szCs w:val="18"/>
                <w:b w:val="1"/>
                <w:bCs w:val="1"/>
                <w:color w:val="auto"/>
              </w:rPr>
              <w:t>55th Percentile - TARGET</w:t>
            </w:r>
          </w:p>
        </w:tc>
        <w:tc>
          <w:tcPr>
            <w:tcW w:w="760" w:type="dxa"/>
            <w:vAlign w:val="bottom"/>
            <w:tcBorders>
              <w:bottom w:val="single" w:sz="8" w:color="auto"/>
              <w:right w:val="single" w:sz="8" w:color="auto"/>
            </w:tcBorders>
          </w:tcPr>
          <w:p>
            <w:pPr>
              <w:spacing w:after="0"/>
              <w:rPr>
                <w:sz w:val="24"/>
                <w:szCs w:val="24"/>
                <w:color w:val="auto"/>
              </w:rPr>
            </w:pPr>
          </w:p>
        </w:tc>
        <w:tc>
          <w:tcPr>
            <w:tcW w:w="3440" w:type="dxa"/>
            <w:vAlign w:val="bottom"/>
            <w:tcBorders>
              <w:bottom w:val="single" w:sz="8" w:color="auto"/>
              <w:right w:val="single" w:sz="8" w:color="auto"/>
            </w:tcBorders>
          </w:tcPr>
          <w:p>
            <w:pPr>
              <w:ind w:left="100"/>
              <w:spacing w:after="0"/>
              <w:rPr>
                <w:sz w:val="20"/>
                <w:szCs w:val="20"/>
                <w:color w:val="auto"/>
              </w:rPr>
            </w:pPr>
            <w:r>
              <w:rPr>
                <w:rFonts w:ascii="Verdana" w:cs="Verdana" w:eastAsia="Verdana" w:hAnsi="Verdana"/>
                <w:sz w:val="18"/>
                <w:szCs w:val="18"/>
                <w:b w:val="1"/>
                <w:bCs w:val="1"/>
                <w:color w:val="auto"/>
              </w:rPr>
              <w:t>100%</w:t>
            </w:r>
          </w:p>
        </w:tc>
        <w:tc>
          <w:tcPr>
            <w:tcW w:w="0" w:type="dxa"/>
            <w:vAlign w:val="bottom"/>
          </w:tcPr>
          <w:p>
            <w:pPr>
              <w:spacing w:after="0"/>
              <w:rPr>
                <w:sz w:val="1"/>
                <w:szCs w:val="1"/>
                <w:color w:val="auto"/>
              </w:rPr>
            </w:pPr>
          </w:p>
        </w:tc>
      </w:tr>
      <w:tr>
        <w:trPr>
          <w:trHeight w:val="283"/>
        </w:trPr>
        <w:tc>
          <w:tcPr>
            <w:tcW w:w="3160" w:type="dxa"/>
            <w:vAlign w:val="bottom"/>
            <w:tcBorders>
              <w:left w:val="single" w:sz="8" w:color="auto"/>
              <w:bottom w:val="single" w:sz="8" w:color="auto"/>
            </w:tcBorders>
          </w:tcPr>
          <w:p>
            <w:pPr>
              <w:ind w:left="120"/>
              <w:spacing w:after="0"/>
              <w:rPr>
                <w:sz w:val="20"/>
                <w:szCs w:val="20"/>
                <w:color w:val="auto"/>
              </w:rPr>
            </w:pPr>
            <w:r>
              <w:rPr>
                <w:rFonts w:ascii="Verdana" w:cs="Verdana" w:eastAsia="Verdana" w:hAnsi="Verdana"/>
                <w:sz w:val="18"/>
                <w:szCs w:val="18"/>
                <w:b w:val="1"/>
                <w:bCs w:val="1"/>
                <w:color w:val="auto"/>
              </w:rPr>
              <w:t>25th Percentile</w:t>
            </w:r>
          </w:p>
        </w:tc>
        <w:tc>
          <w:tcPr>
            <w:tcW w:w="760" w:type="dxa"/>
            <w:vAlign w:val="bottom"/>
            <w:tcBorders>
              <w:bottom w:val="single" w:sz="8" w:color="auto"/>
              <w:right w:val="single" w:sz="8" w:color="auto"/>
            </w:tcBorders>
          </w:tcPr>
          <w:p>
            <w:pPr>
              <w:spacing w:after="0"/>
              <w:rPr>
                <w:sz w:val="24"/>
                <w:szCs w:val="24"/>
                <w:color w:val="auto"/>
              </w:rPr>
            </w:pPr>
          </w:p>
        </w:tc>
        <w:tc>
          <w:tcPr>
            <w:tcW w:w="3440" w:type="dxa"/>
            <w:vAlign w:val="bottom"/>
            <w:tcBorders>
              <w:bottom w:val="single" w:sz="8" w:color="auto"/>
              <w:right w:val="single" w:sz="8" w:color="auto"/>
            </w:tcBorders>
          </w:tcPr>
          <w:p>
            <w:pPr>
              <w:ind w:left="100"/>
              <w:spacing w:after="0"/>
              <w:rPr>
                <w:sz w:val="20"/>
                <w:szCs w:val="20"/>
                <w:color w:val="auto"/>
              </w:rPr>
            </w:pPr>
            <w:r>
              <w:rPr>
                <w:rFonts w:ascii="Verdana" w:cs="Verdana" w:eastAsia="Verdana" w:hAnsi="Verdana"/>
                <w:sz w:val="18"/>
                <w:szCs w:val="18"/>
                <w:b w:val="1"/>
                <w:bCs w:val="1"/>
                <w:color w:val="auto"/>
              </w:rPr>
              <w:t>25%</w:t>
            </w:r>
          </w:p>
        </w:tc>
        <w:tc>
          <w:tcPr>
            <w:tcW w:w="0" w:type="dxa"/>
            <w:vAlign w:val="bottom"/>
          </w:tcPr>
          <w:p>
            <w:pPr>
              <w:spacing w:after="0"/>
              <w:rPr>
                <w:sz w:val="1"/>
                <w:szCs w:val="1"/>
                <w:color w:val="auto"/>
              </w:rPr>
            </w:pPr>
          </w:p>
        </w:tc>
      </w:tr>
      <w:tr>
        <w:trPr>
          <w:trHeight w:val="283"/>
        </w:trPr>
        <w:tc>
          <w:tcPr>
            <w:tcW w:w="3160" w:type="dxa"/>
            <w:vAlign w:val="bottom"/>
            <w:tcBorders>
              <w:left w:val="single" w:sz="8" w:color="auto"/>
              <w:bottom w:val="single" w:sz="8" w:color="auto"/>
            </w:tcBorders>
          </w:tcPr>
          <w:p>
            <w:pPr>
              <w:ind w:left="120"/>
              <w:spacing w:after="0"/>
              <w:rPr>
                <w:sz w:val="20"/>
                <w:szCs w:val="20"/>
                <w:color w:val="auto"/>
              </w:rPr>
            </w:pPr>
            <w:r>
              <w:rPr>
                <w:rFonts w:ascii="Verdana" w:cs="Verdana" w:eastAsia="Verdana" w:hAnsi="Verdana"/>
                <w:sz w:val="18"/>
                <w:szCs w:val="18"/>
                <w:b w:val="1"/>
                <w:bCs w:val="1"/>
                <w:color w:val="auto"/>
              </w:rPr>
              <w:t>Below the 25th Percentile</w:t>
            </w:r>
          </w:p>
        </w:tc>
        <w:tc>
          <w:tcPr>
            <w:tcW w:w="760" w:type="dxa"/>
            <w:vAlign w:val="bottom"/>
            <w:tcBorders>
              <w:bottom w:val="single" w:sz="8" w:color="auto"/>
              <w:right w:val="single" w:sz="8" w:color="auto"/>
            </w:tcBorders>
          </w:tcPr>
          <w:p>
            <w:pPr>
              <w:spacing w:after="0"/>
              <w:rPr>
                <w:sz w:val="24"/>
                <w:szCs w:val="24"/>
                <w:color w:val="auto"/>
              </w:rPr>
            </w:pPr>
          </w:p>
        </w:tc>
        <w:tc>
          <w:tcPr>
            <w:tcW w:w="3440" w:type="dxa"/>
            <w:vAlign w:val="bottom"/>
            <w:tcBorders>
              <w:bottom w:val="single" w:sz="8" w:color="auto"/>
              <w:right w:val="single" w:sz="8" w:color="auto"/>
            </w:tcBorders>
          </w:tcPr>
          <w:p>
            <w:pPr>
              <w:ind w:left="100"/>
              <w:spacing w:after="0"/>
              <w:rPr>
                <w:sz w:val="20"/>
                <w:szCs w:val="20"/>
                <w:color w:val="auto"/>
              </w:rPr>
            </w:pPr>
            <w:r>
              <w:rPr>
                <w:rFonts w:ascii="Verdana" w:cs="Verdana" w:eastAsia="Verdana" w:hAnsi="Verdana"/>
                <w:sz w:val="18"/>
                <w:szCs w:val="18"/>
                <w:b w:val="1"/>
                <w:bCs w:val="1"/>
                <w:color w:val="auto"/>
              </w:rPr>
              <w:t>0%</w:t>
            </w:r>
          </w:p>
        </w:tc>
        <w:tc>
          <w:tcPr>
            <w:tcW w:w="0" w:type="dxa"/>
            <w:vAlign w:val="bottom"/>
          </w:tcPr>
          <w:p>
            <w:pPr>
              <w:spacing w:after="0"/>
              <w:rPr>
                <w:sz w:val="1"/>
                <w:szCs w:val="1"/>
                <w:color w:val="auto"/>
              </w:rPr>
            </w:pPr>
          </w:p>
        </w:tc>
      </w:tr>
    </w:tbl>
    <w:p>
      <w:pPr>
        <w:spacing w:after="0" w:line="258" w:lineRule="exact"/>
        <w:rPr>
          <w:sz w:val="20"/>
          <w:szCs w:val="20"/>
          <w:color w:val="auto"/>
        </w:rPr>
      </w:pPr>
    </w:p>
    <w:p>
      <w:pPr>
        <w:ind w:left="1260" w:hanging="623"/>
        <w:spacing w:after="0"/>
        <w:tabs>
          <w:tab w:leader="none" w:pos="1260" w:val="left"/>
        </w:tabs>
        <w:numPr>
          <w:ilvl w:val="0"/>
          <w:numId w:val="208"/>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Relative TSR Comparison if Absolute TSR of Company is Less Than Negative 15%</w:t>
      </w:r>
    </w:p>
    <w:p>
      <w:pPr>
        <w:spacing w:after="0" w:line="202" w:lineRule="exact"/>
        <w:rPr>
          <w:sz w:val="20"/>
          <w:szCs w:val="20"/>
          <w:color w:val="auto"/>
        </w:rPr>
      </w:pPr>
    </w:p>
    <w:p>
      <w:pPr>
        <w:ind w:left="640"/>
        <w:spacing w:after="0" w:line="241" w:lineRule="auto"/>
        <w:rPr>
          <w:sz w:val="20"/>
          <w:szCs w:val="20"/>
          <w:color w:val="auto"/>
        </w:rPr>
      </w:pPr>
      <w:r>
        <w:rPr>
          <w:rFonts w:ascii="Verdana" w:cs="Verdana" w:eastAsia="Verdana" w:hAnsi="Verdana"/>
          <w:sz w:val="18"/>
          <w:szCs w:val="18"/>
          <w:color w:val="auto"/>
        </w:rPr>
        <w:t>Notwithstanding the foregoing, if the Company’s absolute TSR for the Performance Period is less than negative fifteen percent (-15%), the Final Award will be based on ”Chart B”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1"/>
          <w:szCs w:val="21"/>
          <w:color w:val="auto"/>
        </w:rPr>
        <w:t>3</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LEGAL\81347992\6</w:t>
      </w:r>
    </w:p>
    <w:p>
      <w:pPr>
        <w:spacing w:after="0" w:line="7" w:lineRule="exact"/>
        <w:rPr>
          <w:sz w:val="20"/>
          <w:szCs w:val="20"/>
          <w:color w:val="auto"/>
        </w:rPr>
      </w:pPr>
    </w:p>
    <w:p>
      <w:pPr>
        <w:spacing w:after="0"/>
        <w:rPr>
          <w:sz w:val="20"/>
          <w:szCs w:val="20"/>
          <w:color w:val="auto"/>
        </w:rPr>
      </w:pPr>
      <w:r>
        <w:rPr>
          <w:rFonts w:ascii="Verdana" w:cs="Verdana" w:eastAsia="Verdana" w:hAnsi="Verdana"/>
          <w:sz w:val="14"/>
          <w:szCs w:val="14"/>
          <w:color w:val="auto"/>
        </w:rPr>
        <w:t>2026 RPSU Agreement (CEO)</w:t>
      </w:r>
    </w:p>
    <w:p>
      <w:pPr>
        <w:sectPr>
          <w:pgSz w:w="11900" w:h="16838" w:orient="portrait"/>
          <w:cols w:equalWidth="0" w:num="1">
            <w:col w:w="11240"/>
          </w:cols>
          <w:pgMar w:left="320" w:top="386" w:right="339" w:bottom="1440" w:gutter="0" w:footer="0" w:header="0"/>
        </w:sectPr>
      </w:pPr>
    </w:p>
    <w:bookmarkStart w:id="242" w:name="page243"/>
    <w:bookmarkEnd w:id="242"/>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1350" w:type="dxa"/>
        <w:tblCellMar>
          <w:top w:w="0" w:type="dxa"/>
          <w:left w:w="0" w:type="dxa"/>
          <w:bottom w:w="0" w:type="dxa"/>
          <w:right w:w="0" w:type="dxa"/>
        </w:tblCellMar>
      </w:tblPr>
      <w:tr>
        <w:trPr>
          <w:trHeight w:val="296"/>
        </w:trPr>
        <w:tc>
          <w:tcPr>
            <w:tcW w:w="3100" w:type="dxa"/>
            <w:vAlign w:val="bottom"/>
            <w:tcBorders>
              <w:top w:val="single" w:sz="8" w:color="auto"/>
              <w:left w:val="single" w:sz="8" w:color="auto"/>
              <w:bottom w:val="single" w:sz="8" w:color="auto"/>
            </w:tcBorders>
          </w:tcPr>
          <w:p>
            <w:pPr>
              <w:spacing w:after="0"/>
              <w:rPr>
                <w:sz w:val="24"/>
                <w:szCs w:val="24"/>
                <w:color w:val="auto"/>
              </w:rPr>
            </w:pPr>
          </w:p>
        </w:tc>
        <w:tc>
          <w:tcPr>
            <w:tcW w:w="4260" w:type="dxa"/>
            <w:vAlign w:val="bottom"/>
            <w:tcBorders>
              <w:top w:val="single" w:sz="8" w:color="auto"/>
              <w:bottom w:val="single" w:sz="8" w:color="auto"/>
              <w:right w:val="single" w:sz="8" w:color="auto"/>
            </w:tcBorders>
            <w:gridSpan w:val="2"/>
          </w:tcPr>
          <w:p>
            <w:pPr>
              <w:ind w:left="220"/>
              <w:spacing w:after="0"/>
              <w:rPr>
                <w:sz w:val="20"/>
                <w:szCs w:val="20"/>
                <w:color w:val="auto"/>
              </w:rPr>
            </w:pPr>
            <w:r>
              <w:rPr>
                <w:rFonts w:ascii="Verdana" w:cs="Verdana" w:eastAsia="Verdana" w:hAnsi="Verdana"/>
                <w:sz w:val="18"/>
                <w:szCs w:val="18"/>
                <w:b w:val="1"/>
                <w:bCs w:val="1"/>
                <w:color w:val="auto"/>
              </w:rPr>
              <w:t>Chart B</w:t>
            </w:r>
          </w:p>
        </w:tc>
        <w:tc>
          <w:tcPr>
            <w:tcW w:w="0" w:type="dxa"/>
            <w:vAlign w:val="bottom"/>
          </w:tcPr>
          <w:p>
            <w:pPr>
              <w:spacing w:after="0"/>
              <w:rPr>
                <w:sz w:val="1"/>
                <w:szCs w:val="1"/>
                <w:color w:val="auto"/>
              </w:rPr>
            </w:pPr>
          </w:p>
        </w:tc>
      </w:tr>
      <w:tr>
        <w:trPr>
          <w:trHeight w:val="224"/>
        </w:trPr>
        <w:tc>
          <w:tcPr>
            <w:tcW w:w="3100" w:type="dxa"/>
            <w:vAlign w:val="bottom"/>
            <w:tcBorders>
              <w:left w:val="single" w:sz="8" w:color="auto"/>
            </w:tcBorders>
          </w:tcPr>
          <w:p>
            <w:pPr>
              <w:ind w:left="60"/>
              <w:spacing w:after="0"/>
              <w:rPr>
                <w:sz w:val="20"/>
                <w:szCs w:val="20"/>
                <w:color w:val="auto"/>
              </w:rPr>
            </w:pPr>
            <w:r>
              <w:rPr>
                <w:rFonts w:ascii="Verdana" w:cs="Verdana" w:eastAsia="Verdana" w:hAnsi="Verdana"/>
                <w:sz w:val="18"/>
                <w:szCs w:val="18"/>
                <w:b w:val="1"/>
                <w:bCs w:val="1"/>
                <w:color w:val="auto"/>
              </w:rPr>
              <w:t>TSR Performance Relative to</w:t>
            </w:r>
          </w:p>
        </w:tc>
        <w:tc>
          <w:tcPr>
            <w:tcW w:w="74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ind w:left="40"/>
              <w:spacing w:after="0"/>
              <w:rPr>
                <w:sz w:val="20"/>
                <w:szCs w:val="20"/>
                <w:color w:val="auto"/>
              </w:rPr>
            </w:pPr>
            <w:r>
              <w:rPr>
                <w:rFonts w:ascii="Verdana" w:cs="Verdana" w:eastAsia="Verdana" w:hAnsi="Verdana"/>
                <w:sz w:val="18"/>
                <w:szCs w:val="18"/>
                <w:b w:val="1"/>
                <w:bCs w:val="1"/>
                <w:color w:val="auto"/>
              </w:rPr>
              <w:t>Payout Percentage</w:t>
            </w:r>
          </w:p>
        </w:tc>
        <w:tc>
          <w:tcPr>
            <w:tcW w:w="0" w:type="dxa"/>
            <w:vAlign w:val="bottom"/>
          </w:tcPr>
          <w:p>
            <w:pPr>
              <w:spacing w:after="0"/>
              <w:rPr>
                <w:sz w:val="1"/>
                <w:szCs w:val="1"/>
                <w:color w:val="auto"/>
              </w:rPr>
            </w:pPr>
          </w:p>
        </w:tc>
      </w:tr>
      <w:tr>
        <w:trPr>
          <w:trHeight w:val="228"/>
        </w:trPr>
        <w:tc>
          <w:tcPr>
            <w:tcW w:w="3100" w:type="dxa"/>
            <w:vAlign w:val="bottom"/>
            <w:tcBorders>
              <w:left w:val="single" w:sz="8" w:color="auto"/>
            </w:tcBorders>
          </w:tcPr>
          <w:p>
            <w:pPr>
              <w:ind w:left="60"/>
              <w:spacing w:after="0"/>
              <w:rPr>
                <w:sz w:val="20"/>
                <w:szCs w:val="20"/>
                <w:color w:val="auto"/>
              </w:rPr>
            </w:pPr>
            <w:r>
              <w:rPr>
                <w:rFonts w:ascii="Verdana" w:cs="Verdana" w:eastAsia="Verdana" w:hAnsi="Verdana"/>
                <w:sz w:val="18"/>
                <w:szCs w:val="18"/>
                <w:b w:val="1"/>
                <w:bCs w:val="1"/>
                <w:color w:val="auto"/>
              </w:rPr>
              <w:t>Companies in Peer Group</w:t>
            </w:r>
          </w:p>
        </w:tc>
        <w:tc>
          <w:tcPr>
            <w:tcW w:w="74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vMerge w:val="restart"/>
          </w:tcPr>
          <w:p>
            <w:pPr>
              <w:ind w:left="40"/>
              <w:spacing w:after="0"/>
              <w:rPr>
                <w:sz w:val="20"/>
                <w:szCs w:val="20"/>
                <w:color w:val="auto"/>
              </w:rPr>
            </w:pPr>
            <w:r>
              <w:rPr>
                <w:rFonts w:ascii="Verdana" w:cs="Verdana" w:eastAsia="Verdana" w:hAnsi="Verdana"/>
                <w:sz w:val="18"/>
                <w:szCs w:val="18"/>
                <w:b w:val="1"/>
                <w:bCs w:val="1"/>
                <w:color w:val="auto"/>
              </w:rPr>
              <w:t>(% of Target)</w:t>
            </w:r>
          </w:p>
        </w:tc>
        <w:tc>
          <w:tcPr>
            <w:tcW w:w="0" w:type="dxa"/>
            <w:vAlign w:val="bottom"/>
          </w:tcPr>
          <w:p>
            <w:pPr>
              <w:spacing w:after="0"/>
              <w:rPr>
                <w:sz w:val="1"/>
                <w:szCs w:val="1"/>
                <w:color w:val="auto"/>
              </w:rPr>
            </w:pPr>
          </w:p>
        </w:tc>
      </w:tr>
      <w:tr>
        <w:trPr>
          <w:trHeight w:val="68"/>
        </w:trPr>
        <w:tc>
          <w:tcPr>
            <w:tcW w:w="3100" w:type="dxa"/>
            <w:vAlign w:val="bottom"/>
            <w:tcBorders>
              <w:left w:val="single" w:sz="8" w:color="auto"/>
              <w:bottom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352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3100" w:type="dxa"/>
            <w:vAlign w:val="bottom"/>
            <w:tcBorders>
              <w:left w:val="single" w:sz="8" w:color="auto"/>
              <w:bottom w:val="single" w:sz="8" w:color="auto"/>
            </w:tcBorders>
          </w:tcPr>
          <w:p>
            <w:pPr>
              <w:ind w:left="60"/>
              <w:spacing w:after="0"/>
              <w:rPr>
                <w:sz w:val="20"/>
                <w:szCs w:val="20"/>
                <w:color w:val="auto"/>
              </w:rPr>
            </w:pPr>
            <w:r>
              <w:rPr>
                <w:rFonts w:ascii="Verdana" w:cs="Verdana" w:eastAsia="Verdana" w:hAnsi="Verdana"/>
                <w:sz w:val="18"/>
                <w:szCs w:val="18"/>
                <w:b w:val="1"/>
                <w:bCs w:val="1"/>
                <w:color w:val="auto"/>
              </w:rPr>
              <w:t>75th Percentile or Above</w:t>
            </w:r>
          </w:p>
        </w:tc>
        <w:tc>
          <w:tcPr>
            <w:tcW w:w="740" w:type="dxa"/>
            <w:vAlign w:val="bottom"/>
            <w:tcBorders>
              <w:bottom w:val="single" w:sz="8" w:color="auto"/>
              <w:right w:val="single" w:sz="8" w:color="auto"/>
            </w:tcBorders>
          </w:tcPr>
          <w:p>
            <w:pPr>
              <w:spacing w:after="0"/>
              <w:rPr>
                <w:sz w:val="24"/>
                <w:szCs w:val="24"/>
                <w:color w:val="auto"/>
              </w:rPr>
            </w:pPr>
          </w:p>
        </w:tc>
        <w:tc>
          <w:tcPr>
            <w:tcW w:w="3520" w:type="dxa"/>
            <w:vAlign w:val="bottom"/>
            <w:tcBorders>
              <w:bottom w:val="single" w:sz="8" w:color="auto"/>
              <w:right w:val="single" w:sz="8" w:color="auto"/>
            </w:tcBorders>
          </w:tcPr>
          <w:p>
            <w:pPr>
              <w:spacing w:after="0"/>
              <w:rPr>
                <w:sz w:val="20"/>
                <w:szCs w:val="20"/>
                <w:color w:val="auto"/>
              </w:rPr>
            </w:pPr>
            <w:r>
              <w:rPr>
                <w:rFonts w:ascii="Verdana" w:cs="Verdana" w:eastAsia="Verdana" w:hAnsi="Verdana"/>
                <w:sz w:val="18"/>
                <w:szCs w:val="18"/>
                <w:b w:val="1"/>
                <w:bCs w:val="1"/>
                <w:color w:val="auto"/>
              </w:rPr>
              <w:t>200%</w:t>
            </w:r>
          </w:p>
        </w:tc>
        <w:tc>
          <w:tcPr>
            <w:tcW w:w="0" w:type="dxa"/>
            <w:vAlign w:val="bottom"/>
          </w:tcPr>
          <w:p>
            <w:pPr>
              <w:spacing w:after="0"/>
              <w:rPr>
                <w:sz w:val="1"/>
                <w:szCs w:val="1"/>
                <w:color w:val="auto"/>
              </w:rPr>
            </w:pPr>
          </w:p>
        </w:tc>
      </w:tr>
      <w:tr>
        <w:trPr>
          <w:trHeight w:val="283"/>
        </w:trPr>
        <w:tc>
          <w:tcPr>
            <w:tcW w:w="3100" w:type="dxa"/>
            <w:vAlign w:val="bottom"/>
            <w:tcBorders>
              <w:left w:val="single" w:sz="8" w:color="auto"/>
              <w:bottom w:val="single" w:sz="8" w:color="auto"/>
            </w:tcBorders>
          </w:tcPr>
          <w:p>
            <w:pPr>
              <w:ind w:left="60"/>
              <w:spacing w:after="0"/>
              <w:rPr>
                <w:sz w:val="20"/>
                <w:szCs w:val="20"/>
                <w:color w:val="auto"/>
              </w:rPr>
            </w:pPr>
            <w:r>
              <w:rPr>
                <w:rFonts w:ascii="Verdana" w:cs="Verdana" w:eastAsia="Verdana" w:hAnsi="Verdana"/>
                <w:sz w:val="18"/>
                <w:szCs w:val="18"/>
                <w:b w:val="1"/>
                <w:bCs w:val="1"/>
                <w:color w:val="auto"/>
              </w:rPr>
              <w:t>65th Percentile - TARGET</w:t>
            </w:r>
          </w:p>
        </w:tc>
        <w:tc>
          <w:tcPr>
            <w:tcW w:w="740" w:type="dxa"/>
            <w:vAlign w:val="bottom"/>
            <w:tcBorders>
              <w:bottom w:val="single" w:sz="8" w:color="auto"/>
              <w:right w:val="single" w:sz="8" w:color="auto"/>
            </w:tcBorders>
          </w:tcPr>
          <w:p>
            <w:pPr>
              <w:spacing w:after="0"/>
              <w:rPr>
                <w:sz w:val="24"/>
                <w:szCs w:val="24"/>
                <w:color w:val="auto"/>
              </w:rPr>
            </w:pPr>
          </w:p>
        </w:tc>
        <w:tc>
          <w:tcPr>
            <w:tcW w:w="3520" w:type="dxa"/>
            <w:vAlign w:val="bottom"/>
            <w:tcBorders>
              <w:bottom w:val="single" w:sz="8" w:color="auto"/>
              <w:right w:val="single" w:sz="8" w:color="auto"/>
            </w:tcBorders>
          </w:tcPr>
          <w:p>
            <w:pPr>
              <w:spacing w:after="0"/>
              <w:rPr>
                <w:sz w:val="20"/>
                <w:szCs w:val="20"/>
                <w:color w:val="auto"/>
              </w:rPr>
            </w:pPr>
            <w:r>
              <w:rPr>
                <w:rFonts w:ascii="Verdana" w:cs="Verdana" w:eastAsia="Verdana" w:hAnsi="Verdana"/>
                <w:sz w:val="18"/>
                <w:szCs w:val="18"/>
                <w:b w:val="1"/>
                <w:bCs w:val="1"/>
                <w:color w:val="auto"/>
              </w:rPr>
              <w:t>100%</w:t>
            </w:r>
          </w:p>
        </w:tc>
        <w:tc>
          <w:tcPr>
            <w:tcW w:w="0" w:type="dxa"/>
            <w:vAlign w:val="bottom"/>
          </w:tcPr>
          <w:p>
            <w:pPr>
              <w:spacing w:after="0"/>
              <w:rPr>
                <w:sz w:val="1"/>
                <w:szCs w:val="1"/>
                <w:color w:val="auto"/>
              </w:rPr>
            </w:pPr>
          </w:p>
        </w:tc>
      </w:tr>
      <w:tr>
        <w:trPr>
          <w:trHeight w:val="283"/>
        </w:trPr>
        <w:tc>
          <w:tcPr>
            <w:tcW w:w="3100" w:type="dxa"/>
            <w:vAlign w:val="bottom"/>
            <w:tcBorders>
              <w:left w:val="single" w:sz="8" w:color="auto"/>
              <w:bottom w:val="single" w:sz="8" w:color="auto"/>
            </w:tcBorders>
          </w:tcPr>
          <w:p>
            <w:pPr>
              <w:ind w:left="60"/>
              <w:spacing w:after="0"/>
              <w:rPr>
                <w:sz w:val="20"/>
                <w:szCs w:val="20"/>
                <w:color w:val="auto"/>
              </w:rPr>
            </w:pPr>
            <w:r>
              <w:rPr>
                <w:rFonts w:ascii="Verdana" w:cs="Verdana" w:eastAsia="Verdana" w:hAnsi="Verdana"/>
                <w:sz w:val="18"/>
                <w:szCs w:val="18"/>
                <w:b w:val="1"/>
                <w:bCs w:val="1"/>
                <w:color w:val="auto"/>
              </w:rPr>
              <w:t>25th Percentile</w:t>
            </w:r>
          </w:p>
        </w:tc>
        <w:tc>
          <w:tcPr>
            <w:tcW w:w="740" w:type="dxa"/>
            <w:vAlign w:val="bottom"/>
            <w:tcBorders>
              <w:bottom w:val="single" w:sz="8" w:color="auto"/>
              <w:right w:val="single" w:sz="8" w:color="auto"/>
            </w:tcBorders>
          </w:tcPr>
          <w:p>
            <w:pPr>
              <w:spacing w:after="0"/>
              <w:rPr>
                <w:sz w:val="24"/>
                <w:szCs w:val="24"/>
                <w:color w:val="auto"/>
              </w:rPr>
            </w:pPr>
          </w:p>
        </w:tc>
        <w:tc>
          <w:tcPr>
            <w:tcW w:w="3520" w:type="dxa"/>
            <w:vAlign w:val="bottom"/>
            <w:tcBorders>
              <w:bottom w:val="single" w:sz="8" w:color="auto"/>
              <w:right w:val="single" w:sz="8" w:color="auto"/>
            </w:tcBorders>
          </w:tcPr>
          <w:p>
            <w:pPr>
              <w:spacing w:after="0"/>
              <w:rPr>
                <w:sz w:val="20"/>
                <w:szCs w:val="20"/>
                <w:color w:val="auto"/>
              </w:rPr>
            </w:pPr>
            <w:r>
              <w:rPr>
                <w:rFonts w:ascii="Verdana" w:cs="Verdana" w:eastAsia="Verdana" w:hAnsi="Verdana"/>
                <w:sz w:val="18"/>
                <w:szCs w:val="18"/>
                <w:b w:val="1"/>
                <w:bCs w:val="1"/>
                <w:color w:val="auto"/>
              </w:rPr>
              <w:t>25%</w:t>
            </w:r>
          </w:p>
        </w:tc>
        <w:tc>
          <w:tcPr>
            <w:tcW w:w="0" w:type="dxa"/>
            <w:vAlign w:val="bottom"/>
          </w:tcPr>
          <w:p>
            <w:pPr>
              <w:spacing w:after="0"/>
              <w:rPr>
                <w:sz w:val="1"/>
                <w:szCs w:val="1"/>
                <w:color w:val="auto"/>
              </w:rPr>
            </w:pPr>
          </w:p>
        </w:tc>
      </w:tr>
      <w:tr>
        <w:trPr>
          <w:trHeight w:val="283"/>
        </w:trPr>
        <w:tc>
          <w:tcPr>
            <w:tcW w:w="3100" w:type="dxa"/>
            <w:vAlign w:val="bottom"/>
            <w:tcBorders>
              <w:left w:val="single" w:sz="8" w:color="auto"/>
              <w:bottom w:val="single" w:sz="8" w:color="auto"/>
            </w:tcBorders>
          </w:tcPr>
          <w:p>
            <w:pPr>
              <w:ind w:left="60"/>
              <w:spacing w:after="0"/>
              <w:rPr>
                <w:sz w:val="20"/>
                <w:szCs w:val="20"/>
                <w:color w:val="auto"/>
              </w:rPr>
            </w:pPr>
            <w:r>
              <w:rPr>
                <w:rFonts w:ascii="Verdana" w:cs="Verdana" w:eastAsia="Verdana" w:hAnsi="Verdana"/>
                <w:sz w:val="18"/>
                <w:szCs w:val="18"/>
                <w:b w:val="1"/>
                <w:bCs w:val="1"/>
                <w:color w:val="auto"/>
              </w:rPr>
              <w:t>Below the 25th Percentile</w:t>
            </w:r>
          </w:p>
        </w:tc>
        <w:tc>
          <w:tcPr>
            <w:tcW w:w="740" w:type="dxa"/>
            <w:vAlign w:val="bottom"/>
            <w:tcBorders>
              <w:bottom w:val="single" w:sz="8" w:color="auto"/>
              <w:right w:val="single" w:sz="8" w:color="auto"/>
            </w:tcBorders>
          </w:tcPr>
          <w:p>
            <w:pPr>
              <w:spacing w:after="0"/>
              <w:rPr>
                <w:sz w:val="24"/>
                <w:szCs w:val="24"/>
                <w:color w:val="auto"/>
              </w:rPr>
            </w:pPr>
          </w:p>
        </w:tc>
        <w:tc>
          <w:tcPr>
            <w:tcW w:w="3520" w:type="dxa"/>
            <w:vAlign w:val="bottom"/>
            <w:tcBorders>
              <w:bottom w:val="single" w:sz="8" w:color="auto"/>
              <w:right w:val="single" w:sz="8" w:color="auto"/>
            </w:tcBorders>
          </w:tcPr>
          <w:p>
            <w:pPr>
              <w:spacing w:after="0"/>
              <w:rPr>
                <w:sz w:val="20"/>
                <w:szCs w:val="20"/>
                <w:color w:val="auto"/>
              </w:rPr>
            </w:pPr>
            <w:r>
              <w:rPr>
                <w:rFonts w:ascii="Verdana" w:cs="Verdana" w:eastAsia="Verdana" w:hAnsi="Verdana"/>
                <w:sz w:val="18"/>
                <w:szCs w:val="18"/>
                <w:b w:val="1"/>
                <w:bCs w:val="1"/>
                <w:color w:val="auto"/>
              </w:rPr>
              <w:t>0%</w:t>
            </w:r>
          </w:p>
        </w:tc>
        <w:tc>
          <w:tcPr>
            <w:tcW w:w="0" w:type="dxa"/>
            <w:vAlign w:val="bottom"/>
          </w:tcPr>
          <w:p>
            <w:pPr>
              <w:spacing w:after="0"/>
              <w:rPr>
                <w:sz w:val="1"/>
                <w:szCs w:val="1"/>
                <w:color w:val="auto"/>
              </w:rPr>
            </w:pPr>
          </w:p>
        </w:tc>
      </w:tr>
    </w:tbl>
    <w:p>
      <w:pPr>
        <w:spacing w:after="0" w:line="258" w:lineRule="exact"/>
        <w:rPr>
          <w:sz w:val="20"/>
          <w:szCs w:val="20"/>
          <w:color w:val="auto"/>
        </w:rPr>
      </w:pPr>
    </w:p>
    <w:p>
      <w:pPr>
        <w:ind w:left="620" w:hanging="615"/>
        <w:spacing w:after="0"/>
        <w:tabs>
          <w:tab w:leader="none" w:pos="620" w:val="left"/>
        </w:tabs>
        <w:numPr>
          <w:ilvl w:val="0"/>
          <w:numId w:val="209"/>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Measuring Performance and Relative TSR Ranking</w:t>
      </w:r>
    </w:p>
    <w:p>
      <w:pPr>
        <w:spacing w:after="0" w:line="175" w:lineRule="exact"/>
        <w:rPr>
          <w:rFonts w:ascii="Verdana" w:cs="Verdana" w:eastAsia="Verdana" w:hAnsi="Verdana"/>
          <w:sz w:val="18"/>
          <w:szCs w:val="18"/>
          <w:b w:val="1"/>
          <w:bCs w:val="1"/>
          <w:color w:val="auto"/>
        </w:rPr>
      </w:pPr>
    </w:p>
    <w:p>
      <w:pPr>
        <w:ind w:left="1260" w:hanging="623"/>
        <w:spacing w:after="0"/>
        <w:tabs>
          <w:tab w:leader="none" w:pos="1260" w:val="left"/>
        </w:tabs>
        <w:numPr>
          <w:ilvl w:val="1"/>
          <w:numId w:val="209"/>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Performance Measure and RPSUs</w:t>
      </w:r>
    </w:p>
    <w:p>
      <w:pPr>
        <w:spacing w:after="0" w:line="189" w:lineRule="exact"/>
        <w:rPr>
          <w:sz w:val="20"/>
          <w:szCs w:val="20"/>
          <w:color w:val="auto"/>
        </w:rPr>
      </w:pPr>
    </w:p>
    <w:p>
      <w:pPr>
        <w:jc w:val="both"/>
        <w:ind w:left="640"/>
        <w:spacing w:after="0" w:line="259" w:lineRule="auto"/>
        <w:rPr>
          <w:sz w:val="20"/>
          <w:szCs w:val="20"/>
          <w:color w:val="auto"/>
        </w:rPr>
      </w:pPr>
      <w:r>
        <w:rPr>
          <w:rFonts w:ascii="Verdana" w:cs="Verdana" w:eastAsia="Verdana" w:hAnsi="Verdana"/>
          <w:sz w:val="16"/>
          <w:szCs w:val="16"/>
          <w:color w:val="auto"/>
        </w:rPr>
        <w:t xml:space="preserve">For purposes of determining the Final Award, as soon as practicable after the completion of the Performance Period, (i) the TSRs of the Company and the companies set forth on </w:t>
      </w:r>
      <w:r>
        <w:rPr>
          <w:rFonts w:ascii="Verdana" w:cs="Verdana" w:eastAsia="Verdana" w:hAnsi="Verdana"/>
          <w:sz w:val="16"/>
          <w:szCs w:val="16"/>
          <w:u w:val="single" w:color="auto"/>
          <w:color w:val="auto"/>
        </w:rPr>
        <w:t>Exhibit A</w:t>
      </w:r>
      <w:r>
        <w:rPr>
          <w:rFonts w:ascii="Verdana" w:cs="Verdana" w:eastAsia="Verdana" w:hAnsi="Verdana"/>
          <w:sz w:val="16"/>
          <w:szCs w:val="16"/>
          <w:color w:val="auto"/>
        </w:rPr>
        <w:t>, which comprise the peer group for purposes of this Agreement (each company is referred to as a “</w:t>
      </w:r>
      <w:r>
        <w:rPr>
          <w:rFonts w:ascii="Verdana" w:cs="Verdana" w:eastAsia="Verdana" w:hAnsi="Verdana"/>
          <w:sz w:val="16"/>
          <w:szCs w:val="16"/>
          <w:u w:val="single" w:color="auto"/>
          <w:color w:val="auto"/>
        </w:rPr>
        <w:t>Peer Group Member</w:t>
      </w:r>
      <w:r>
        <w:rPr>
          <w:rFonts w:ascii="Verdana" w:cs="Verdana" w:eastAsia="Verdana" w:hAnsi="Verdana"/>
          <w:sz w:val="16"/>
          <w:szCs w:val="16"/>
          <w:color w:val="auto"/>
        </w:rPr>
        <w:t xml:space="preserve">”), shall be calculated pursuant to </w:t>
      </w:r>
      <w:r>
        <w:rPr>
          <w:rFonts w:ascii="Verdana" w:cs="Verdana" w:eastAsia="Verdana" w:hAnsi="Verdana"/>
          <w:sz w:val="16"/>
          <w:szCs w:val="16"/>
          <w:u w:val="single" w:color="auto"/>
          <w:color w:val="auto"/>
        </w:rPr>
        <w:t>Section 2(d)</w:t>
      </w:r>
      <w:r>
        <w:rPr>
          <w:rFonts w:ascii="Verdana" w:cs="Verdana" w:eastAsia="Verdana" w:hAnsi="Verdana"/>
          <w:sz w:val="16"/>
          <w:szCs w:val="16"/>
          <w:color w:val="auto"/>
        </w:rPr>
        <w:t xml:space="preserve"> and</w:t>
      </w:r>
    </w:p>
    <w:p>
      <w:pPr>
        <w:spacing w:after="0" w:line="2" w:lineRule="exact"/>
        <w:rPr>
          <w:sz w:val="20"/>
          <w:szCs w:val="20"/>
          <w:color w:val="auto"/>
        </w:rPr>
      </w:pPr>
    </w:p>
    <w:p>
      <w:pPr>
        <w:jc w:val="both"/>
        <w:ind w:left="640" w:hanging="3"/>
        <w:spacing w:after="0" w:line="237" w:lineRule="auto"/>
        <w:tabs>
          <w:tab w:leader="none" w:pos="960" w:val="left"/>
        </w:tabs>
        <w:numPr>
          <w:ilvl w:val="0"/>
          <w:numId w:val="210"/>
        </w:numPr>
        <w:rPr>
          <w:rFonts w:ascii="Verdana" w:cs="Verdana" w:eastAsia="Verdana" w:hAnsi="Verdana"/>
          <w:sz w:val="18"/>
          <w:szCs w:val="18"/>
          <w:color w:val="auto"/>
        </w:rPr>
      </w:pPr>
      <w:r>
        <w:rPr>
          <w:rFonts w:ascii="Verdana" w:cs="Verdana" w:eastAsia="Verdana" w:hAnsi="Verdana"/>
          <w:sz w:val="18"/>
          <w:szCs w:val="18"/>
          <w:color w:val="auto"/>
        </w:rPr>
        <w:t xml:space="preserve">the relative ranking of the Company’s TSR for the Performance Period, as compared to the TSR for each Peer Group Member for the Performance Period, shall be determined and expressed as a percentile ranking as described in </w:t>
      </w:r>
      <w:r>
        <w:rPr>
          <w:rFonts w:ascii="Verdana" w:cs="Verdana" w:eastAsia="Verdana" w:hAnsi="Verdana"/>
          <w:sz w:val="18"/>
          <w:szCs w:val="18"/>
          <w:u w:val="single" w:color="auto"/>
          <w:color w:val="auto"/>
        </w:rPr>
        <w:t>Section</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auto"/>
        </w:rPr>
        <w:t>2(b)</w:t>
      </w:r>
      <w:r>
        <w:rPr>
          <w:rFonts w:ascii="Verdana" w:cs="Verdana" w:eastAsia="Verdana" w:hAnsi="Verdana"/>
          <w:sz w:val="18"/>
          <w:szCs w:val="18"/>
          <w:color w:val="auto"/>
        </w:rPr>
        <w:t>.</w:t>
      </w:r>
    </w:p>
    <w:p>
      <w:pPr>
        <w:spacing w:after="0" w:line="168" w:lineRule="exact"/>
        <w:rPr>
          <w:sz w:val="20"/>
          <w:szCs w:val="20"/>
          <w:color w:val="auto"/>
        </w:rPr>
      </w:pPr>
    </w:p>
    <w:p>
      <w:pPr>
        <w:ind w:left="1260" w:hanging="623"/>
        <w:spacing w:after="0"/>
        <w:tabs>
          <w:tab w:leader="none" w:pos="1260" w:val="left"/>
        </w:tabs>
        <w:numPr>
          <w:ilvl w:val="0"/>
          <w:numId w:val="211"/>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Total Shareholder Percentile Ranking</w:t>
      </w:r>
    </w:p>
    <w:p>
      <w:pPr>
        <w:spacing w:after="0" w:line="189" w:lineRule="exact"/>
        <w:rPr>
          <w:sz w:val="20"/>
          <w:szCs w:val="20"/>
          <w:color w:val="auto"/>
        </w:rPr>
      </w:pPr>
    </w:p>
    <w:p>
      <w:pPr>
        <w:jc w:val="both"/>
        <w:ind w:left="640"/>
        <w:spacing w:after="0" w:line="237" w:lineRule="auto"/>
        <w:rPr>
          <w:sz w:val="20"/>
          <w:szCs w:val="20"/>
          <w:color w:val="auto"/>
        </w:rPr>
      </w:pPr>
      <w:r>
        <w:rPr>
          <w:rFonts w:ascii="Verdana" w:cs="Verdana" w:eastAsia="Verdana" w:hAnsi="Verdana"/>
          <w:sz w:val="18"/>
          <w:szCs w:val="18"/>
          <w:color w:val="auto"/>
        </w:rPr>
        <w:t>The Company’s TSR percentile ranking is based on the TSR to the Company’s stockholders during the Performance Period, inclusive of dividends paid, relative to the TSR during the Performance Period, inclusive of dividends paid, achieved by each of the Peer Group Members.</w:t>
      </w:r>
    </w:p>
    <w:p>
      <w:pPr>
        <w:spacing w:after="0" w:line="194" w:lineRule="exact"/>
        <w:rPr>
          <w:sz w:val="20"/>
          <w:szCs w:val="20"/>
          <w:color w:val="auto"/>
        </w:rPr>
      </w:pPr>
    </w:p>
    <w:p>
      <w:pPr>
        <w:jc w:val="both"/>
        <w:ind w:left="640"/>
        <w:spacing w:after="0" w:line="235" w:lineRule="auto"/>
        <w:rPr>
          <w:sz w:val="20"/>
          <w:szCs w:val="20"/>
          <w:color w:val="auto"/>
        </w:rPr>
      </w:pPr>
      <w:r>
        <w:rPr>
          <w:rFonts w:ascii="Verdana" w:cs="Verdana" w:eastAsia="Verdana" w:hAnsi="Verdana"/>
          <w:sz w:val="18"/>
          <w:szCs w:val="18"/>
          <w:color w:val="auto"/>
        </w:rPr>
        <w:t>The Company’s TSR percentile ranking shall be determined as follows: the TSR percentile ranking shall be determined by ranking the Company and each of the Peer Group Members from highest to lowest according to their respective TSRs. After this ranking, the percentile performance of the Company relative to the Peer Group Members will be determined as follows:</w:t>
      </w:r>
    </w:p>
    <w:p>
      <w:pPr>
        <w:spacing w:after="0" w:line="188" w:lineRule="exact"/>
        <w:rPr>
          <w:sz w:val="20"/>
          <w:szCs w:val="20"/>
          <w:color w:val="auto"/>
        </w:rPr>
      </w:pPr>
    </w:p>
    <w:p>
      <w:pPr>
        <w:jc w:val="right"/>
        <w:ind w:right="7800"/>
        <w:spacing w:after="0"/>
        <w:rPr>
          <w:sz w:val="20"/>
          <w:szCs w:val="20"/>
          <w:color w:val="auto"/>
        </w:rPr>
      </w:pPr>
      <w:r>
        <w:rPr>
          <w:rFonts w:ascii="Verdana" w:cs="Verdana" w:eastAsia="Verdana" w:hAnsi="Verdana"/>
          <w:sz w:val="18"/>
          <w:szCs w:val="18"/>
          <w:color w:val="auto"/>
        </w:rPr>
        <w:t xml:space="preserve">P=1 – </w:t>
      </w:r>
      <w:r>
        <w:rPr>
          <w:rFonts w:ascii="Verdana" w:cs="Verdana" w:eastAsia="Verdana" w:hAnsi="Verdana"/>
          <w:sz w:val="18"/>
          <w:szCs w:val="18"/>
          <w:u w:val="single" w:color="auto"/>
          <w:color w:val="auto"/>
        </w:rPr>
        <w:t>R-1</w:t>
      </w:r>
    </w:p>
    <w:p>
      <w:pPr>
        <w:jc w:val="right"/>
        <w:ind w:right="7840"/>
        <w:spacing w:after="0"/>
        <w:rPr>
          <w:sz w:val="20"/>
          <w:szCs w:val="20"/>
          <w:color w:val="auto"/>
        </w:rPr>
      </w:pPr>
      <w:r>
        <w:rPr>
          <w:rFonts w:ascii="Verdana" w:cs="Verdana" w:eastAsia="Verdana" w:hAnsi="Verdana"/>
          <w:sz w:val="18"/>
          <w:szCs w:val="18"/>
          <w:color w:val="auto"/>
        </w:rPr>
        <w:t>N-1</w:t>
      </w:r>
    </w:p>
    <w:p>
      <w:pPr>
        <w:spacing w:after="0" w:line="202" w:lineRule="exact"/>
        <w:rPr>
          <w:sz w:val="20"/>
          <w:szCs w:val="20"/>
          <w:color w:val="auto"/>
        </w:rPr>
      </w:pPr>
    </w:p>
    <w:p>
      <w:pPr>
        <w:ind w:left="640"/>
        <w:spacing w:after="0"/>
        <w:tabs>
          <w:tab w:leader="none" w:pos="1480" w:val="left"/>
        </w:tabs>
        <w:rPr>
          <w:sz w:val="20"/>
          <w:szCs w:val="20"/>
          <w:color w:val="auto"/>
        </w:rPr>
      </w:pPr>
      <w:r>
        <w:rPr>
          <w:rFonts w:ascii="Verdana" w:cs="Verdana" w:eastAsia="Verdana" w:hAnsi="Verdana"/>
          <w:sz w:val="18"/>
          <w:szCs w:val="18"/>
          <w:color w:val="auto"/>
        </w:rPr>
        <w:t>where:</w:t>
        <w:tab/>
        <w:t>“P” represents the percentile performance</w:t>
      </w:r>
    </w:p>
    <w:p>
      <w:pPr>
        <w:spacing w:after="0" w:line="202" w:lineRule="exact"/>
        <w:rPr>
          <w:sz w:val="20"/>
          <w:szCs w:val="20"/>
          <w:color w:val="auto"/>
        </w:rPr>
      </w:pPr>
    </w:p>
    <w:p>
      <w:pPr>
        <w:ind w:left="880"/>
        <w:spacing w:after="0"/>
        <w:rPr>
          <w:sz w:val="20"/>
          <w:szCs w:val="20"/>
          <w:color w:val="auto"/>
        </w:rPr>
      </w:pPr>
      <w:r>
        <w:rPr>
          <w:rFonts w:ascii="Verdana" w:cs="Verdana" w:eastAsia="Verdana" w:hAnsi="Verdana"/>
          <w:sz w:val="18"/>
          <w:szCs w:val="18"/>
          <w:color w:val="auto"/>
        </w:rPr>
        <w:t>“N” represents the number of Peer Group Members, including the Company, as of the vesting date.</w:t>
      </w:r>
    </w:p>
    <w:p>
      <w:pPr>
        <w:spacing w:after="0" w:line="202" w:lineRule="exact"/>
        <w:rPr>
          <w:sz w:val="20"/>
          <w:szCs w:val="20"/>
          <w:color w:val="auto"/>
        </w:rPr>
      </w:pPr>
    </w:p>
    <w:p>
      <w:pPr>
        <w:ind w:left="880"/>
        <w:spacing w:after="0"/>
        <w:rPr>
          <w:sz w:val="20"/>
          <w:szCs w:val="20"/>
          <w:color w:val="auto"/>
        </w:rPr>
      </w:pPr>
      <w:r>
        <w:rPr>
          <w:rFonts w:ascii="Verdana" w:cs="Verdana" w:eastAsia="Verdana" w:hAnsi="Verdana"/>
          <w:sz w:val="18"/>
          <w:szCs w:val="18"/>
          <w:color w:val="auto"/>
        </w:rPr>
        <w:t>“R” represents the Company’s ranking among the Peer Group Members.</w:t>
      </w:r>
    </w:p>
    <w:p>
      <w:pPr>
        <w:spacing w:after="0" w:line="176" w:lineRule="exact"/>
        <w:rPr>
          <w:sz w:val="20"/>
          <w:szCs w:val="20"/>
          <w:color w:val="auto"/>
        </w:rPr>
      </w:pPr>
    </w:p>
    <w:p>
      <w:pPr>
        <w:jc w:val="both"/>
        <w:ind w:left="1900" w:hanging="632"/>
        <w:spacing w:after="0" w:line="213" w:lineRule="auto"/>
        <w:tabs>
          <w:tab w:leader="none" w:pos="1891" w:val="left"/>
        </w:tabs>
        <w:numPr>
          <w:ilvl w:val="0"/>
          <w:numId w:val="212"/>
        </w:numPr>
        <w:rPr>
          <w:rFonts w:ascii="Verdana" w:cs="Verdana" w:eastAsia="Verdana" w:hAnsi="Verdana"/>
          <w:sz w:val="18"/>
          <w:szCs w:val="18"/>
          <w:b w:val="1"/>
          <w:bCs w:val="1"/>
          <w:color w:val="010000"/>
        </w:rPr>
      </w:pPr>
      <w:r>
        <w:rPr>
          <w:rFonts w:ascii="Verdana" w:cs="Verdana" w:eastAsia="Verdana" w:hAnsi="Verdana"/>
          <w:sz w:val="18"/>
          <w:szCs w:val="18"/>
          <w:color w:val="auto"/>
        </w:rPr>
        <w:t>In the event a bankruptcy proceeding is commenced during the Performance Period with respect to any Peer Group Member, or if at any time during the Performance Period a Peer Group Member is liquidated or delisted, such company shall be treated as having a TSR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4</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LEGAL\81347992\6</w:t>
      </w:r>
    </w:p>
    <w:p>
      <w:pPr>
        <w:spacing w:after="0" w:line="7" w:lineRule="exact"/>
        <w:rPr>
          <w:sz w:val="20"/>
          <w:szCs w:val="20"/>
          <w:color w:val="auto"/>
        </w:rPr>
      </w:pPr>
    </w:p>
    <w:p>
      <w:pPr>
        <w:spacing w:after="0"/>
        <w:rPr>
          <w:sz w:val="20"/>
          <w:szCs w:val="20"/>
          <w:color w:val="auto"/>
        </w:rPr>
      </w:pPr>
      <w:r>
        <w:rPr>
          <w:rFonts w:ascii="Verdana" w:cs="Verdana" w:eastAsia="Verdana" w:hAnsi="Verdana"/>
          <w:sz w:val="14"/>
          <w:szCs w:val="14"/>
          <w:color w:val="auto"/>
        </w:rPr>
        <w:t>2026 RPSU Agreement (CEO)</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900"/>
        <w:spacing w:after="0" w:line="219" w:lineRule="auto"/>
        <w:rPr>
          <w:sz w:val="20"/>
          <w:szCs w:val="20"/>
          <w:color w:val="auto"/>
        </w:rPr>
      </w:pPr>
      <w:r>
        <w:rPr>
          <w:rFonts w:ascii="Verdana" w:cs="Verdana" w:eastAsia="Verdana" w:hAnsi="Verdana"/>
          <w:sz w:val="18"/>
          <w:szCs w:val="18"/>
          <w:color w:val="auto"/>
        </w:rPr>
        <w:t>of negative one hundred percent (-100%) for the Performance Period for purposes of TSR percentile ranking.</w:t>
      </w:r>
    </w:p>
    <w:p>
      <w:pPr>
        <w:spacing w:after="0" w:line="153" w:lineRule="exact"/>
        <w:rPr>
          <w:sz w:val="20"/>
          <w:szCs w:val="20"/>
          <w:color w:val="auto"/>
        </w:rPr>
      </w:pPr>
    </w:p>
    <w:p>
      <w:pPr>
        <w:jc w:val="both"/>
        <w:ind w:left="1900" w:hanging="632"/>
        <w:spacing w:after="0" w:line="200" w:lineRule="auto"/>
        <w:tabs>
          <w:tab w:leader="none" w:pos="1899" w:val="left"/>
        </w:tabs>
        <w:numPr>
          <w:ilvl w:val="1"/>
          <w:numId w:val="213"/>
        </w:numPr>
        <w:rPr>
          <w:rFonts w:ascii="Verdana" w:cs="Verdana" w:eastAsia="Verdana" w:hAnsi="Verdana"/>
          <w:sz w:val="18"/>
          <w:szCs w:val="18"/>
          <w:b w:val="1"/>
          <w:bCs w:val="1"/>
          <w:color w:val="010000"/>
        </w:rPr>
      </w:pPr>
      <w:r>
        <w:rPr>
          <w:rFonts w:ascii="Verdana" w:cs="Verdana" w:eastAsia="Verdana" w:hAnsi="Verdana"/>
          <w:sz w:val="18"/>
          <w:szCs w:val="18"/>
          <w:color w:val="auto"/>
        </w:rPr>
        <w:t>In the event that a merger, acquisition or business combination of a Peer Group Member by or with another Peer Group Member is consummated during the Performance Period, then the entity that survives as a result of such merger, acquisition, or business combination will be considered a Peer Group Member for purposes of TSR percentile ranking for the Performance Period; the Peer Group Member that is not the entity that survives as a result of such merger, acquisition or business combination, shall be removed and treated as if it had never been in the peer group for purposes of the TSR percentile ranking for the Performance Period.</w:t>
      </w:r>
    </w:p>
    <w:p>
      <w:pPr>
        <w:spacing w:after="0" w:line="171" w:lineRule="exact"/>
        <w:rPr>
          <w:rFonts w:ascii="Verdana" w:cs="Verdana" w:eastAsia="Verdana" w:hAnsi="Verdana"/>
          <w:sz w:val="18"/>
          <w:szCs w:val="18"/>
          <w:b w:val="1"/>
          <w:bCs w:val="1"/>
          <w:color w:val="010000"/>
        </w:rPr>
      </w:pPr>
    </w:p>
    <w:p>
      <w:pPr>
        <w:jc w:val="both"/>
        <w:ind w:left="1900" w:hanging="632"/>
        <w:spacing w:after="0" w:line="203" w:lineRule="auto"/>
        <w:tabs>
          <w:tab w:leader="none" w:pos="1893" w:val="left"/>
        </w:tabs>
        <w:numPr>
          <w:ilvl w:val="1"/>
          <w:numId w:val="213"/>
        </w:numPr>
        <w:rPr>
          <w:rFonts w:ascii="Verdana" w:cs="Verdana" w:eastAsia="Verdana" w:hAnsi="Verdana"/>
          <w:sz w:val="18"/>
          <w:szCs w:val="18"/>
          <w:b w:val="1"/>
          <w:bCs w:val="1"/>
          <w:color w:val="010000"/>
        </w:rPr>
      </w:pPr>
      <w:r>
        <w:rPr>
          <w:rFonts w:ascii="Verdana" w:cs="Verdana" w:eastAsia="Verdana" w:hAnsi="Verdana"/>
          <w:sz w:val="18"/>
          <w:szCs w:val="18"/>
          <w:color w:val="auto"/>
        </w:rPr>
        <w:t>In the event that a merger, acquisition or business combination of a Peer Group Member by or with an entity that is not a Peer Group Member is consummated during the Performance Period, and such Peer Group Member is the entity that survives as a result of such merger, acquisition, or business combination, then such Peer Group Member will continue to be considered a Peer Group Member for purposes of TSR percentile ranking for the Performance Period.</w:t>
      </w:r>
    </w:p>
    <w:p>
      <w:pPr>
        <w:spacing w:after="0" w:line="153" w:lineRule="exact"/>
        <w:rPr>
          <w:rFonts w:ascii="Verdana" w:cs="Verdana" w:eastAsia="Verdana" w:hAnsi="Verdana"/>
          <w:sz w:val="18"/>
          <w:szCs w:val="18"/>
          <w:b w:val="1"/>
          <w:bCs w:val="1"/>
          <w:color w:val="010000"/>
        </w:rPr>
      </w:pPr>
    </w:p>
    <w:p>
      <w:pPr>
        <w:jc w:val="both"/>
        <w:ind w:left="1900" w:hanging="632"/>
        <w:spacing w:after="0" w:line="202" w:lineRule="auto"/>
        <w:tabs>
          <w:tab w:leader="none" w:pos="1887" w:val="left"/>
        </w:tabs>
        <w:numPr>
          <w:ilvl w:val="1"/>
          <w:numId w:val="213"/>
        </w:numPr>
        <w:rPr>
          <w:rFonts w:ascii="Verdana" w:cs="Verdana" w:eastAsia="Verdana" w:hAnsi="Verdana"/>
          <w:sz w:val="18"/>
          <w:szCs w:val="18"/>
          <w:b w:val="1"/>
          <w:bCs w:val="1"/>
          <w:color w:val="010000"/>
        </w:rPr>
      </w:pPr>
      <w:r>
        <w:rPr>
          <w:rFonts w:ascii="Verdana" w:cs="Verdana" w:eastAsia="Verdana" w:hAnsi="Verdana"/>
          <w:sz w:val="18"/>
          <w:szCs w:val="18"/>
          <w:color w:val="auto"/>
        </w:rPr>
        <w:t>In the event that (i) a Peer Group Member ceases to be a publicly-traded company, or (ii) a merger, acquisition or business combination of a Peer Group Member by or with an entity that is not a Peer Group Member is consummated during the Performance Period, and such Peer Group Member is not the entity that survives as a result of such merger, acquisition, or business combination, then such Peer Group Member shall be removed and treated as if it had never been in the peer group for purposes of TSR percentile ranking for the Performance Period.</w:t>
      </w:r>
    </w:p>
    <w:p>
      <w:pPr>
        <w:spacing w:after="0" w:line="158" w:lineRule="exact"/>
        <w:rPr>
          <w:rFonts w:ascii="Verdana" w:cs="Verdana" w:eastAsia="Verdana" w:hAnsi="Verdana"/>
          <w:sz w:val="18"/>
          <w:szCs w:val="18"/>
          <w:b w:val="1"/>
          <w:bCs w:val="1"/>
          <w:color w:val="010000"/>
        </w:rPr>
      </w:pPr>
    </w:p>
    <w:p>
      <w:pPr>
        <w:jc w:val="both"/>
        <w:ind w:left="1900" w:hanging="632"/>
        <w:spacing w:after="0" w:line="202" w:lineRule="auto"/>
        <w:tabs>
          <w:tab w:leader="none" w:pos="1893" w:val="left"/>
        </w:tabs>
        <w:numPr>
          <w:ilvl w:val="1"/>
          <w:numId w:val="213"/>
        </w:numPr>
        <w:rPr>
          <w:rFonts w:ascii="Verdana" w:cs="Verdana" w:eastAsia="Verdana" w:hAnsi="Verdana"/>
          <w:sz w:val="18"/>
          <w:szCs w:val="18"/>
          <w:b w:val="1"/>
          <w:bCs w:val="1"/>
          <w:color w:val="010000"/>
        </w:rPr>
      </w:pPr>
      <w:r>
        <w:rPr>
          <w:rFonts w:ascii="Verdana" w:cs="Verdana" w:eastAsia="Verdana" w:hAnsi="Verdana"/>
          <w:sz w:val="18"/>
          <w:szCs w:val="18"/>
          <w:color w:val="auto"/>
        </w:rPr>
        <w:t>In the event of a distribution of stock from a Peer Group Member (including the Company) consisting of shares of a new publicly traded company (a “spin-off”), the Peer Group Member shall remain a Peer Group Member and the stock distribution will be treated as a dividend from the Peer Group Member (including the Company) based on the closing price of the shares of the spin-off company on its first day of trading. The performance of the shares of the spin-off company shall not thereafter be treated for purposes of calculating TSR.</w:t>
      </w:r>
    </w:p>
    <w:p>
      <w:pPr>
        <w:spacing w:after="0" w:line="158" w:lineRule="exact"/>
        <w:rPr>
          <w:rFonts w:ascii="Verdana" w:cs="Verdana" w:eastAsia="Verdana" w:hAnsi="Verdana"/>
          <w:sz w:val="18"/>
          <w:szCs w:val="18"/>
          <w:b w:val="1"/>
          <w:bCs w:val="1"/>
          <w:color w:val="010000"/>
        </w:rPr>
      </w:pPr>
    </w:p>
    <w:p>
      <w:pPr>
        <w:ind w:left="1260" w:hanging="623"/>
        <w:spacing w:after="0"/>
        <w:tabs>
          <w:tab w:leader="none" w:pos="1260" w:val="left"/>
        </w:tabs>
        <w:numPr>
          <w:ilvl w:val="0"/>
          <w:numId w:val="214"/>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Performance Period</w:t>
      </w:r>
    </w:p>
    <w:p>
      <w:pPr>
        <w:spacing w:after="0" w:line="202" w:lineRule="exact"/>
        <w:rPr>
          <w:sz w:val="20"/>
          <w:szCs w:val="20"/>
          <w:color w:val="auto"/>
        </w:rPr>
      </w:pPr>
    </w:p>
    <w:p>
      <w:pPr>
        <w:ind w:left="640"/>
        <w:spacing w:after="0" w:line="241" w:lineRule="auto"/>
        <w:rPr>
          <w:sz w:val="20"/>
          <w:szCs w:val="20"/>
          <w:color w:val="auto"/>
        </w:rPr>
      </w:pPr>
      <w:r>
        <w:rPr>
          <w:rFonts w:ascii="Verdana" w:cs="Verdana" w:eastAsia="Verdana" w:hAnsi="Verdana"/>
          <w:sz w:val="18"/>
          <w:szCs w:val="18"/>
          <w:color w:val="auto"/>
        </w:rPr>
        <w:t>The Performance Period, for purposes of this Agreement, shall be determined by the Committee and shall be the period set forth in the Grant Notice.</w:t>
      </w:r>
    </w:p>
    <w:p>
      <w:pPr>
        <w:spacing w:after="0" w:line="166" w:lineRule="exact"/>
        <w:rPr>
          <w:sz w:val="20"/>
          <w:szCs w:val="20"/>
          <w:color w:val="auto"/>
        </w:rPr>
      </w:pPr>
    </w:p>
    <w:p>
      <w:pPr>
        <w:ind w:left="1260" w:hanging="623"/>
        <w:spacing w:after="0"/>
        <w:tabs>
          <w:tab w:leader="none" w:pos="1260" w:val="left"/>
        </w:tabs>
        <w:numPr>
          <w:ilvl w:val="0"/>
          <w:numId w:val="215"/>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Performance Goal and TSR</w:t>
      </w:r>
    </w:p>
    <w:p>
      <w:pPr>
        <w:spacing w:after="0" w:line="189" w:lineRule="exact"/>
        <w:rPr>
          <w:sz w:val="20"/>
          <w:szCs w:val="20"/>
          <w:color w:val="auto"/>
        </w:rPr>
      </w:pPr>
    </w:p>
    <w:p>
      <w:pPr>
        <w:jc w:val="both"/>
        <w:ind w:left="640"/>
        <w:spacing w:after="0" w:line="233" w:lineRule="auto"/>
        <w:rPr>
          <w:sz w:val="20"/>
          <w:szCs w:val="20"/>
          <w:color w:val="auto"/>
        </w:rPr>
      </w:pPr>
      <w:r>
        <w:rPr>
          <w:rFonts w:ascii="Verdana" w:cs="Verdana" w:eastAsia="Verdana" w:hAnsi="Verdana"/>
          <w:sz w:val="18"/>
          <w:szCs w:val="18"/>
          <w:color w:val="auto"/>
        </w:rPr>
        <w:t>For purposes of this Agreement, TSR for the Company and each of the Peer Group Members shall be measured by dividing (A) the difference between the average closing price of a share of such company’s common stock on the principal exchange on which such stock trades for the twenty (20) trading days occurring immediately after and including the first day of the Performance Period (the “</w:t>
      </w:r>
      <w:r>
        <w:rPr>
          <w:rFonts w:ascii="Verdana" w:cs="Verdana" w:eastAsia="Verdana" w:hAnsi="Verdana"/>
          <w:sz w:val="18"/>
          <w:szCs w:val="18"/>
          <w:u w:val="single" w:color="auto"/>
          <w:color w:val="auto"/>
        </w:rPr>
        <w:t>Beginning Average Value</w:t>
      </w:r>
      <w:r>
        <w:rPr>
          <w:rFonts w:ascii="Verdana" w:cs="Verdana" w:eastAsia="Verdana" w:hAnsi="Verdana"/>
          <w:sz w:val="18"/>
          <w:szCs w:val="18"/>
          <w:color w:val="auto"/>
        </w:rPr>
        <w:t>”) including the impact of dividends that are reinvested on the ex-dividend date and the average closing price of a share of such stock on the principal exchange on which such stock trades for the twenty (20) trading days immediately prior to and including the last day of the Performance Period (the “</w:t>
      </w:r>
      <w:r>
        <w:rPr>
          <w:rFonts w:ascii="Verdana" w:cs="Verdana" w:eastAsia="Verdana" w:hAnsi="Verdana"/>
          <w:sz w:val="18"/>
          <w:szCs w:val="18"/>
          <w:u w:val="single" w:color="auto"/>
          <w:color w:val="auto"/>
        </w:rPr>
        <w:t>Ending Average Value</w:t>
      </w:r>
      <w:r>
        <w:rPr>
          <w:rFonts w:ascii="Verdana" w:cs="Verdana" w:eastAsia="Verdana" w:hAnsi="Verdana"/>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LEGAL\81347992\6</w:t>
      </w:r>
    </w:p>
    <w:p>
      <w:pPr>
        <w:spacing w:after="0" w:line="7" w:lineRule="exact"/>
        <w:rPr>
          <w:sz w:val="20"/>
          <w:szCs w:val="20"/>
          <w:color w:val="auto"/>
        </w:rPr>
      </w:pPr>
    </w:p>
    <w:p>
      <w:pPr>
        <w:spacing w:after="0"/>
        <w:rPr>
          <w:sz w:val="20"/>
          <w:szCs w:val="20"/>
          <w:color w:val="auto"/>
        </w:rPr>
      </w:pPr>
      <w:r>
        <w:rPr>
          <w:rFonts w:ascii="Verdana" w:cs="Verdana" w:eastAsia="Verdana" w:hAnsi="Verdana"/>
          <w:sz w:val="14"/>
          <w:szCs w:val="14"/>
          <w:color w:val="auto"/>
        </w:rPr>
        <w:t>2026 RPSU Agreement (CEO)</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640"/>
        <w:spacing w:after="0" w:line="237" w:lineRule="auto"/>
        <w:rPr>
          <w:sz w:val="20"/>
          <w:szCs w:val="20"/>
          <w:color w:val="auto"/>
        </w:rPr>
      </w:pPr>
      <w:r>
        <w:rPr>
          <w:rFonts w:ascii="Verdana" w:cs="Verdana" w:eastAsia="Verdana" w:hAnsi="Verdana"/>
          <w:sz w:val="18"/>
          <w:szCs w:val="18"/>
          <w:color w:val="auto"/>
        </w:rPr>
        <w:t>(appropriately adjusted for any stock dividend, stock split, spin-off, merger or other similar corporate events affecting such stock) including the impact of dividends that are reinvested on the ex-dividend date, by (B) the Beginning Average Value.</w:t>
      </w:r>
    </w:p>
    <w:p>
      <w:pPr>
        <w:spacing w:after="0" w:line="194" w:lineRule="exact"/>
        <w:rPr>
          <w:sz w:val="20"/>
          <w:szCs w:val="20"/>
          <w:color w:val="auto"/>
        </w:rPr>
      </w:pPr>
    </w:p>
    <w:p>
      <w:pPr>
        <w:jc w:val="both"/>
        <w:ind w:left="640"/>
        <w:spacing w:after="0" w:line="235" w:lineRule="auto"/>
        <w:rPr>
          <w:sz w:val="20"/>
          <w:szCs w:val="20"/>
          <w:color w:val="auto"/>
        </w:rPr>
      </w:pPr>
      <w:r>
        <w:rPr>
          <w:rFonts w:ascii="Verdana" w:cs="Verdana" w:eastAsia="Verdana" w:hAnsi="Verdana"/>
          <w:sz w:val="18"/>
          <w:szCs w:val="18"/>
          <w:color w:val="auto"/>
        </w:rPr>
        <w:t xml:space="preserve">For the avoidance of doubt, it is intended that the foregoing calculation of TSR shall take into account not only the reinvestment of dividends in a share of common stock of the Company or any Peer Group Member, as applicable, but also capital appreciation or depreciation in the shares deemed acquired by such reinvestment. All determinations under this </w:t>
      </w:r>
      <w:r>
        <w:rPr>
          <w:rFonts w:ascii="Verdana" w:cs="Verdana" w:eastAsia="Verdana" w:hAnsi="Verdana"/>
          <w:sz w:val="18"/>
          <w:szCs w:val="18"/>
          <w:u w:val="single" w:color="auto"/>
          <w:color w:val="auto"/>
        </w:rPr>
        <w:t>Section 2(d)</w:t>
      </w:r>
      <w:r>
        <w:rPr>
          <w:rFonts w:ascii="Verdana" w:cs="Verdana" w:eastAsia="Verdana" w:hAnsi="Verdana"/>
          <w:sz w:val="18"/>
          <w:szCs w:val="18"/>
          <w:color w:val="auto"/>
        </w:rPr>
        <w:t xml:space="preserve"> shall be made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144145</wp:posOffset>
            </wp:positionV>
            <wp:extent cx="6224905" cy="5429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64">
                      <a:extLst>
                        <a:ext uri="{28A0092B-C50C-407E-A947-70E740481C1C}"/>
                      </a:extLst>
                    </a:blip>
                    <a:srcRect/>
                    <a:stretch>
                      <a:fillRect/>
                    </a:stretch>
                  </pic:blipFill>
                  <pic:spPr bwMode="auto">
                    <a:xfrm>
                      <a:off x="0" y="0"/>
                      <a:ext cx="6224905" cy="542925"/>
                    </a:xfrm>
                    <a:prstGeom prst="rect">
                      <a:avLst/>
                    </a:prstGeom>
                    <a:noFill/>
                  </pic:spPr>
                </pic:pic>
              </a:graphicData>
            </a:graphic>
          </wp:anchor>
        </w:drawing>
      </w:r>
    </w:p>
    <w:p>
      <w:pPr>
        <w:spacing w:after="0" w:line="268" w:lineRule="exact"/>
        <w:rPr>
          <w:sz w:val="20"/>
          <w:szCs w:val="20"/>
          <w:color w:val="auto"/>
        </w:rPr>
      </w:pPr>
    </w:p>
    <w:p>
      <w:pPr>
        <w:ind w:left="660"/>
        <w:spacing w:after="0"/>
        <w:rPr>
          <w:sz w:val="20"/>
          <w:szCs w:val="20"/>
          <w:color w:val="auto"/>
        </w:rPr>
      </w:pPr>
      <w:r>
        <w:rPr>
          <w:rFonts w:ascii="Verdana" w:cs="Verdana" w:eastAsia="Verdana" w:hAnsi="Verdana"/>
          <w:sz w:val="18"/>
          <w:szCs w:val="18"/>
          <w:color w:val="DADADA"/>
        </w:rPr>
        <w:t>-</w:t>
      </w:r>
      <w:r>
        <w:rPr>
          <w:rFonts w:ascii="Verdana" w:cs="Verdana" w:eastAsia="Verdana" w:hAnsi="Verdana"/>
          <w:sz w:val="18"/>
          <w:szCs w:val="18"/>
          <w:b w:val="1"/>
          <w:bCs w:val="1"/>
          <w:color w:val="0A070C"/>
        </w:rPr>
        <w:t>Illu</w:t>
      </w:r>
      <w:r>
        <w:rPr>
          <w:rFonts w:ascii="Verdana" w:cs="Verdana" w:eastAsia="Verdana" w:hAnsi="Verdana"/>
          <w:sz w:val="18"/>
          <w:szCs w:val="18"/>
          <w:b w:val="1"/>
          <w:bCs w:val="1"/>
          <w:color w:val="231C26"/>
        </w:rPr>
        <w:t>s</w:t>
      </w:r>
      <w:r>
        <w:rPr>
          <w:rFonts w:ascii="Verdana" w:cs="Verdana" w:eastAsia="Verdana" w:hAnsi="Verdana"/>
          <w:sz w:val="18"/>
          <w:szCs w:val="18"/>
          <w:b w:val="1"/>
          <w:bCs w:val="1"/>
          <w:color w:val="0A070C"/>
        </w:rPr>
        <w:t>tration of formula d</w:t>
      </w:r>
      <w:r>
        <w:rPr>
          <w:rFonts w:ascii="Verdana" w:cs="Verdana" w:eastAsia="Verdana" w:hAnsi="Verdana"/>
          <w:sz w:val="18"/>
          <w:szCs w:val="18"/>
          <w:b w:val="1"/>
          <w:bCs w:val="1"/>
          <w:color w:val="231C26"/>
        </w:rPr>
        <w:t>esc</w:t>
      </w:r>
      <w:r>
        <w:rPr>
          <w:rFonts w:ascii="Verdana" w:cs="Verdana" w:eastAsia="Verdana" w:hAnsi="Verdana"/>
          <w:sz w:val="18"/>
          <w:szCs w:val="18"/>
          <w:b w:val="1"/>
          <w:bCs w:val="1"/>
          <w:color w:val="0A070C"/>
        </w:rPr>
        <w:t>ribed above</w:t>
      </w:r>
    </w:p>
    <w:p>
      <w:pPr>
        <w:spacing w:after="0" w:line="84" w:lineRule="exact"/>
        <w:rPr>
          <w:sz w:val="20"/>
          <w:szCs w:val="20"/>
          <w:color w:val="auto"/>
        </w:rPr>
      </w:pPr>
    </w:p>
    <w:p>
      <w:pPr>
        <w:ind w:left="660"/>
        <w:spacing w:after="0"/>
        <w:tabs>
          <w:tab w:leader="none" w:pos="3100" w:val="left"/>
          <w:tab w:leader="none" w:pos="3500" w:val="left"/>
        </w:tabs>
        <w:rPr>
          <w:sz w:val="20"/>
          <w:szCs w:val="20"/>
          <w:color w:val="auto"/>
        </w:rPr>
      </w:pPr>
      <w:r>
        <w:rPr>
          <w:rFonts w:ascii="Verdana" w:cs="Verdana" w:eastAsia="Verdana" w:hAnsi="Verdana"/>
          <w:sz w:val="18"/>
          <w:szCs w:val="18"/>
          <w:color w:val="0A070C"/>
        </w:rPr>
        <w:t>T</w:t>
      </w:r>
      <w:r>
        <w:rPr>
          <w:rFonts w:ascii="Verdana" w:cs="Verdana" w:eastAsia="Verdana" w:hAnsi="Verdana"/>
          <w:sz w:val="18"/>
          <w:szCs w:val="18"/>
          <w:color w:val="231C26"/>
        </w:rPr>
        <w:t>ota</w:t>
      </w:r>
      <w:r>
        <w:rPr>
          <w:rFonts w:ascii="Verdana" w:cs="Verdana" w:eastAsia="Verdana" w:hAnsi="Verdana"/>
          <w:sz w:val="18"/>
          <w:szCs w:val="18"/>
          <w:color w:val="4F3D36"/>
        </w:rPr>
        <w:t>l</w:t>
      </w:r>
      <w:r>
        <w:rPr>
          <w:rFonts w:ascii="Verdana" w:cs="Verdana" w:eastAsia="Verdana" w:hAnsi="Verdana"/>
          <w:sz w:val="18"/>
          <w:szCs w:val="18"/>
          <w:color w:val="0A070C"/>
        </w:rPr>
        <w:t xml:space="preserve"> </w:t>
      </w:r>
      <w:r>
        <w:rPr>
          <w:rFonts w:ascii="Verdana" w:cs="Verdana" w:eastAsia="Verdana" w:hAnsi="Verdana"/>
          <w:sz w:val="18"/>
          <w:szCs w:val="18"/>
          <w:color w:val="231C26"/>
        </w:rPr>
        <w:t>Shareho</w:t>
      </w:r>
      <w:r>
        <w:rPr>
          <w:rFonts w:ascii="Verdana" w:cs="Verdana" w:eastAsia="Verdana" w:hAnsi="Verdana"/>
          <w:sz w:val="18"/>
          <w:szCs w:val="18"/>
          <w:color w:val="4F3D36"/>
        </w:rPr>
        <w:t>l</w:t>
      </w:r>
      <w:r>
        <w:rPr>
          <w:rFonts w:ascii="Verdana" w:cs="Verdana" w:eastAsia="Verdana" w:hAnsi="Verdana"/>
          <w:sz w:val="18"/>
          <w:szCs w:val="18"/>
          <w:color w:val="231C26"/>
        </w:rPr>
        <w:t>der Return</w:t>
      </w:r>
      <w:r>
        <w:rPr>
          <w:rFonts w:ascii="Verdana" w:cs="Verdana" w:eastAsia="Verdana" w:hAnsi="Verdana"/>
          <w:sz w:val="18"/>
          <w:szCs w:val="18"/>
          <w:color w:val="0A070C"/>
        </w:rPr>
        <w:tab/>
        <w:t>=</w:t>
      </w:r>
      <w:r>
        <w:rPr>
          <w:sz w:val="20"/>
          <w:szCs w:val="20"/>
          <w:color w:val="auto"/>
        </w:rPr>
        <w:tab/>
      </w:r>
      <w:r>
        <w:rPr>
          <w:rFonts w:ascii="Verdana" w:cs="Verdana" w:eastAsia="Verdana" w:hAnsi="Verdana"/>
          <w:sz w:val="16"/>
          <w:szCs w:val="16"/>
          <w:u w:val="single" w:color="auto"/>
          <w:color w:val="0A070C"/>
        </w:rPr>
        <w:t>E</w:t>
      </w:r>
      <w:r>
        <w:rPr>
          <w:rFonts w:ascii="Verdana" w:cs="Verdana" w:eastAsia="Verdana" w:hAnsi="Verdana"/>
          <w:sz w:val="16"/>
          <w:szCs w:val="16"/>
          <w:u w:val="single" w:color="auto"/>
          <w:color w:val="231C26"/>
        </w:rPr>
        <w:t>nding Average Value - Beginning Average Value</w:t>
      </w:r>
    </w:p>
    <w:p>
      <w:pPr>
        <w:spacing w:after="0" w:line="18" w:lineRule="exact"/>
        <w:rPr>
          <w:sz w:val="20"/>
          <w:szCs w:val="20"/>
          <w:color w:val="auto"/>
        </w:rPr>
      </w:pPr>
    </w:p>
    <w:p>
      <w:pPr>
        <w:ind w:left="1160"/>
        <w:spacing w:after="0"/>
        <w:rPr>
          <w:sz w:val="20"/>
          <w:szCs w:val="20"/>
          <w:color w:val="auto"/>
        </w:rPr>
      </w:pPr>
      <w:r>
        <w:rPr>
          <w:rFonts w:ascii="Verdana" w:cs="Verdana" w:eastAsia="Verdana" w:hAnsi="Verdana"/>
          <w:sz w:val="18"/>
          <w:szCs w:val="18"/>
          <w:color w:val="0A070C"/>
        </w:rPr>
        <w:t>B</w:t>
      </w:r>
      <w:r>
        <w:rPr>
          <w:rFonts w:ascii="Verdana" w:cs="Verdana" w:eastAsia="Verdana" w:hAnsi="Verdana"/>
          <w:sz w:val="18"/>
          <w:szCs w:val="18"/>
          <w:color w:val="231C26"/>
        </w:rPr>
        <w:t>eg</w:t>
      </w:r>
      <w:r>
        <w:rPr>
          <w:rFonts w:ascii="Verdana" w:cs="Verdana" w:eastAsia="Verdana" w:hAnsi="Verdana"/>
          <w:sz w:val="18"/>
          <w:szCs w:val="18"/>
          <w:color w:val="4F3D36"/>
        </w:rPr>
        <w:t>i</w:t>
      </w:r>
      <w:r>
        <w:rPr>
          <w:rFonts w:ascii="Verdana" w:cs="Verdana" w:eastAsia="Verdana" w:hAnsi="Verdana"/>
          <w:sz w:val="18"/>
          <w:szCs w:val="18"/>
          <w:color w:val="151C3D"/>
        </w:rPr>
        <w:t>nn</w:t>
      </w:r>
      <w:r>
        <w:rPr>
          <w:rFonts w:ascii="Verdana" w:cs="Verdana" w:eastAsia="Verdana" w:hAnsi="Verdana"/>
          <w:sz w:val="18"/>
          <w:szCs w:val="18"/>
          <w:color w:val="4F3D36"/>
        </w:rPr>
        <w:t>i</w:t>
      </w:r>
      <w:r>
        <w:rPr>
          <w:rFonts w:ascii="Verdana" w:cs="Verdana" w:eastAsia="Verdana" w:hAnsi="Verdana"/>
          <w:sz w:val="18"/>
          <w:szCs w:val="18"/>
          <w:color w:val="151C3D"/>
        </w:rPr>
        <w:t>ng</w:t>
      </w:r>
      <w:r>
        <w:rPr>
          <w:rFonts w:ascii="Verdana" w:cs="Verdana" w:eastAsia="Verdana" w:hAnsi="Verdana"/>
          <w:sz w:val="18"/>
          <w:szCs w:val="18"/>
          <w:color w:val="0A070C"/>
        </w:rPr>
        <w:t xml:space="preserve"> </w:t>
      </w:r>
      <w:r>
        <w:rPr>
          <w:rFonts w:ascii="Verdana" w:cs="Verdana" w:eastAsia="Verdana" w:hAnsi="Verdana"/>
          <w:sz w:val="18"/>
          <w:szCs w:val="18"/>
          <w:color w:val="231C26"/>
        </w:rPr>
        <w:t>Average Value</w:t>
      </w:r>
    </w:p>
    <w:p>
      <w:pPr>
        <w:spacing w:after="0" w:line="294" w:lineRule="exact"/>
        <w:rPr>
          <w:sz w:val="20"/>
          <w:szCs w:val="20"/>
          <w:color w:val="auto"/>
        </w:rPr>
      </w:pPr>
    </w:p>
    <w:p>
      <w:pPr>
        <w:ind w:left="620" w:hanging="615"/>
        <w:spacing w:after="0"/>
        <w:tabs>
          <w:tab w:leader="none" w:pos="620" w:val="left"/>
        </w:tabs>
        <w:numPr>
          <w:ilvl w:val="0"/>
          <w:numId w:val="216"/>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Settl</w:t>
      </w:r>
      <w:r>
        <w:rPr>
          <w:rFonts w:ascii="Verdana" w:cs="Verdana" w:eastAsia="Verdana" w:hAnsi="Verdana"/>
          <w:sz w:val="18"/>
          <w:szCs w:val="18"/>
          <w:b w:val="1"/>
          <w:bCs w:val="1"/>
          <w:color w:val="231C26"/>
        </w:rPr>
        <w:t>e</w:t>
      </w:r>
      <w:r>
        <w:rPr>
          <w:rFonts w:ascii="Verdana" w:cs="Verdana" w:eastAsia="Verdana" w:hAnsi="Verdana"/>
          <w:sz w:val="18"/>
          <w:szCs w:val="18"/>
          <w:b w:val="1"/>
          <w:bCs w:val="1"/>
          <w:color w:val="auto"/>
        </w:rPr>
        <w:t>m</w:t>
      </w:r>
      <w:r>
        <w:rPr>
          <w:rFonts w:ascii="Verdana" w:cs="Verdana" w:eastAsia="Verdana" w:hAnsi="Verdana"/>
          <w:sz w:val="18"/>
          <w:szCs w:val="18"/>
          <w:b w:val="1"/>
          <w:bCs w:val="1"/>
          <w:color w:val="231C26"/>
        </w:rPr>
        <w:t>e</w:t>
      </w:r>
      <w:r>
        <w:rPr>
          <w:rFonts w:ascii="Verdana" w:cs="Verdana" w:eastAsia="Verdana" w:hAnsi="Verdana"/>
          <w:sz w:val="18"/>
          <w:szCs w:val="18"/>
          <w:b w:val="1"/>
          <w:bCs w:val="1"/>
          <w:color w:val="auto"/>
        </w:rPr>
        <w:t>nt of Fin</w:t>
      </w:r>
      <w:r>
        <w:rPr>
          <w:rFonts w:ascii="Verdana" w:cs="Verdana" w:eastAsia="Verdana" w:hAnsi="Verdana"/>
          <w:sz w:val="18"/>
          <w:szCs w:val="18"/>
          <w:b w:val="1"/>
          <w:bCs w:val="1"/>
          <w:color w:val="231C26"/>
        </w:rPr>
        <w:t>a</w:t>
      </w:r>
      <w:r>
        <w:rPr>
          <w:rFonts w:ascii="Verdana" w:cs="Verdana" w:eastAsia="Verdana" w:hAnsi="Verdana"/>
          <w:sz w:val="18"/>
          <w:szCs w:val="18"/>
          <w:b w:val="1"/>
          <w:bCs w:val="1"/>
          <w:color w:val="auto"/>
        </w:rPr>
        <w:t>l Award</w:t>
      </w:r>
    </w:p>
    <w:p>
      <w:pPr>
        <w:spacing w:after="0" w:line="202" w:lineRule="exact"/>
        <w:rPr>
          <w:rFonts w:ascii="Verdana" w:cs="Verdana" w:eastAsia="Verdana" w:hAnsi="Verdana"/>
          <w:sz w:val="18"/>
          <w:szCs w:val="18"/>
          <w:b w:val="1"/>
          <w:bCs w:val="1"/>
          <w:color w:val="auto"/>
        </w:rPr>
      </w:pPr>
    </w:p>
    <w:p>
      <w:pPr>
        <w:jc w:val="both"/>
        <w:ind w:left="640"/>
        <w:spacing w:after="0" w:line="232" w:lineRule="auto"/>
        <w:rPr>
          <w:rFonts w:ascii="Verdana" w:cs="Verdana" w:eastAsia="Verdana" w:hAnsi="Verdana"/>
          <w:sz w:val="18"/>
          <w:szCs w:val="18"/>
          <w:b w:val="1"/>
          <w:bCs w:val="1"/>
          <w:color w:val="auto"/>
        </w:rPr>
      </w:pPr>
      <w:r>
        <w:rPr>
          <w:rFonts w:ascii="Verdana" w:cs="Verdana" w:eastAsia="Verdana" w:hAnsi="Verdana"/>
          <w:sz w:val="18"/>
          <w:szCs w:val="18"/>
          <w:color w:val="auto"/>
        </w:rPr>
        <w:t xml:space="preserve">As </w:t>
      </w:r>
      <w:r>
        <w:rPr>
          <w:rFonts w:ascii="Verdana" w:cs="Verdana" w:eastAsia="Verdana" w:hAnsi="Verdana"/>
          <w:sz w:val="18"/>
          <w:szCs w:val="18"/>
          <w:color w:val="151C3D"/>
        </w:rPr>
        <w:t>soon</w:t>
      </w:r>
      <w:r>
        <w:rPr>
          <w:rFonts w:ascii="Verdana" w:cs="Verdana" w:eastAsia="Verdana" w:hAnsi="Verdana"/>
          <w:sz w:val="18"/>
          <w:szCs w:val="18"/>
          <w:color w:val="auto"/>
        </w:rPr>
        <w:t xml:space="preserve"> as reasonab</w:t>
      </w:r>
      <w:r>
        <w:rPr>
          <w:rFonts w:ascii="Verdana" w:cs="Verdana" w:eastAsia="Verdana" w:hAnsi="Verdana"/>
          <w:sz w:val="18"/>
          <w:szCs w:val="18"/>
          <w:color w:val="4F3D36"/>
        </w:rPr>
        <w:t>l</w:t>
      </w:r>
      <w:r>
        <w:rPr>
          <w:rFonts w:ascii="Verdana" w:cs="Verdana" w:eastAsia="Verdana" w:hAnsi="Verdana"/>
          <w:sz w:val="18"/>
          <w:szCs w:val="18"/>
          <w:color w:val="auto"/>
        </w:rPr>
        <w:t>y practicable following complet</w:t>
      </w:r>
      <w:r>
        <w:rPr>
          <w:rFonts w:ascii="Verdana" w:cs="Verdana" w:eastAsia="Verdana" w:hAnsi="Verdana"/>
          <w:sz w:val="18"/>
          <w:szCs w:val="18"/>
          <w:color w:val="4F3D36"/>
        </w:rPr>
        <w:t>i</w:t>
      </w:r>
      <w:r>
        <w:rPr>
          <w:rFonts w:ascii="Verdana" w:cs="Verdana" w:eastAsia="Verdana" w:hAnsi="Verdana"/>
          <w:sz w:val="18"/>
          <w:szCs w:val="18"/>
          <w:color w:val="auto"/>
        </w:rPr>
        <w:t>on of all determ</w:t>
      </w:r>
      <w:r>
        <w:rPr>
          <w:rFonts w:ascii="Verdana" w:cs="Verdana" w:eastAsia="Verdana" w:hAnsi="Verdana"/>
          <w:sz w:val="18"/>
          <w:szCs w:val="18"/>
          <w:color w:val="4F3D36"/>
        </w:rPr>
        <w:t>i</w:t>
      </w:r>
      <w:r>
        <w:rPr>
          <w:rFonts w:ascii="Verdana" w:cs="Verdana" w:eastAsia="Verdana" w:hAnsi="Verdana"/>
          <w:sz w:val="18"/>
          <w:szCs w:val="18"/>
          <w:color w:val="auto"/>
        </w:rPr>
        <w:t>nations and certifications contemp</w:t>
      </w:r>
      <w:r>
        <w:rPr>
          <w:rFonts w:ascii="Verdana" w:cs="Verdana" w:eastAsia="Verdana" w:hAnsi="Verdana"/>
          <w:sz w:val="18"/>
          <w:szCs w:val="18"/>
          <w:color w:val="4F3D36"/>
        </w:rPr>
        <w:t>l</w:t>
      </w:r>
      <w:r>
        <w:rPr>
          <w:rFonts w:ascii="Verdana" w:cs="Verdana" w:eastAsia="Verdana" w:hAnsi="Verdana"/>
          <w:sz w:val="18"/>
          <w:szCs w:val="18"/>
          <w:color w:val="auto"/>
        </w:rPr>
        <w:t xml:space="preserve">ated by </w:t>
      </w:r>
      <w:r>
        <w:rPr>
          <w:rFonts w:ascii="Verdana" w:cs="Verdana" w:eastAsia="Verdana" w:hAnsi="Verdana"/>
          <w:sz w:val="18"/>
          <w:szCs w:val="18"/>
          <w:u w:val="single" w:color="auto"/>
          <w:color w:val="auto"/>
        </w:rPr>
        <w:t>Sections</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0A070C"/>
        </w:rPr>
        <w:t>1</w:t>
      </w:r>
      <w:r>
        <w:rPr>
          <w:rFonts w:ascii="Verdana" w:cs="Verdana" w:eastAsia="Verdana" w:hAnsi="Verdana"/>
          <w:sz w:val="18"/>
          <w:szCs w:val="18"/>
          <w:color w:val="auto"/>
        </w:rPr>
        <w:t xml:space="preserve"> and </w:t>
      </w:r>
      <w:r>
        <w:rPr>
          <w:rFonts w:ascii="Verdana" w:cs="Verdana" w:eastAsia="Verdana" w:hAnsi="Verdana"/>
          <w:sz w:val="18"/>
          <w:szCs w:val="18"/>
          <w:u w:val="single" w:color="auto"/>
          <w:color w:val="auto"/>
        </w:rPr>
        <w:t>2</w:t>
      </w:r>
      <w:r>
        <w:rPr>
          <w:rFonts w:ascii="Verdana" w:cs="Verdana" w:eastAsia="Verdana" w:hAnsi="Verdana"/>
          <w:sz w:val="18"/>
          <w:szCs w:val="18"/>
          <w:i w:val="1"/>
          <w:iCs w:val="1"/>
          <w:color w:val="auto"/>
        </w:rPr>
        <w:t>,</w:t>
      </w:r>
      <w:r>
        <w:rPr>
          <w:rFonts w:ascii="Verdana" w:cs="Verdana" w:eastAsia="Verdana" w:hAnsi="Verdana"/>
          <w:sz w:val="18"/>
          <w:szCs w:val="18"/>
          <w:color w:val="auto"/>
        </w:rPr>
        <w:t xml:space="preserve"> but </w:t>
      </w:r>
      <w:r>
        <w:rPr>
          <w:rFonts w:ascii="Verdana" w:cs="Verdana" w:eastAsia="Verdana" w:hAnsi="Verdana"/>
          <w:sz w:val="18"/>
          <w:szCs w:val="18"/>
          <w:color w:val="151C3D"/>
        </w:rPr>
        <w:t>in</w:t>
      </w:r>
      <w:r>
        <w:rPr>
          <w:rFonts w:ascii="Verdana" w:cs="Verdana" w:eastAsia="Verdana" w:hAnsi="Verdana"/>
          <w:sz w:val="18"/>
          <w:szCs w:val="18"/>
          <w:color w:val="auto"/>
        </w:rPr>
        <w:t xml:space="preserve"> no event later than </w:t>
      </w:r>
      <w:r>
        <w:rPr>
          <w:rFonts w:ascii="Verdana" w:cs="Verdana" w:eastAsia="Verdana" w:hAnsi="Verdana"/>
          <w:sz w:val="18"/>
          <w:szCs w:val="18"/>
          <w:color w:val="151C3D"/>
        </w:rPr>
        <w:t>March</w:t>
      </w:r>
      <w:r>
        <w:rPr>
          <w:rFonts w:ascii="Verdana" w:cs="Verdana" w:eastAsia="Verdana" w:hAnsi="Verdana"/>
          <w:sz w:val="18"/>
          <w:szCs w:val="18"/>
          <w:color w:val="auto"/>
        </w:rPr>
        <w:t xml:space="preserve"> </w:t>
      </w:r>
      <w:r>
        <w:rPr>
          <w:rFonts w:ascii="Verdana" w:cs="Verdana" w:eastAsia="Verdana" w:hAnsi="Verdana"/>
          <w:sz w:val="18"/>
          <w:szCs w:val="18"/>
          <w:color w:val="0A070C"/>
        </w:rPr>
        <w:t>1</w:t>
      </w:r>
      <w:r>
        <w:rPr>
          <w:rFonts w:ascii="Verdana" w:cs="Verdana" w:eastAsia="Verdana" w:hAnsi="Verdana"/>
          <w:sz w:val="18"/>
          <w:szCs w:val="18"/>
          <w:color w:val="auto"/>
        </w:rPr>
        <w:t>5 of the yea</w:t>
      </w:r>
      <w:r>
        <w:rPr>
          <w:rFonts w:ascii="Verdana" w:cs="Verdana" w:eastAsia="Verdana" w:hAnsi="Verdana"/>
          <w:sz w:val="18"/>
          <w:szCs w:val="18"/>
          <w:color w:val="0A070C"/>
        </w:rPr>
        <w:t>r</w:t>
      </w:r>
      <w:r>
        <w:rPr>
          <w:rFonts w:ascii="Verdana" w:cs="Verdana" w:eastAsia="Verdana" w:hAnsi="Verdana"/>
          <w:sz w:val="18"/>
          <w:szCs w:val="18"/>
          <w:color w:val="auto"/>
        </w:rPr>
        <w:t xml:space="preserve"> follow</w:t>
      </w:r>
      <w:r>
        <w:rPr>
          <w:rFonts w:ascii="Verdana" w:cs="Verdana" w:eastAsia="Verdana" w:hAnsi="Verdana"/>
          <w:sz w:val="18"/>
          <w:szCs w:val="18"/>
          <w:color w:val="4F3D36"/>
        </w:rPr>
        <w:t>i</w:t>
      </w:r>
      <w:r>
        <w:rPr>
          <w:rFonts w:ascii="Verdana" w:cs="Verdana" w:eastAsia="Verdana" w:hAnsi="Verdana"/>
          <w:sz w:val="18"/>
          <w:szCs w:val="18"/>
          <w:color w:val="auto"/>
        </w:rPr>
        <w:t xml:space="preserve">ng the year </w:t>
      </w:r>
      <w:r>
        <w:rPr>
          <w:rFonts w:ascii="Verdana" w:cs="Verdana" w:eastAsia="Verdana" w:hAnsi="Verdana"/>
          <w:sz w:val="18"/>
          <w:szCs w:val="18"/>
          <w:color w:val="151C3D"/>
        </w:rPr>
        <w:t>in</w:t>
      </w:r>
      <w:r>
        <w:rPr>
          <w:rFonts w:ascii="Verdana" w:cs="Verdana" w:eastAsia="Verdana" w:hAnsi="Verdana"/>
          <w:sz w:val="18"/>
          <w:szCs w:val="18"/>
          <w:color w:val="auto"/>
        </w:rPr>
        <w:t xml:space="preserve"> which the Performance Per</w:t>
      </w:r>
      <w:r>
        <w:rPr>
          <w:rFonts w:ascii="Verdana" w:cs="Verdana" w:eastAsia="Verdana" w:hAnsi="Verdana"/>
          <w:sz w:val="18"/>
          <w:szCs w:val="18"/>
          <w:color w:val="4F3D36"/>
        </w:rPr>
        <w:t>i</w:t>
      </w:r>
      <w:r>
        <w:rPr>
          <w:rFonts w:ascii="Verdana" w:cs="Verdana" w:eastAsia="Verdana" w:hAnsi="Verdana"/>
          <w:sz w:val="18"/>
          <w:szCs w:val="18"/>
          <w:color w:val="auto"/>
        </w:rPr>
        <w:t>od ends, subject to satisfaction of applicable tax withholding ob</w:t>
      </w:r>
      <w:r>
        <w:rPr>
          <w:rFonts w:ascii="Verdana" w:cs="Verdana" w:eastAsia="Verdana" w:hAnsi="Verdana"/>
          <w:sz w:val="18"/>
          <w:szCs w:val="18"/>
          <w:color w:val="4F3D36"/>
        </w:rPr>
        <w:t>l</w:t>
      </w:r>
      <w:r>
        <w:rPr>
          <w:rFonts w:ascii="Verdana" w:cs="Verdana" w:eastAsia="Verdana" w:hAnsi="Verdana"/>
          <w:sz w:val="18"/>
          <w:szCs w:val="18"/>
          <w:color w:val="151C3D"/>
        </w:rPr>
        <w:t>igations</w:t>
      </w:r>
      <w:r>
        <w:rPr>
          <w:rFonts w:ascii="Verdana" w:cs="Verdana" w:eastAsia="Verdana" w:hAnsi="Verdana"/>
          <w:sz w:val="18"/>
          <w:szCs w:val="18"/>
          <w:color w:val="auto"/>
        </w:rPr>
        <w:t xml:space="preserve"> in accordance with </w:t>
      </w:r>
      <w:r>
        <w:rPr>
          <w:rFonts w:ascii="Verdana" w:cs="Verdana" w:eastAsia="Verdana" w:hAnsi="Verdana"/>
          <w:sz w:val="18"/>
          <w:szCs w:val="18"/>
          <w:u w:val="single" w:color="auto"/>
          <w:color w:val="auto"/>
        </w:rPr>
        <w:t>Section</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0A070C"/>
        </w:rPr>
        <w:t>1</w:t>
      </w:r>
      <w:r>
        <w:rPr>
          <w:rFonts w:ascii="Verdana" w:cs="Verdana" w:eastAsia="Verdana" w:hAnsi="Verdana"/>
          <w:sz w:val="18"/>
          <w:szCs w:val="18"/>
          <w:u w:val="single" w:color="auto"/>
          <w:color w:val="auto"/>
        </w:rPr>
        <w:t>2(g),</w:t>
      </w:r>
      <w:r>
        <w:rPr>
          <w:rFonts w:ascii="Verdana" w:cs="Verdana" w:eastAsia="Verdana" w:hAnsi="Verdana"/>
          <w:sz w:val="18"/>
          <w:szCs w:val="18"/>
          <w:color w:val="auto"/>
        </w:rPr>
        <w:t xml:space="preserve"> the Company shall cause to be paid to the </w:t>
      </w:r>
      <w:r>
        <w:rPr>
          <w:rFonts w:ascii="Verdana" w:cs="Verdana" w:eastAsia="Verdana" w:hAnsi="Verdana"/>
          <w:sz w:val="18"/>
          <w:szCs w:val="18"/>
          <w:color w:val="0A070C"/>
        </w:rPr>
        <w:t>P</w:t>
      </w:r>
      <w:r>
        <w:rPr>
          <w:rFonts w:ascii="Verdana" w:cs="Verdana" w:eastAsia="Verdana" w:hAnsi="Verdana"/>
          <w:sz w:val="18"/>
          <w:szCs w:val="18"/>
          <w:color w:val="auto"/>
        </w:rPr>
        <w:t>articipant the number of shares of the Company’s Common Stock equal to the number of R</w:t>
      </w:r>
      <w:r>
        <w:rPr>
          <w:rFonts w:ascii="Verdana" w:cs="Verdana" w:eastAsia="Verdana" w:hAnsi="Verdana"/>
          <w:sz w:val="18"/>
          <w:szCs w:val="18"/>
          <w:color w:val="0A070C"/>
        </w:rPr>
        <w:t>P</w:t>
      </w:r>
      <w:r>
        <w:rPr>
          <w:rFonts w:ascii="Verdana" w:cs="Verdana" w:eastAsia="Verdana" w:hAnsi="Verdana"/>
          <w:sz w:val="18"/>
          <w:szCs w:val="18"/>
          <w:color w:val="auto"/>
        </w:rPr>
        <w:t xml:space="preserve">SUs representing the </w:t>
      </w:r>
      <w:r>
        <w:rPr>
          <w:rFonts w:ascii="Verdana" w:cs="Verdana" w:eastAsia="Verdana" w:hAnsi="Verdana"/>
          <w:sz w:val="18"/>
          <w:szCs w:val="18"/>
          <w:color w:val="0A070C"/>
        </w:rPr>
        <w:t>F</w:t>
      </w:r>
      <w:r>
        <w:rPr>
          <w:rFonts w:ascii="Verdana" w:cs="Verdana" w:eastAsia="Verdana" w:hAnsi="Verdana"/>
          <w:sz w:val="18"/>
          <w:szCs w:val="18"/>
          <w:color w:val="151C3D"/>
        </w:rPr>
        <w:t>inal</w:t>
      </w:r>
      <w:r>
        <w:rPr>
          <w:rFonts w:ascii="Verdana" w:cs="Verdana" w:eastAsia="Verdana" w:hAnsi="Verdana"/>
          <w:sz w:val="18"/>
          <w:szCs w:val="18"/>
          <w:color w:val="auto"/>
        </w:rPr>
        <w:t xml:space="preserve"> Award, as determined under </w:t>
      </w:r>
      <w:r>
        <w:rPr>
          <w:rFonts w:ascii="Verdana" w:cs="Verdana" w:eastAsia="Verdana" w:hAnsi="Verdana"/>
          <w:sz w:val="18"/>
          <w:szCs w:val="18"/>
          <w:u w:val="single" w:color="auto"/>
          <w:color w:val="auto"/>
        </w:rPr>
        <w:t>Sect</w:t>
      </w:r>
      <w:r>
        <w:rPr>
          <w:rFonts w:ascii="Verdana" w:cs="Verdana" w:eastAsia="Verdana" w:hAnsi="Verdana"/>
          <w:sz w:val="18"/>
          <w:szCs w:val="18"/>
          <w:u w:val="single" w:color="auto"/>
          <w:color w:val="4F3D36"/>
        </w:rPr>
        <w:t>i</w:t>
      </w:r>
      <w:r>
        <w:rPr>
          <w:rFonts w:ascii="Verdana" w:cs="Verdana" w:eastAsia="Verdana" w:hAnsi="Verdana"/>
          <w:sz w:val="18"/>
          <w:szCs w:val="18"/>
          <w:u w:val="single" w:color="auto"/>
          <w:color w:val="auto"/>
        </w:rPr>
        <w:t>on</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0A070C"/>
        </w:rPr>
        <w:t>1</w:t>
      </w:r>
      <w:r>
        <w:rPr>
          <w:rFonts w:ascii="Verdana" w:cs="Verdana" w:eastAsia="Verdana" w:hAnsi="Verdana"/>
          <w:sz w:val="18"/>
          <w:szCs w:val="18"/>
          <w:color w:val="auto"/>
        </w:rPr>
        <w:t xml:space="preserve"> of this Agreement (the “</w:t>
      </w:r>
      <w:r>
        <w:rPr>
          <w:rFonts w:ascii="Verdana" w:cs="Verdana" w:eastAsia="Verdana" w:hAnsi="Verdana"/>
          <w:sz w:val="18"/>
          <w:szCs w:val="18"/>
          <w:u w:val="single" w:color="auto"/>
          <w:color w:val="auto"/>
        </w:rPr>
        <w:t>Awarded Shares</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auto"/>
        </w:rPr>
        <w:t>prov</w:t>
      </w:r>
      <w:r>
        <w:rPr>
          <w:rFonts w:ascii="Verdana" w:cs="Verdana" w:eastAsia="Verdana" w:hAnsi="Verdana"/>
          <w:sz w:val="18"/>
          <w:szCs w:val="18"/>
          <w:u w:val="single" w:color="auto"/>
          <w:color w:val="4F3D36"/>
        </w:rPr>
        <w:t>i</w:t>
      </w:r>
      <w:r>
        <w:rPr>
          <w:rFonts w:ascii="Verdana" w:cs="Verdana" w:eastAsia="Verdana" w:hAnsi="Verdana"/>
          <w:sz w:val="18"/>
          <w:szCs w:val="18"/>
          <w:u w:val="single" w:color="auto"/>
          <w:color w:val="auto"/>
        </w:rPr>
        <w:t>ded, however,</w:t>
      </w:r>
      <w:r>
        <w:rPr>
          <w:rFonts w:ascii="Verdana" w:cs="Verdana" w:eastAsia="Verdana" w:hAnsi="Verdana"/>
          <w:sz w:val="18"/>
          <w:szCs w:val="18"/>
          <w:color w:val="auto"/>
        </w:rPr>
        <w:t xml:space="preserve"> that </w:t>
      </w:r>
      <w:r>
        <w:rPr>
          <w:rFonts w:ascii="Verdana" w:cs="Verdana" w:eastAsia="Verdana" w:hAnsi="Verdana"/>
          <w:sz w:val="18"/>
          <w:szCs w:val="18"/>
          <w:color w:val="151C3D"/>
        </w:rPr>
        <w:t>if</w:t>
      </w:r>
      <w:r>
        <w:rPr>
          <w:rFonts w:ascii="Verdana" w:cs="Verdana" w:eastAsia="Verdana" w:hAnsi="Verdana"/>
          <w:sz w:val="18"/>
          <w:szCs w:val="18"/>
          <w:color w:val="auto"/>
        </w:rPr>
        <w:t xml:space="preserve"> the </w:t>
      </w:r>
      <w:r>
        <w:rPr>
          <w:rFonts w:ascii="Verdana" w:cs="Verdana" w:eastAsia="Verdana" w:hAnsi="Verdana"/>
          <w:sz w:val="18"/>
          <w:szCs w:val="18"/>
          <w:color w:val="0A070C"/>
        </w:rPr>
        <w:t>P</w:t>
      </w:r>
      <w:r>
        <w:rPr>
          <w:rFonts w:ascii="Verdana" w:cs="Verdana" w:eastAsia="Verdana" w:hAnsi="Verdana"/>
          <w:sz w:val="18"/>
          <w:szCs w:val="18"/>
          <w:color w:val="auto"/>
        </w:rPr>
        <w:t xml:space="preserve">articipant incurs a </w:t>
      </w:r>
      <w:r>
        <w:rPr>
          <w:rFonts w:ascii="Verdana" w:cs="Verdana" w:eastAsia="Verdana" w:hAnsi="Verdana"/>
          <w:sz w:val="18"/>
          <w:szCs w:val="18"/>
          <w:color w:val="0A070C"/>
        </w:rPr>
        <w:t>T</w:t>
      </w:r>
      <w:r>
        <w:rPr>
          <w:rFonts w:ascii="Verdana" w:cs="Verdana" w:eastAsia="Verdana" w:hAnsi="Verdana"/>
          <w:sz w:val="18"/>
          <w:szCs w:val="18"/>
          <w:color w:val="auto"/>
        </w:rPr>
        <w:t xml:space="preserve">ermination of Service that qualifies for payment of a Final Award as described in </w:t>
      </w:r>
      <w:r>
        <w:rPr>
          <w:rFonts w:ascii="Verdana" w:cs="Verdana" w:eastAsia="Verdana" w:hAnsi="Verdana"/>
          <w:sz w:val="18"/>
          <w:szCs w:val="18"/>
          <w:u w:val="single" w:color="auto"/>
          <w:color w:val="auto"/>
        </w:rPr>
        <w:t>Sect</w:t>
      </w:r>
      <w:r>
        <w:rPr>
          <w:rFonts w:ascii="Verdana" w:cs="Verdana" w:eastAsia="Verdana" w:hAnsi="Verdana"/>
          <w:sz w:val="18"/>
          <w:szCs w:val="18"/>
          <w:u w:val="single" w:color="auto"/>
          <w:color w:val="4F3D36"/>
        </w:rPr>
        <w:t>i</w:t>
      </w:r>
      <w:r>
        <w:rPr>
          <w:rFonts w:ascii="Verdana" w:cs="Verdana" w:eastAsia="Verdana" w:hAnsi="Verdana"/>
          <w:sz w:val="18"/>
          <w:szCs w:val="18"/>
          <w:u w:val="single" w:color="auto"/>
          <w:color w:val="auto"/>
        </w:rPr>
        <w:t>on 8,</w:t>
      </w:r>
      <w:r>
        <w:rPr>
          <w:rFonts w:ascii="Verdana" w:cs="Verdana" w:eastAsia="Verdana" w:hAnsi="Verdana"/>
          <w:sz w:val="18"/>
          <w:szCs w:val="18"/>
          <w:color w:val="auto"/>
        </w:rPr>
        <w:t xml:space="preserve"> then such payment shall be </w:t>
      </w:r>
      <w:r>
        <w:rPr>
          <w:rFonts w:ascii="Verdana" w:cs="Verdana" w:eastAsia="Verdana" w:hAnsi="Verdana"/>
          <w:sz w:val="18"/>
          <w:szCs w:val="18"/>
          <w:color w:val="151C3D"/>
        </w:rPr>
        <w:t>made</w:t>
      </w:r>
      <w:r>
        <w:rPr>
          <w:rFonts w:ascii="Verdana" w:cs="Verdana" w:eastAsia="Verdana" w:hAnsi="Verdana"/>
          <w:sz w:val="18"/>
          <w:szCs w:val="18"/>
          <w:color w:val="auto"/>
        </w:rPr>
        <w:t xml:space="preserve"> on the next administratively </w:t>
      </w:r>
      <w:r>
        <w:rPr>
          <w:rFonts w:ascii="Verdana" w:cs="Verdana" w:eastAsia="Verdana" w:hAnsi="Verdana"/>
          <w:sz w:val="18"/>
          <w:szCs w:val="18"/>
          <w:color w:val="151C3D"/>
        </w:rPr>
        <w:t>feasible regularly</w:t>
      </w:r>
      <w:r>
        <w:rPr>
          <w:rFonts w:ascii="Verdana" w:cs="Verdana" w:eastAsia="Verdana" w:hAnsi="Verdana"/>
          <w:sz w:val="18"/>
          <w:szCs w:val="18"/>
          <w:color w:val="auto"/>
        </w:rPr>
        <w:t xml:space="preserve"> scheduled payroll da</w:t>
      </w:r>
      <w:r>
        <w:rPr>
          <w:rFonts w:ascii="Verdana" w:cs="Verdana" w:eastAsia="Verdana" w:hAnsi="Verdana"/>
          <w:sz w:val="18"/>
          <w:szCs w:val="18"/>
          <w:color w:val="0A070C"/>
        </w:rPr>
        <w:t>t</w:t>
      </w:r>
      <w:r>
        <w:rPr>
          <w:rFonts w:ascii="Verdana" w:cs="Verdana" w:eastAsia="Verdana" w:hAnsi="Verdana"/>
          <w:sz w:val="18"/>
          <w:szCs w:val="18"/>
          <w:color w:val="auto"/>
        </w:rPr>
        <w:t xml:space="preserve">e but at no </w:t>
      </w:r>
      <w:r>
        <w:rPr>
          <w:rFonts w:ascii="Verdana" w:cs="Verdana" w:eastAsia="Verdana" w:hAnsi="Verdana"/>
          <w:sz w:val="18"/>
          <w:szCs w:val="18"/>
          <w:color w:val="151C3D"/>
        </w:rPr>
        <w:t>t</w:t>
      </w:r>
      <w:r>
        <w:rPr>
          <w:rFonts w:ascii="Verdana" w:cs="Verdana" w:eastAsia="Verdana" w:hAnsi="Verdana"/>
          <w:sz w:val="18"/>
          <w:szCs w:val="18"/>
          <w:color w:val="4F3D36"/>
        </w:rPr>
        <w:t>i</w:t>
      </w:r>
      <w:r>
        <w:rPr>
          <w:rFonts w:ascii="Verdana" w:cs="Verdana" w:eastAsia="Verdana" w:hAnsi="Verdana"/>
          <w:sz w:val="18"/>
          <w:szCs w:val="18"/>
          <w:color w:val="auto"/>
        </w:rPr>
        <w:t xml:space="preserve">me more than sixty (60) days after the date a Final Award, if any, </w:t>
      </w:r>
      <w:r>
        <w:rPr>
          <w:rFonts w:ascii="Verdana" w:cs="Verdana" w:eastAsia="Verdana" w:hAnsi="Verdana"/>
          <w:sz w:val="18"/>
          <w:szCs w:val="18"/>
          <w:color w:val="4F3D36"/>
        </w:rPr>
        <w:t>i</w:t>
      </w:r>
      <w:r>
        <w:rPr>
          <w:rFonts w:ascii="Verdana" w:cs="Verdana" w:eastAsia="Verdana" w:hAnsi="Verdana"/>
          <w:sz w:val="18"/>
          <w:szCs w:val="18"/>
          <w:color w:val="auto"/>
        </w:rPr>
        <w:t>s determ</w:t>
      </w:r>
      <w:r>
        <w:rPr>
          <w:rFonts w:ascii="Verdana" w:cs="Verdana" w:eastAsia="Verdana" w:hAnsi="Verdana"/>
          <w:sz w:val="18"/>
          <w:szCs w:val="18"/>
          <w:color w:val="4F3D36"/>
        </w:rPr>
        <w:t>i</w:t>
      </w:r>
      <w:r>
        <w:rPr>
          <w:rFonts w:ascii="Verdana" w:cs="Verdana" w:eastAsia="Verdana" w:hAnsi="Verdana"/>
          <w:sz w:val="18"/>
          <w:szCs w:val="18"/>
          <w:color w:val="151C3D"/>
        </w:rPr>
        <w:t>ned</w:t>
      </w:r>
      <w:r>
        <w:rPr>
          <w:rFonts w:ascii="Verdana" w:cs="Verdana" w:eastAsia="Verdana" w:hAnsi="Verdana"/>
          <w:sz w:val="18"/>
          <w:szCs w:val="18"/>
          <w:color w:val="auto"/>
        </w:rPr>
        <w:t xml:space="preserve"> or becomes payable, as descr</w:t>
      </w:r>
      <w:r>
        <w:rPr>
          <w:rFonts w:ascii="Verdana" w:cs="Verdana" w:eastAsia="Verdana" w:hAnsi="Verdana"/>
          <w:sz w:val="18"/>
          <w:szCs w:val="18"/>
          <w:color w:val="4F3D36"/>
        </w:rPr>
        <w:t>i</w:t>
      </w:r>
      <w:r>
        <w:rPr>
          <w:rFonts w:ascii="Verdana" w:cs="Verdana" w:eastAsia="Verdana" w:hAnsi="Verdana"/>
          <w:sz w:val="18"/>
          <w:szCs w:val="18"/>
          <w:color w:val="auto"/>
        </w:rPr>
        <w:t xml:space="preserve">bed </w:t>
      </w:r>
      <w:r>
        <w:rPr>
          <w:rFonts w:ascii="Verdana" w:cs="Verdana" w:eastAsia="Verdana" w:hAnsi="Verdana"/>
          <w:sz w:val="18"/>
          <w:szCs w:val="18"/>
          <w:color w:val="151C3D"/>
        </w:rPr>
        <w:t>in</w:t>
      </w:r>
      <w:r>
        <w:rPr>
          <w:rFonts w:ascii="Verdana" w:cs="Verdana" w:eastAsia="Verdana" w:hAnsi="Verdana"/>
          <w:sz w:val="18"/>
          <w:szCs w:val="18"/>
          <w:color w:val="auto"/>
        </w:rPr>
        <w:t xml:space="preserve"> the applicable subsection of </w:t>
      </w:r>
      <w:r>
        <w:rPr>
          <w:rFonts w:ascii="Verdana" w:cs="Verdana" w:eastAsia="Verdana" w:hAnsi="Verdana"/>
          <w:sz w:val="18"/>
          <w:szCs w:val="18"/>
          <w:u w:val="single" w:color="auto"/>
          <w:color w:val="auto"/>
        </w:rPr>
        <w:t>Sect</w:t>
      </w:r>
      <w:r>
        <w:rPr>
          <w:rFonts w:ascii="Verdana" w:cs="Verdana" w:eastAsia="Verdana" w:hAnsi="Verdana"/>
          <w:sz w:val="18"/>
          <w:szCs w:val="18"/>
          <w:u w:val="single" w:color="auto"/>
          <w:color w:val="4F3D36"/>
        </w:rPr>
        <w:t>i</w:t>
      </w:r>
      <w:r>
        <w:rPr>
          <w:rFonts w:ascii="Verdana" w:cs="Verdana" w:eastAsia="Verdana" w:hAnsi="Verdana"/>
          <w:sz w:val="18"/>
          <w:szCs w:val="18"/>
          <w:u w:val="single" w:color="auto"/>
          <w:color w:val="auto"/>
        </w:rPr>
        <w:t>on 8,</w:t>
      </w:r>
      <w:r>
        <w:rPr>
          <w:rFonts w:ascii="Verdana" w:cs="Verdana" w:eastAsia="Verdana" w:hAnsi="Verdana"/>
          <w:sz w:val="18"/>
          <w:szCs w:val="18"/>
          <w:color w:val="auto"/>
        </w:rPr>
        <w:t xml:space="preserve"> and, </w:t>
      </w:r>
      <w:r>
        <w:rPr>
          <w:rFonts w:ascii="Verdana" w:cs="Verdana" w:eastAsia="Verdana" w:hAnsi="Verdana"/>
          <w:sz w:val="18"/>
          <w:szCs w:val="18"/>
          <w:color w:val="4F3D36"/>
        </w:rPr>
        <w:t>i</w:t>
      </w:r>
      <w:r>
        <w:rPr>
          <w:rFonts w:ascii="Verdana" w:cs="Verdana" w:eastAsia="Verdana" w:hAnsi="Verdana"/>
          <w:sz w:val="18"/>
          <w:szCs w:val="18"/>
          <w:color w:val="auto"/>
        </w:rPr>
        <w:t>n accordance w</w:t>
      </w:r>
      <w:r>
        <w:rPr>
          <w:rFonts w:ascii="Verdana" w:cs="Verdana" w:eastAsia="Verdana" w:hAnsi="Verdana"/>
          <w:sz w:val="18"/>
          <w:szCs w:val="18"/>
          <w:color w:val="4F3D36"/>
        </w:rPr>
        <w:t>i</w:t>
      </w:r>
      <w:r>
        <w:rPr>
          <w:rFonts w:ascii="Verdana" w:cs="Verdana" w:eastAsia="Verdana" w:hAnsi="Verdana"/>
          <w:sz w:val="18"/>
          <w:szCs w:val="18"/>
          <w:color w:val="auto"/>
        </w:rPr>
        <w:t xml:space="preserve">th </w:t>
      </w:r>
      <w:r>
        <w:rPr>
          <w:rFonts w:ascii="Verdana" w:cs="Verdana" w:eastAsia="Verdana" w:hAnsi="Verdana"/>
          <w:sz w:val="18"/>
          <w:szCs w:val="18"/>
          <w:u w:val="single" w:color="auto"/>
          <w:color w:val="auto"/>
        </w:rPr>
        <w:t>Section</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0A070C"/>
        </w:rPr>
        <w:t>1</w:t>
      </w:r>
      <w:r>
        <w:rPr>
          <w:rFonts w:ascii="Verdana" w:cs="Verdana" w:eastAsia="Verdana" w:hAnsi="Verdana"/>
          <w:sz w:val="18"/>
          <w:szCs w:val="18"/>
          <w:u w:val="single" w:color="auto"/>
          <w:color w:val="auto"/>
        </w:rPr>
        <w:t>2(g),</w:t>
      </w:r>
      <w:r>
        <w:rPr>
          <w:rFonts w:ascii="Verdana" w:cs="Verdana" w:eastAsia="Verdana" w:hAnsi="Verdana"/>
          <w:sz w:val="18"/>
          <w:szCs w:val="18"/>
          <w:color w:val="auto"/>
        </w:rPr>
        <w:t xml:space="preserve"> the </w:t>
      </w:r>
      <w:r>
        <w:rPr>
          <w:rFonts w:ascii="Verdana" w:cs="Verdana" w:eastAsia="Verdana" w:hAnsi="Verdana"/>
          <w:sz w:val="18"/>
          <w:szCs w:val="18"/>
          <w:color w:val="0A070C"/>
        </w:rPr>
        <w:t>F</w:t>
      </w:r>
      <w:r>
        <w:rPr>
          <w:rFonts w:ascii="Verdana" w:cs="Verdana" w:eastAsia="Verdana" w:hAnsi="Verdana"/>
          <w:sz w:val="18"/>
          <w:szCs w:val="18"/>
          <w:color w:val="auto"/>
        </w:rPr>
        <w:t>a</w:t>
      </w:r>
      <w:r>
        <w:rPr>
          <w:rFonts w:ascii="Verdana" w:cs="Verdana" w:eastAsia="Verdana" w:hAnsi="Verdana"/>
          <w:sz w:val="18"/>
          <w:szCs w:val="18"/>
          <w:color w:val="4F3D36"/>
        </w:rPr>
        <w:t>i</w:t>
      </w:r>
      <w:r>
        <w:rPr>
          <w:rFonts w:ascii="Verdana" w:cs="Verdana" w:eastAsia="Verdana" w:hAnsi="Verdana"/>
          <w:sz w:val="18"/>
          <w:szCs w:val="18"/>
          <w:color w:val="151C3D"/>
        </w:rPr>
        <w:t>r</w:t>
      </w:r>
      <w:r>
        <w:rPr>
          <w:rFonts w:ascii="Verdana" w:cs="Verdana" w:eastAsia="Verdana" w:hAnsi="Verdana"/>
          <w:sz w:val="18"/>
          <w:szCs w:val="18"/>
          <w:color w:val="auto"/>
        </w:rPr>
        <w:t xml:space="preserve"> Market Value of the RPSUs shall be determined as of such date, less appl</w:t>
      </w:r>
      <w:r>
        <w:rPr>
          <w:rFonts w:ascii="Verdana" w:cs="Verdana" w:eastAsia="Verdana" w:hAnsi="Verdana"/>
          <w:sz w:val="18"/>
          <w:szCs w:val="18"/>
          <w:color w:val="4F3D36"/>
        </w:rPr>
        <w:t>i</w:t>
      </w:r>
      <w:r>
        <w:rPr>
          <w:rFonts w:ascii="Verdana" w:cs="Verdana" w:eastAsia="Verdana" w:hAnsi="Verdana"/>
          <w:sz w:val="18"/>
          <w:szCs w:val="18"/>
          <w:color w:val="auto"/>
        </w:rPr>
        <w:t>cab</w:t>
      </w:r>
      <w:r>
        <w:rPr>
          <w:rFonts w:ascii="Verdana" w:cs="Verdana" w:eastAsia="Verdana" w:hAnsi="Verdana"/>
          <w:sz w:val="18"/>
          <w:szCs w:val="18"/>
          <w:color w:val="4F3D36"/>
        </w:rPr>
        <w:t>l</w:t>
      </w:r>
      <w:r>
        <w:rPr>
          <w:rFonts w:ascii="Verdana" w:cs="Verdana" w:eastAsia="Verdana" w:hAnsi="Verdana"/>
          <w:sz w:val="18"/>
          <w:szCs w:val="18"/>
          <w:color w:val="auto"/>
        </w:rPr>
        <w:t>e taxes</w:t>
      </w:r>
      <w:r>
        <w:rPr>
          <w:rFonts w:ascii="Verdana" w:cs="Verdana" w:eastAsia="Verdana" w:hAnsi="Verdana"/>
          <w:sz w:val="18"/>
          <w:szCs w:val="18"/>
          <w:color w:val="0A070C"/>
        </w:rPr>
        <w:t>.</w:t>
      </w:r>
    </w:p>
    <w:p>
      <w:pPr>
        <w:spacing w:after="0" w:line="201" w:lineRule="exact"/>
        <w:rPr>
          <w:rFonts w:ascii="Verdana" w:cs="Verdana" w:eastAsia="Verdana" w:hAnsi="Verdana"/>
          <w:sz w:val="18"/>
          <w:szCs w:val="18"/>
          <w:b w:val="1"/>
          <w:bCs w:val="1"/>
          <w:color w:val="auto"/>
        </w:rPr>
      </w:pPr>
    </w:p>
    <w:p>
      <w:pPr>
        <w:jc w:val="both"/>
        <w:ind w:left="640"/>
        <w:spacing w:after="0" w:line="234" w:lineRule="auto"/>
        <w:rPr>
          <w:rFonts w:ascii="Verdana" w:cs="Verdana" w:eastAsia="Verdana" w:hAnsi="Verdana"/>
          <w:sz w:val="18"/>
          <w:szCs w:val="18"/>
          <w:b w:val="1"/>
          <w:bCs w:val="1"/>
          <w:color w:val="auto"/>
        </w:rPr>
      </w:pPr>
      <w:r>
        <w:rPr>
          <w:rFonts w:ascii="Verdana" w:cs="Verdana" w:eastAsia="Verdana" w:hAnsi="Verdana"/>
          <w:sz w:val="18"/>
          <w:szCs w:val="18"/>
          <w:i w:val="1"/>
          <w:iCs w:val="1"/>
          <w:color w:val="auto"/>
        </w:rPr>
        <w:t>Post-Settlement Holding Period</w:t>
      </w:r>
      <w:r>
        <w:rPr>
          <w:rFonts w:ascii="Verdana" w:cs="Verdana" w:eastAsia="Verdana" w:hAnsi="Verdana"/>
          <w:sz w:val="18"/>
          <w:szCs w:val="18"/>
          <w:color w:val="auto"/>
        </w:rPr>
        <w:t>. Participant may not pledge, sell, assign or otherwise transfer the Awarded Shares</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(which shall include any stock dividends issued or issuable thereon) until one (1) year after the settlement of the Final Award (the “</w:t>
      </w:r>
      <w:r>
        <w:rPr>
          <w:rFonts w:ascii="Verdana" w:cs="Verdana" w:eastAsia="Verdana" w:hAnsi="Verdana"/>
          <w:sz w:val="18"/>
          <w:szCs w:val="18"/>
          <w:u w:val="single" w:color="auto"/>
          <w:color w:val="auto"/>
        </w:rPr>
        <w:t>Post-Settlement Holding Period</w:t>
      </w:r>
      <w:r>
        <w:rPr>
          <w:rFonts w:ascii="Verdana" w:cs="Verdana" w:eastAsia="Verdana" w:hAnsi="Verdana"/>
          <w:sz w:val="18"/>
          <w:szCs w:val="18"/>
          <w:color w:val="auto"/>
        </w:rPr>
        <w:t>”). During the Post-Settlement Holding Period, Participant will be able to vote the Awarded Shares and receive any dividends issued, if any, with respect to the Awarded Shares. Notwithstanding the foregoing, these restrictions with respect to the Awarded Shares (regardless of whether they have settled) shall immediately lapse upon Participant’s death or Disability, or a Change in Control of the Company.</w:t>
      </w:r>
    </w:p>
    <w:p>
      <w:pPr>
        <w:spacing w:after="0" w:line="194" w:lineRule="exact"/>
        <w:rPr>
          <w:rFonts w:ascii="Verdana" w:cs="Verdana" w:eastAsia="Verdana" w:hAnsi="Verdana"/>
          <w:sz w:val="18"/>
          <w:szCs w:val="18"/>
          <w:b w:val="1"/>
          <w:bCs w:val="1"/>
          <w:color w:val="auto"/>
        </w:rPr>
      </w:pPr>
    </w:p>
    <w:p>
      <w:pPr>
        <w:jc w:val="both"/>
        <w:ind w:left="640"/>
        <w:spacing w:after="0" w:line="268" w:lineRule="auto"/>
        <w:rPr>
          <w:rFonts w:ascii="Verdana" w:cs="Verdana" w:eastAsia="Verdana" w:hAnsi="Verdana"/>
          <w:sz w:val="18"/>
          <w:szCs w:val="18"/>
          <w:b w:val="1"/>
          <w:bCs w:val="1"/>
          <w:color w:val="auto"/>
        </w:rPr>
      </w:pPr>
      <w:r>
        <w:rPr>
          <w:rFonts w:ascii="Verdana" w:cs="Verdana" w:eastAsia="Verdana" w:hAnsi="Verdana"/>
          <w:sz w:val="16"/>
          <w:szCs w:val="16"/>
          <w:color w:val="auto"/>
        </w:rPr>
        <w:t>Notwi</w:t>
      </w:r>
      <w:r>
        <w:rPr>
          <w:rFonts w:ascii="Verdana" w:cs="Verdana" w:eastAsia="Verdana" w:hAnsi="Verdana"/>
          <w:sz w:val="16"/>
          <w:szCs w:val="16"/>
          <w:color w:val="0A070C"/>
        </w:rPr>
        <w:t>t</w:t>
      </w:r>
      <w:r>
        <w:rPr>
          <w:rFonts w:ascii="Verdana" w:cs="Verdana" w:eastAsia="Verdana" w:hAnsi="Verdana"/>
          <w:sz w:val="16"/>
          <w:szCs w:val="16"/>
          <w:color w:val="auto"/>
        </w:rPr>
        <w:t>hstanding the foregoing provis</w:t>
      </w:r>
      <w:r>
        <w:rPr>
          <w:rFonts w:ascii="Verdana" w:cs="Verdana" w:eastAsia="Verdana" w:hAnsi="Verdana"/>
          <w:sz w:val="16"/>
          <w:szCs w:val="16"/>
          <w:color w:val="4F3D36"/>
        </w:rPr>
        <w:t>i</w:t>
      </w:r>
      <w:r>
        <w:rPr>
          <w:rFonts w:ascii="Verdana" w:cs="Verdana" w:eastAsia="Verdana" w:hAnsi="Verdana"/>
          <w:sz w:val="16"/>
          <w:szCs w:val="16"/>
          <w:color w:val="auto"/>
        </w:rPr>
        <w:t xml:space="preserve">ons of this </w:t>
      </w:r>
      <w:r>
        <w:rPr>
          <w:rFonts w:ascii="Verdana" w:cs="Verdana" w:eastAsia="Verdana" w:hAnsi="Verdana"/>
          <w:sz w:val="16"/>
          <w:szCs w:val="16"/>
          <w:u w:val="single" w:color="auto"/>
          <w:color w:val="auto"/>
        </w:rPr>
        <w:t>Section 3</w:t>
      </w:r>
      <w:r>
        <w:rPr>
          <w:rFonts w:ascii="Verdana" w:cs="Verdana" w:eastAsia="Verdana" w:hAnsi="Verdana"/>
          <w:sz w:val="16"/>
          <w:szCs w:val="16"/>
          <w:color w:val="auto"/>
        </w:rPr>
        <w:t xml:space="preserve"> </w:t>
      </w:r>
      <w:r>
        <w:rPr>
          <w:rFonts w:ascii="Verdana" w:cs="Verdana" w:eastAsia="Verdana" w:hAnsi="Verdana"/>
          <w:sz w:val="16"/>
          <w:szCs w:val="16"/>
          <w:color w:val="151C3D"/>
        </w:rPr>
        <w:t>to</w:t>
      </w:r>
      <w:r>
        <w:rPr>
          <w:rFonts w:ascii="Verdana" w:cs="Verdana" w:eastAsia="Verdana" w:hAnsi="Verdana"/>
          <w:sz w:val="16"/>
          <w:szCs w:val="16"/>
          <w:color w:val="auto"/>
        </w:rPr>
        <w:t xml:space="preserve"> the contrary, </w:t>
      </w:r>
      <w:r>
        <w:rPr>
          <w:rFonts w:ascii="Verdana" w:cs="Verdana" w:eastAsia="Verdana" w:hAnsi="Verdana"/>
          <w:sz w:val="16"/>
          <w:szCs w:val="16"/>
          <w:color w:val="151C3D"/>
        </w:rPr>
        <w:t>if</w:t>
      </w:r>
      <w:r>
        <w:rPr>
          <w:rFonts w:ascii="Verdana" w:cs="Verdana" w:eastAsia="Verdana" w:hAnsi="Verdana"/>
          <w:sz w:val="16"/>
          <w:szCs w:val="16"/>
          <w:color w:val="auto"/>
        </w:rPr>
        <w:t xml:space="preserve"> at the time of the Participant’s separation from service within </w:t>
      </w:r>
      <w:r>
        <w:rPr>
          <w:rFonts w:ascii="Verdana" w:cs="Verdana" w:eastAsia="Verdana" w:hAnsi="Verdana"/>
          <w:sz w:val="16"/>
          <w:szCs w:val="16"/>
          <w:color w:val="151C3D"/>
        </w:rPr>
        <w:t>the</w:t>
      </w:r>
      <w:r>
        <w:rPr>
          <w:rFonts w:ascii="Verdana" w:cs="Verdana" w:eastAsia="Verdana" w:hAnsi="Verdana"/>
          <w:sz w:val="16"/>
          <w:szCs w:val="16"/>
          <w:color w:val="auto"/>
        </w:rPr>
        <w:t xml:space="preserve"> meaning of Code Section </w:t>
      </w:r>
      <w:r>
        <w:rPr>
          <w:rFonts w:ascii="Verdana" w:cs="Verdana" w:eastAsia="Verdana" w:hAnsi="Verdana"/>
          <w:sz w:val="16"/>
          <w:szCs w:val="16"/>
          <w:color w:val="0A070C"/>
        </w:rPr>
        <w:t>4</w:t>
      </w:r>
      <w:r>
        <w:rPr>
          <w:rFonts w:ascii="Verdana" w:cs="Verdana" w:eastAsia="Verdana" w:hAnsi="Verdana"/>
          <w:sz w:val="16"/>
          <w:szCs w:val="16"/>
          <w:color w:val="auto"/>
        </w:rPr>
        <w:t xml:space="preserve">09A, the </w:t>
      </w:r>
      <w:r>
        <w:rPr>
          <w:rFonts w:ascii="Verdana" w:cs="Verdana" w:eastAsia="Verdana" w:hAnsi="Verdana"/>
          <w:sz w:val="16"/>
          <w:szCs w:val="16"/>
          <w:color w:val="0A070C"/>
        </w:rPr>
        <w:t>P</w:t>
      </w:r>
      <w:r>
        <w:rPr>
          <w:rFonts w:ascii="Verdana" w:cs="Verdana" w:eastAsia="Verdana" w:hAnsi="Verdana"/>
          <w:sz w:val="16"/>
          <w:szCs w:val="16"/>
          <w:color w:val="auto"/>
        </w:rPr>
        <w:t>articipant is a “specified emp</w:t>
      </w:r>
      <w:r>
        <w:rPr>
          <w:rFonts w:ascii="Verdana" w:cs="Verdana" w:eastAsia="Verdana" w:hAnsi="Verdana"/>
          <w:sz w:val="16"/>
          <w:szCs w:val="16"/>
          <w:color w:val="4F3D36"/>
        </w:rPr>
        <w:t>l</w:t>
      </w:r>
      <w:r>
        <w:rPr>
          <w:rFonts w:ascii="Verdana" w:cs="Verdana" w:eastAsia="Verdana" w:hAnsi="Verdana"/>
          <w:sz w:val="16"/>
          <w:szCs w:val="16"/>
          <w:color w:val="auto"/>
        </w:rPr>
        <w:t>oyee” w</w:t>
      </w:r>
      <w:r>
        <w:rPr>
          <w:rFonts w:ascii="Verdana" w:cs="Verdana" w:eastAsia="Verdana" w:hAnsi="Verdana"/>
          <w:sz w:val="16"/>
          <w:szCs w:val="16"/>
          <w:color w:val="4F3D36"/>
        </w:rPr>
        <w:t>i</w:t>
      </w:r>
      <w:r>
        <w:rPr>
          <w:rFonts w:ascii="Verdana" w:cs="Verdana" w:eastAsia="Verdana" w:hAnsi="Verdana"/>
          <w:sz w:val="16"/>
          <w:szCs w:val="16"/>
          <w:color w:val="auto"/>
        </w:rPr>
        <w:t>th</w:t>
      </w:r>
      <w:r>
        <w:rPr>
          <w:rFonts w:ascii="Verdana" w:cs="Verdana" w:eastAsia="Verdana" w:hAnsi="Verdana"/>
          <w:sz w:val="16"/>
          <w:szCs w:val="16"/>
          <w:color w:val="4F3D36"/>
        </w:rPr>
        <w:t>i</w:t>
      </w:r>
      <w:r>
        <w:rPr>
          <w:rFonts w:ascii="Verdana" w:cs="Verdana" w:eastAsia="Verdana" w:hAnsi="Verdana"/>
          <w:sz w:val="16"/>
          <w:szCs w:val="16"/>
          <w:color w:val="auto"/>
        </w:rPr>
        <w:t>n the mean</w:t>
      </w:r>
      <w:r>
        <w:rPr>
          <w:rFonts w:ascii="Verdana" w:cs="Verdana" w:eastAsia="Verdana" w:hAnsi="Verdana"/>
          <w:sz w:val="16"/>
          <w:szCs w:val="16"/>
          <w:color w:val="4F3D36"/>
        </w:rPr>
        <w:t>i</w:t>
      </w:r>
      <w:r>
        <w:rPr>
          <w:rFonts w:ascii="Verdana" w:cs="Verdana" w:eastAsia="Verdana" w:hAnsi="Verdana"/>
          <w:sz w:val="16"/>
          <w:szCs w:val="16"/>
          <w:color w:val="auto"/>
        </w:rPr>
        <w:t>ng of Code Sec</w:t>
      </w:r>
      <w:r>
        <w:rPr>
          <w:rFonts w:ascii="Verdana" w:cs="Verdana" w:eastAsia="Verdana" w:hAnsi="Verdana"/>
          <w:sz w:val="16"/>
          <w:szCs w:val="16"/>
          <w:color w:val="0A070C"/>
        </w:rPr>
        <w:t>t</w:t>
      </w:r>
      <w:r>
        <w:rPr>
          <w:rFonts w:ascii="Verdana" w:cs="Verdana" w:eastAsia="Verdana" w:hAnsi="Verdana"/>
          <w:sz w:val="16"/>
          <w:szCs w:val="16"/>
          <w:color w:val="4F3D36"/>
        </w:rPr>
        <w:t>i</w:t>
      </w:r>
      <w:r>
        <w:rPr>
          <w:rFonts w:ascii="Verdana" w:cs="Verdana" w:eastAsia="Verdana" w:hAnsi="Verdana"/>
          <w:sz w:val="16"/>
          <w:szCs w:val="16"/>
          <w:color w:val="auto"/>
        </w:rPr>
        <w:t xml:space="preserve">on 409A, any payment </w:t>
      </w:r>
      <w:r>
        <w:rPr>
          <w:rFonts w:ascii="Verdana" w:cs="Verdana" w:eastAsia="Verdana" w:hAnsi="Verdana"/>
          <w:sz w:val="16"/>
          <w:szCs w:val="16"/>
          <w:color w:val="151C3D"/>
        </w:rPr>
        <w:t>hereunder</w:t>
      </w:r>
      <w:r>
        <w:rPr>
          <w:rFonts w:ascii="Verdana" w:cs="Verdana" w:eastAsia="Verdana" w:hAnsi="Verdana"/>
          <w:sz w:val="16"/>
          <w:szCs w:val="16"/>
          <w:color w:val="auto"/>
        </w:rPr>
        <w:t xml:space="preserve"> that constitutes a “deferral of compensation” under Code Section 409A and that would o</w:t>
      </w:r>
      <w:r>
        <w:rPr>
          <w:rFonts w:ascii="Verdana" w:cs="Verdana" w:eastAsia="Verdana" w:hAnsi="Verdana"/>
          <w:sz w:val="16"/>
          <w:szCs w:val="16"/>
          <w:color w:val="0A070C"/>
        </w:rPr>
        <w:t>t</w:t>
      </w:r>
      <w:r>
        <w:rPr>
          <w:rFonts w:ascii="Verdana" w:cs="Verdana" w:eastAsia="Verdana" w:hAnsi="Verdana"/>
          <w:sz w:val="16"/>
          <w:szCs w:val="16"/>
          <w:color w:val="auto"/>
        </w:rPr>
        <w:t>herw</w:t>
      </w:r>
      <w:r>
        <w:rPr>
          <w:rFonts w:ascii="Verdana" w:cs="Verdana" w:eastAsia="Verdana" w:hAnsi="Verdana"/>
          <w:sz w:val="16"/>
          <w:szCs w:val="16"/>
          <w:color w:val="4F3D36"/>
        </w:rPr>
        <w:t>i</w:t>
      </w:r>
      <w:r>
        <w:rPr>
          <w:rFonts w:ascii="Verdana" w:cs="Verdana" w:eastAsia="Verdana" w:hAnsi="Verdana"/>
          <w:sz w:val="16"/>
          <w:szCs w:val="16"/>
          <w:color w:val="auto"/>
        </w:rPr>
        <w:t>se become due on account of such separa</w:t>
      </w:r>
      <w:r>
        <w:rPr>
          <w:rFonts w:ascii="Verdana" w:cs="Verdana" w:eastAsia="Verdana" w:hAnsi="Verdana"/>
          <w:sz w:val="16"/>
          <w:szCs w:val="16"/>
          <w:color w:val="0A070C"/>
        </w:rPr>
        <w:t>t</w:t>
      </w:r>
      <w:r>
        <w:rPr>
          <w:rFonts w:ascii="Verdana" w:cs="Verdana" w:eastAsia="Verdana" w:hAnsi="Verdana"/>
          <w:sz w:val="16"/>
          <w:szCs w:val="16"/>
          <w:color w:val="auto"/>
        </w:rPr>
        <w:t>ion from service shall be de</w:t>
      </w:r>
      <w:r>
        <w:rPr>
          <w:rFonts w:ascii="Verdana" w:cs="Verdana" w:eastAsia="Verdana" w:hAnsi="Verdana"/>
          <w:sz w:val="16"/>
          <w:szCs w:val="16"/>
          <w:color w:val="4F3D36"/>
        </w:rPr>
        <w:t>l</w:t>
      </w:r>
      <w:r>
        <w:rPr>
          <w:rFonts w:ascii="Verdana" w:cs="Verdana" w:eastAsia="Verdana" w:hAnsi="Verdana"/>
          <w:sz w:val="16"/>
          <w:szCs w:val="16"/>
          <w:color w:val="auto"/>
        </w:rPr>
        <w:t xml:space="preserve">ayed, and payment shall be </w:t>
      </w:r>
      <w:r>
        <w:rPr>
          <w:rFonts w:ascii="Verdana" w:cs="Verdana" w:eastAsia="Verdana" w:hAnsi="Verdana"/>
          <w:sz w:val="16"/>
          <w:szCs w:val="16"/>
          <w:color w:val="151C3D"/>
        </w:rPr>
        <w:t>made in full upon</w:t>
      </w:r>
      <w:r>
        <w:rPr>
          <w:rFonts w:ascii="Verdana" w:cs="Verdana" w:eastAsia="Verdana" w:hAnsi="Verdana"/>
          <w:sz w:val="16"/>
          <w:szCs w:val="16"/>
          <w:color w:val="auto"/>
        </w:rPr>
        <w:t xml:space="preserve"> the earlier of (a) a date during </w:t>
      </w:r>
      <w:r>
        <w:rPr>
          <w:rFonts w:ascii="Verdana" w:cs="Verdana" w:eastAsia="Verdana" w:hAnsi="Verdana"/>
          <w:sz w:val="16"/>
          <w:szCs w:val="16"/>
          <w:color w:val="0A070C"/>
        </w:rPr>
        <w:t>t</w:t>
      </w:r>
      <w:r>
        <w:rPr>
          <w:rFonts w:ascii="Verdana" w:cs="Verdana" w:eastAsia="Verdana" w:hAnsi="Verdana"/>
          <w:sz w:val="16"/>
          <w:szCs w:val="16"/>
          <w:color w:val="auto"/>
        </w:rPr>
        <w:t xml:space="preserve">he </w:t>
      </w:r>
      <w:r>
        <w:rPr>
          <w:rFonts w:ascii="Verdana" w:cs="Verdana" w:eastAsia="Verdana" w:hAnsi="Verdana"/>
          <w:sz w:val="16"/>
          <w:szCs w:val="16"/>
          <w:color w:val="0A070C"/>
        </w:rPr>
        <w:t>t</w:t>
      </w:r>
      <w:r>
        <w:rPr>
          <w:rFonts w:ascii="Verdana" w:cs="Verdana" w:eastAsia="Verdana" w:hAnsi="Verdana"/>
          <w:sz w:val="16"/>
          <w:szCs w:val="16"/>
          <w:color w:val="auto"/>
        </w:rPr>
        <w:t xml:space="preserve">hirty (30) day period commencing six (6) </w:t>
      </w:r>
      <w:r>
        <w:rPr>
          <w:rFonts w:ascii="Verdana" w:cs="Verdana" w:eastAsia="Verdana" w:hAnsi="Verdana"/>
          <w:sz w:val="16"/>
          <w:szCs w:val="16"/>
          <w:color w:val="151C3D"/>
        </w:rPr>
        <w:t>months</w:t>
      </w:r>
      <w:r>
        <w:rPr>
          <w:rFonts w:ascii="Verdana" w:cs="Verdana" w:eastAsia="Verdana" w:hAnsi="Verdana"/>
          <w:sz w:val="16"/>
          <w:szCs w:val="16"/>
          <w:color w:val="auto"/>
        </w:rPr>
        <w:t xml:space="preserve"> and one (</w:t>
      </w:r>
      <w:r>
        <w:rPr>
          <w:rFonts w:ascii="Verdana" w:cs="Verdana" w:eastAsia="Verdana" w:hAnsi="Verdana"/>
          <w:sz w:val="16"/>
          <w:szCs w:val="16"/>
          <w:color w:val="0A070C"/>
        </w:rPr>
        <w:t>1</w:t>
      </w:r>
      <w:r>
        <w:rPr>
          <w:rFonts w:ascii="Verdana" w:cs="Verdana" w:eastAsia="Verdana" w:hAnsi="Verdana"/>
          <w:sz w:val="16"/>
          <w:szCs w:val="16"/>
          <w:color w:val="auto"/>
        </w:rPr>
        <w:t>) day following such separation from service and (b) the date of the Participant’s dea</w:t>
      </w:r>
      <w:r>
        <w:rPr>
          <w:rFonts w:ascii="Verdana" w:cs="Verdana" w:eastAsia="Verdana" w:hAnsi="Verdana"/>
          <w:sz w:val="16"/>
          <w:szCs w:val="16"/>
          <w:color w:val="0A070C"/>
        </w:rPr>
        <w:t>t</w:t>
      </w:r>
      <w:r>
        <w:rPr>
          <w:rFonts w:ascii="Verdana" w:cs="Verdana" w:eastAsia="Verdana" w:hAnsi="Verdana"/>
          <w:sz w:val="16"/>
          <w:szCs w:val="16"/>
          <w:color w:val="auto"/>
        </w:rPr>
        <w:t>h</w:t>
      </w:r>
      <w:r>
        <w:rPr>
          <w:rFonts w:ascii="Verdana" w:cs="Verdana" w:eastAsia="Verdana" w:hAnsi="Verdana"/>
          <w:sz w:val="16"/>
          <w:szCs w:val="16"/>
          <w:color w:val="0A070C"/>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6</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LEGAL\81347992\6</w:t>
      </w:r>
    </w:p>
    <w:p>
      <w:pPr>
        <w:spacing w:after="0" w:line="7" w:lineRule="exact"/>
        <w:rPr>
          <w:sz w:val="20"/>
          <w:szCs w:val="20"/>
          <w:color w:val="auto"/>
        </w:rPr>
      </w:pPr>
    </w:p>
    <w:p>
      <w:pPr>
        <w:spacing w:after="0"/>
        <w:rPr>
          <w:sz w:val="20"/>
          <w:szCs w:val="20"/>
          <w:color w:val="auto"/>
        </w:rPr>
      </w:pPr>
      <w:r>
        <w:rPr>
          <w:rFonts w:ascii="Verdana" w:cs="Verdana" w:eastAsia="Verdana" w:hAnsi="Verdana"/>
          <w:sz w:val="14"/>
          <w:szCs w:val="14"/>
          <w:color w:val="auto"/>
        </w:rPr>
        <w:t>2026 RPSU Agreement (CEO)</w:t>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20" w:hanging="615"/>
        <w:spacing w:after="0"/>
        <w:tabs>
          <w:tab w:leader="none" w:pos="620" w:val="left"/>
        </w:tabs>
        <w:numPr>
          <w:ilvl w:val="0"/>
          <w:numId w:val="217"/>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Dividend Equivalent Rights</w:t>
      </w:r>
    </w:p>
    <w:p>
      <w:pPr>
        <w:spacing w:after="0" w:line="189" w:lineRule="exact"/>
        <w:rPr>
          <w:rFonts w:ascii="Verdana" w:cs="Verdana" w:eastAsia="Verdana" w:hAnsi="Verdana"/>
          <w:sz w:val="18"/>
          <w:szCs w:val="18"/>
          <w:b w:val="1"/>
          <w:bCs w:val="1"/>
          <w:color w:val="auto"/>
        </w:rPr>
      </w:pPr>
    </w:p>
    <w:p>
      <w:pPr>
        <w:jc w:val="both"/>
        <w:ind w:left="640"/>
        <w:spacing w:after="0" w:line="232" w:lineRule="auto"/>
        <w:rPr>
          <w:rFonts w:ascii="Verdana" w:cs="Verdana" w:eastAsia="Verdana" w:hAnsi="Verdana"/>
          <w:sz w:val="18"/>
          <w:szCs w:val="18"/>
          <w:b w:val="1"/>
          <w:bCs w:val="1"/>
          <w:color w:val="auto"/>
        </w:rPr>
      </w:pPr>
      <w:r>
        <w:rPr>
          <w:rFonts w:ascii="Verdana" w:cs="Verdana" w:eastAsia="Verdana" w:hAnsi="Verdana"/>
          <w:sz w:val="18"/>
          <w:szCs w:val="18"/>
          <w:color w:val="auto"/>
        </w:rPr>
        <w:t xml:space="preserve">Cash dividends on shares of Common Stock </w:t>
      </w:r>
      <w:r>
        <w:rPr>
          <w:rFonts w:ascii="Verdana" w:cs="Verdana" w:eastAsia="Verdana" w:hAnsi="Verdana"/>
          <w:sz w:val="18"/>
          <w:szCs w:val="18"/>
          <w:color w:val="151C3D"/>
        </w:rPr>
        <w:t>issuab</w:t>
      </w:r>
      <w:r>
        <w:rPr>
          <w:rFonts w:ascii="Verdana" w:cs="Verdana" w:eastAsia="Verdana" w:hAnsi="Verdana"/>
          <w:sz w:val="18"/>
          <w:szCs w:val="18"/>
          <w:color w:val="4F3D36"/>
        </w:rPr>
        <w:t>l</w:t>
      </w:r>
      <w:r>
        <w:rPr>
          <w:rFonts w:ascii="Verdana" w:cs="Verdana" w:eastAsia="Verdana" w:hAnsi="Verdana"/>
          <w:sz w:val="18"/>
          <w:szCs w:val="18"/>
          <w:color w:val="auto"/>
        </w:rPr>
        <w:t>e hereunder shall be credited to a d</w:t>
      </w:r>
      <w:r>
        <w:rPr>
          <w:rFonts w:ascii="Verdana" w:cs="Verdana" w:eastAsia="Verdana" w:hAnsi="Verdana"/>
          <w:sz w:val="18"/>
          <w:szCs w:val="18"/>
          <w:color w:val="4F3D36"/>
        </w:rPr>
        <w:t>i</w:t>
      </w:r>
      <w:r>
        <w:rPr>
          <w:rFonts w:ascii="Verdana" w:cs="Verdana" w:eastAsia="Verdana" w:hAnsi="Verdana"/>
          <w:sz w:val="18"/>
          <w:szCs w:val="18"/>
          <w:color w:val="auto"/>
        </w:rPr>
        <w:t>vidend book entry accoun</w:t>
      </w:r>
      <w:r>
        <w:rPr>
          <w:rFonts w:ascii="Verdana" w:cs="Verdana" w:eastAsia="Verdana" w:hAnsi="Verdana"/>
          <w:sz w:val="18"/>
          <w:szCs w:val="18"/>
          <w:color w:val="0A070C"/>
        </w:rPr>
        <w:t>t</w:t>
      </w:r>
      <w:r>
        <w:rPr>
          <w:rFonts w:ascii="Verdana" w:cs="Verdana" w:eastAsia="Verdana" w:hAnsi="Verdana"/>
          <w:sz w:val="18"/>
          <w:szCs w:val="18"/>
          <w:color w:val="auto"/>
        </w:rPr>
        <w:t xml:space="preserve"> on behalf of the </w:t>
      </w:r>
      <w:r>
        <w:rPr>
          <w:rFonts w:ascii="Verdana" w:cs="Verdana" w:eastAsia="Verdana" w:hAnsi="Verdana"/>
          <w:sz w:val="18"/>
          <w:szCs w:val="18"/>
          <w:color w:val="0A070C"/>
        </w:rPr>
        <w:t>P</w:t>
      </w:r>
      <w:r>
        <w:rPr>
          <w:rFonts w:ascii="Verdana" w:cs="Verdana" w:eastAsia="Verdana" w:hAnsi="Verdana"/>
          <w:sz w:val="18"/>
          <w:szCs w:val="18"/>
          <w:color w:val="auto"/>
        </w:rPr>
        <w:t>art</w:t>
      </w:r>
      <w:r>
        <w:rPr>
          <w:rFonts w:ascii="Verdana" w:cs="Verdana" w:eastAsia="Verdana" w:hAnsi="Verdana"/>
          <w:sz w:val="18"/>
          <w:szCs w:val="18"/>
          <w:color w:val="4F3D36"/>
        </w:rPr>
        <w:t>i</w:t>
      </w:r>
      <w:r>
        <w:rPr>
          <w:rFonts w:ascii="Verdana" w:cs="Verdana" w:eastAsia="Verdana" w:hAnsi="Verdana"/>
          <w:sz w:val="18"/>
          <w:szCs w:val="18"/>
          <w:color w:val="auto"/>
        </w:rPr>
        <w:t>cipant w</w:t>
      </w:r>
      <w:r>
        <w:rPr>
          <w:rFonts w:ascii="Verdana" w:cs="Verdana" w:eastAsia="Verdana" w:hAnsi="Verdana"/>
          <w:sz w:val="18"/>
          <w:szCs w:val="18"/>
          <w:color w:val="4F3D36"/>
        </w:rPr>
        <w:t>i</w:t>
      </w:r>
      <w:r>
        <w:rPr>
          <w:rFonts w:ascii="Verdana" w:cs="Verdana" w:eastAsia="Verdana" w:hAnsi="Verdana"/>
          <w:sz w:val="18"/>
          <w:szCs w:val="18"/>
          <w:color w:val="auto"/>
        </w:rPr>
        <w:t xml:space="preserve">th respect to the </w:t>
      </w:r>
      <w:r>
        <w:rPr>
          <w:rFonts w:ascii="Verdana" w:cs="Verdana" w:eastAsia="Verdana" w:hAnsi="Verdana"/>
          <w:sz w:val="18"/>
          <w:szCs w:val="18"/>
          <w:color w:val="0A070C"/>
        </w:rPr>
        <w:t>T</w:t>
      </w:r>
      <w:r>
        <w:rPr>
          <w:rFonts w:ascii="Verdana" w:cs="Verdana" w:eastAsia="Verdana" w:hAnsi="Verdana"/>
          <w:sz w:val="18"/>
          <w:szCs w:val="18"/>
          <w:color w:val="auto"/>
        </w:rPr>
        <w:t xml:space="preserve">arget Award; </w:t>
      </w:r>
      <w:r>
        <w:rPr>
          <w:rFonts w:ascii="Verdana" w:cs="Verdana" w:eastAsia="Verdana" w:hAnsi="Verdana"/>
          <w:sz w:val="18"/>
          <w:szCs w:val="18"/>
          <w:u w:val="single" w:color="auto"/>
          <w:color w:val="auto"/>
        </w:rPr>
        <w:t>provided</w:t>
      </w:r>
      <w:r>
        <w:rPr>
          <w:rFonts w:ascii="Verdana" w:cs="Verdana" w:eastAsia="Verdana" w:hAnsi="Verdana"/>
          <w:sz w:val="18"/>
          <w:szCs w:val="18"/>
          <w:color w:val="auto"/>
        </w:rPr>
        <w:t xml:space="preserve"> that such cash dividends shall be deemed to be reinvested in shares of Common Stock </w:t>
      </w:r>
      <w:r>
        <w:rPr>
          <w:rFonts w:ascii="Verdana" w:cs="Verdana" w:eastAsia="Verdana" w:hAnsi="Verdana"/>
          <w:sz w:val="18"/>
          <w:szCs w:val="18"/>
          <w:color w:val="4F3D36"/>
        </w:rPr>
        <w:t>i</w:t>
      </w:r>
      <w:r>
        <w:rPr>
          <w:rFonts w:ascii="Verdana" w:cs="Verdana" w:eastAsia="Verdana" w:hAnsi="Verdana"/>
          <w:sz w:val="18"/>
          <w:szCs w:val="18"/>
          <w:color w:val="151C3D"/>
        </w:rPr>
        <w:t>mmediate</w:t>
      </w:r>
      <w:r>
        <w:rPr>
          <w:rFonts w:ascii="Verdana" w:cs="Verdana" w:eastAsia="Verdana" w:hAnsi="Verdana"/>
          <w:sz w:val="18"/>
          <w:szCs w:val="18"/>
          <w:color w:val="4F3D36"/>
        </w:rPr>
        <w:t>l</w:t>
      </w:r>
      <w:r>
        <w:rPr>
          <w:rFonts w:ascii="Verdana" w:cs="Verdana" w:eastAsia="Verdana" w:hAnsi="Verdana"/>
          <w:sz w:val="18"/>
          <w:szCs w:val="18"/>
          <w:color w:val="auto"/>
        </w:rPr>
        <w:t xml:space="preserve">y following </w:t>
      </w:r>
      <w:r>
        <w:rPr>
          <w:rFonts w:ascii="Verdana" w:cs="Verdana" w:eastAsia="Verdana" w:hAnsi="Verdana"/>
          <w:sz w:val="18"/>
          <w:szCs w:val="18"/>
          <w:color w:val="0A070C"/>
        </w:rPr>
        <w:t>t</w:t>
      </w:r>
      <w:r>
        <w:rPr>
          <w:rFonts w:ascii="Verdana" w:cs="Verdana" w:eastAsia="Verdana" w:hAnsi="Verdana"/>
          <w:sz w:val="18"/>
          <w:szCs w:val="18"/>
          <w:color w:val="auto"/>
        </w:rPr>
        <w:t>he t</w:t>
      </w:r>
      <w:r>
        <w:rPr>
          <w:rFonts w:ascii="Verdana" w:cs="Verdana" w:eastAsia="Verdana" w:hAnsi="Verdana"/>
          <w:sz w:val="18"/>
          <w:szCs w:val="18"/>
          <w:color w:val="4F3D36"/>
        </w:rPr>
        <w:t>i</w:t>
      </w:r>
      <w:r>
        <w:rPr>
          <w:rFonts w:ascii="Verdana" w:cs="Verdana" w:eastAsia="Verdana" w:hAnsi="Verdana"/>
          <w:sz w:val="18"/>
          <w:szCs w:val="18"/>
          <w:color w:val="auto"/>
        </w:rPr>
        <w:t xml:space="preserve">me declared at the </w:t>
      </w:r>
      <w:r>
        <w:rPr>
          <w:rFonts w:ascii="Verdana" w:cs="Verdana" w:eastAsia="Verdana" w:hAnsi="Verdana"/>
          <w:sz w:val="18"/>
          <w:szCs w:val="18"/>
          <w:color w:val="0A070C"/>
        </w:rPr>
        <w:t>t</w:t>
      </w:r>
      <w:r>
        <w:rPr>
          <w:rFonts w:ascii="Verdana" w:cs="Verdana" w:eastAsia="Verdana" w:hAnsi="Verdana"/>
          <w:sz w:val="18"/>
          <w:szCs w:val="18"/>
          <w:color w:val="auto"/>
        </w:rPr>
        <w:t xml:space="preserve">hen </w:t>
      </w:r>
      <w:r>
        <w:rPr>
          <w:rFonts w:ascii="Verdana" w:cs="Verdana" w:eastAsia="Verdana" w:hAnsi="Verdana"/>
          <w:sz w:val="18"/>
          <w:szCs w:val="18"/>
          <w:color w:val="0A070C"/>
        </w:rPr>
        <w:t>F</w:t>
      </w:r>
      <w:r>
        <w:rPr>
          <w:rFonts w:ascii="Verdana" w:cs="Verdana" w:eastAsia="Verdana" w:hAnsi="Verdana"/>
          <w:sz w:val="18"/>
          <w:szCs w:val="18"/>
          <w:color w:val="auto"/>
        </w:rPr>
        <w:t xml:space="preserve">air </w:t>
      </w:r>
      <w:r>
        <w:rPr>
          <w:rFonts w:ascii="Verdana" w:cs="Verdana" w:eastAsia="Verdana" w:hAnsi="Verdana"/>
          <w:sz w:val="18"/>
          <w:szCs w:val="18"/>
          <w:color w:val="151C3D"/>
        </w:rPr>
        <w:t>Market</w:t>
      </w:r>
      <w:r>
        <w:rPr>
          <w:rFonts w:ascii="Verdana" w:cs="Verdana" w:eastAsia="Verdana" w:hAnsi="Verdana"/>
          <w:sz w:val="18"/>
          <w:szCs w:val="18"/>
          <w:color w:val="auto"/>
        </w:rPr>
        <w:t xml:space="preserve"> Va</w:t>
      </w:r>
      <w:r>
        <w:rPr>
          <w:rFonts w:ascii="Verdana" w:cs="Verdana" w:eastAsia="Verdana" w:hAnsi="Verdana"/>
          <w:sz w:val="18"/>
          <w:szCs w:val="18"/>
          <w:color w:val="4F3D36"/>
        </w:rPr>
        <w:t>l</w:t>
      </w:r>
      <w:r>
        <w:rPr>
          <w:rFonts w:ascii="Verdana" w:cs="Verdana" w:eastAsia="Verdana" w:hAnsi="Verdana"/>
          <w:sz w:val="18"/>
          <w:szCs w:val="18"/>
          <w:color w:val="auto"/>
        </w:rPr>
        <w:t>ue of the Common Stock and shall be paid at the same t</w:t>
      </w:r>
      <w:r>
        <w:rPr>
          <w:rFonts w:ascii="Verdana" w:cs="Verdana" w:eastAsia="Verdana" w:hAnsi="Verdana"/>
          <w:sz w:val="18"/>
          <w:szCs w:val="18"/>
          <w:color w:val="4F3D36"/>
        </w:rPr>
        <w:t>i</w:t>
      </w:r>
      <w:r>
        <w:rPr>
          <w:rFonts w:ascii="Verdana" w:cs="Verdana" w:eastAsia="Verdana" w:hAnsi="Verdana"/>
          <w:sz w:val="18"/>
          <w:szCs w:val="18"/>
          <w:color w:val="151C3D"/>
        </w:rPr>
        <w:t>me</w:t>
      </w:r>
      <w:r>
        <w:rPr>
          <w:rFonts w:ascii="Verdana" w:cs="Verdana" w:eastAsia="Verdana" w:hAnsi="Verdana"/>
          <w:sz w:val="18"/>
          <w:szCs w:val="18"/>
          <w:color w:val="auto"/>
        </w:rPr>
        <w:t xml:space="preserve"> </w:t>
      </w:r>
      <w:r>
        <w:rPr>
          <w:rFonts w:ascii="Verdana" w:cs="Verdana" w:eastAsia="Verdana" w:hAnsi="Verdana"/>
          <w:sz w:val="18"/>
          <w:szCs w:val="18"/>
          <w:color w:val="0A070C"/>
        </w:rPr>
        <w:t>t</w:t>
      </w:r>
      <w:r>
        <w:rPr>
          <w:rFonts w:ascii="Verdana" w:cs="Verdana" w:eastAsia="Verdana" w:hAnsi="Verdana"/>
          <w:sz w:val="18"/>
          <w:szCs w:val="18"/>
          <w:color w:val="auto"/>
        </w:rPr>
        <w:t xml:space="preserve">hat </w:t>
      </w:r>
      <w:r>
        <w:rPr>
          <w:rFonts w:ascii="Verdana" w:cs="Verdana" w:eastAsia="Verdana" w:hAnsi="Verdana"/>
          <w:sz w:val="18"/>
          <w:szCs w:val="18"/>
          <w:color w:val="0A070C"/>
        </w:rPr>
        <w:t>t</w:t>
      </w:r>
      <w:r>
        <w:rPr>
          <w:rFonts w:ascii="Verdana" w:cs="Verdana" w:eastAsia="Verdana" w:hAnsi="Verdana"/>
          <w:sz w:val="18"/>
          <w:szCs w:val="18"/>
          <w:color w:val="auto"/>
        </w:rPr>
        <w:t xml:space="preserve">he Final Award </w:t>
      </w:r>
      <w:r>
        <w:rPr>
          <w:rFonts w:ascii="Verdana" w:cs="Verdana" w:eastAsia="Verdana" w:hAnsi="Verdana"/>
          <w:sz w:val="18"/>
          <w:szCs w:val="18"/>
          <w:color w:val="151C3D"/>
        </w:rPr>
        <w:t>is</w:t>
      </w:r>
      <w:r>
        <w:rPr>
          <w:rFonts w:ascii="Verdana" w:cs="Verdana" w:eastAsia="Verdana" w:hAnsi="Verdana"/>
          <w:sz w:val="18"/>
          <w:szCs w:val="18"/>
          <w:color w:val="auto"/>
        </w:rPr>
        <w:t xml:space="preserve"> delivered to the </w:t>
      </w:r>
      <w:r>
        <w:rPr>
          <w:rFonts w:ascii="Verdana" w:cs="Verdana" w:eastAsia="Verdana" w:hAnsi="Verdana"/>
          <w:sz w:val="18"/>
          <w:szCs w:val="18"/>
          <w:color w:val="0A070C"/>
        </w:rPr>
        <w:t>P</w:t>
      </w:r>
      <w:r>
        <w:rPr>
          <w:rFonts w:ascii="Verdana" w:cs="Verdana" w:eastAsia="Verdana" w:hAnsi="Verdana"/>
          <w:sz w:val="18"/>
          <w:szCs w:val="18"/>
          <w:color w:val="auto"/>
        </w:rPr>
        <w:t>art</w:t>
      </w:r>
      <w:r>
        <w:rPr>
          <w:rFonts w:ascii="Verdana" w:cs="Verdana" w:eastAsia="Verdana" w:hAnsi="Verdana"/>
          <w:sz w:val="18"/>
          <w:szCs w:val="18"/>
          <w:color w:val="4F3D36"/>
        </w:rPr>
        <w:t>i</w:t>
      </w:r>
      <w:r>
        <w:rPr>
          <w:rFonts w:ascii="Verdana" w:cs="Verdana" w:eastAsia="Verdana" w:hAnsi="Verdana"/>
          <w:sz w:val="18"/>
          <w:szCs w:val="18"/>
          <w:color w:val="auto"/>
        </w:rPr>
        <w:t>cipant in accordance wi</w:t>
      </w:r>
      <w:r>
        <w:rPr>
          <w:rFonts w:ascii="Verdana" w:cs="Verdana" w:eastAsia="Verdana" w:hAnsi="Verdana"/>
          <w:sz w:val="18"/>
          <w:szCs w:val="18"/>
          <w:color w:val="0A070C"/>
        </w:rPr>
        <w:t>t</w:t>
      </w:r>
      <w:r>
        <w:rPr>
          <w:rFonts w:ascii="Verdana" w:cs="Verdana" w:eastAsia="Verdana" w:hAnsi="Verdana"/>
          <w:sz w:val="18"/>
          <w:szCs w:val="18"/>
          <w:color w:val="auto"/>
        </w:rPr>
        <w:t>h the prov</w:t>
      </w:r>
      <w:r>
        <w:rPr>
          <w:rFonts w:ascii="Verdana" w:cs="Verdana" w:eastAsia="Verdana" w:hAnsi="Verdana"/>
          <w:sz w:val="18"/>
          <w:szCs w:val="18"/>
          <w:color w:val="4F3D36"/>
        </w:rPr>
        <w:t>i</w:t>
      </w:r>
      <w:r>
        <w:rPr>
          <w:rFonts w:ascii="Verdana" w:cs="Verdana" w:eastAsia="Verdana" w:hAnsi="Verdana"/>
          <w:sz w:val="18"/>
          <w:szCs w:val="18"/>
          <w:color w:val="auto"/>
        </w:rPr>
        <w:t>s</w:t>
      </w:r>
      <w:r>
        <w:rPr>
          <w:rFonts w:ascii="Verdana" w:cs="Verdana" w:eastAsia="Verdana" w:hAnsi="Verdana"/>
          <w:sz w:val="18"/>
          <w:szCs w:val="18"/>
          <w:color w:val="4F3D36"/>
        </w:rPr>
        <w:t>i</w:t>
      </w:r>
      <w:r>
        <w:rPr>
          <w:rFonts w:ascii="Verdana" w:cs="Verdana" w:eastAsia="Verdana" w:hAnsi="Verdana"/>
          <w:sz w:val="18"/>
          <w:szCs w:val="18"/>
          <w:color w:val="auto"/>
        </w:rPr>
        <w:t>ons hereof</w:t>
      </w:r>
      <w:r>
        <w:rPr>
          <w:rFonts w:ascii="Verdana" w:cs="Verdana" w:eastAsia="Verdana" w:hAnsi="Verdana"/>
          <w:sz w:val="18"/>
          <w:szCs w:val="18"/>
          <w:color w:val="0A070C"/>
        </w:rPr>
        <w:t>.</w:t>
      </w:r>
      <w:r>
        <w:rPr>
          <w:rFonts w:ascii="Verdana" w:cs="Verdana" w:eastAsia="Verdana" w:hAnsi="Verdana"/>
          <w:sz w:val="18"/>
          <w:szCs w:val="18"/>
          <w:color w:val="auto"/>
        </w:rPr>
        <w:t xml:space="preserve"> Stock div</w:t>
      </w:r>
      <w:r>
        <w:rPr>
          <w:rFonts w:ascii="Verdana" w:cs="Verdana" w:eastAsia="Verdana" w:hAnsi="Verdana"/>
          <w:sz w:val="18"/>
          <w:szCs w:val="18"/>
          <w:color w:val="4F3D36"/>
        </w:rPr>
        <w:t>i</w:t>
      </w:r>
      <w:r>
        <w:rPr>
          <w:rFonts w:ascii="Verdana" w:cs="Verdana" w:eastAsia="Verdana" w:hAnsi="Verdana"/>
          <w:sz w:val="18"/>
          <w:szCs w:val="18"/>
          <w:color w:val="auto"/>
        </w:rPr>
        <w:t xml:space="preserve">dends on shares of Common Stock </w:t>
      </w:r>
      <w:r>
        <w:rPr>
          <w:rFonts w:ascii="Verdana" w:cs="Verdana" w:eastAsia="Verdana" w:hAnsi="Verdana"/>
          <w:sz w:val="18"/>
          <w:szCs w:val="18"/>
          <w:color w:val="4F3D36"/>
        </w:rPr>
        <w:t>i</w:t>
      </w:r>
      <w:r>
        <w:rPr>
          <w:rFonts w:ascii="Verdana" w:cs="Verdana" w:eastAsia="Verdana" w:hAnsi="Verdana"/>
          <w:sz w:val="18"/>
          <w:szCs w:val="18"/>
          <w:color w:val="auto"/>
        </w:rPr>
        <w:t xml:space="preserve">ssuable hereunder shall be credited </w:t>
      </w:r>
      <w:r>
        <w:rPr>
          <w:rFonts w:ascii="Verdana" w:cs="Verdana" w:eastAsia="Verdana" w:hAnsi="Verdana"/>
          <w:sz w:val="18"/>
          <w:szCs w:val="18"/>
          <w:color w:val="151C3D"/>
        </w:rPr>
        <w:t>to</w:t>
      </w:r>
      <w:r>
        <w:rPr>
          <w:rFonts w:ascii="Verdana" w:cs="Verdana" w:eastAsia="Verdana" w:hAnsi="Verdana"/>
          <w:sz w:val="18"/>
          <w:szCs w:val="18"/>
          <w:color w:val="auto"/>
        </w:rPr>
        <w:t xml:space="preserve"> a dividend book entry account on behalf of the </w:t>
      </w:r>
      <w:r>
        <w:rPr>
          <w:rFonts w:ascii="Verdana" w:cs="Verdana" w:eastAsia="Verdana" w:hAnsi="Verdana"/>
          <w:sz w:val="18"/>
          <w:szCs w:val="18"/>
          <w:color w:val="0A070C"/>
        </w:rPr>
        <w:t>P</w:t>
      </w:r>
      <w:r>
        <w:rPr>
          <w:rFonts w:ascii="Verdana" w:cs="Verdana" w:eastAsia="Verdana" w:hAnsi="Verdana"/>
          <w:sz w:val="18"/>
          <w:szCs w:val="18"/>
          <w:color w:val="auto"/>
        </w:rPr>
        <w:t>art</w:t>
      </w:r>
      <w:r>
        <w:rPr>
          <w:rFonts w:ascii="Verdana" w:cs="Verdana" w:eastAsia="Verdana" w:hAnsi="Verdana"/>
          <w:sz w:val="18"/>
          <w:szCs w:val="18"/>
          <w:color w:val="4F3D36"/>
        </w:rPr>
        <w:t>i</w:t>
      </w:r>
      <w:r>
        <w:rPr>
          <w:rFonts w:ascii="Verdana" w:cs="Verdana" w:eastAsia="Verdana" w:hAnsi="Verdana"/>
          <w:sz w:val="18"/>
          <w:szCs w:val="18"/>
          <w:color w:val="auto"/>
        </w:rPr>
        <w:t xml:space="preserve">cipant with respect to the </w:t>
      </w:r>
      <w:r>
        <w:rPr>
          <w:rFonts w:ascii="Verdana" w:cs="Verdana" w:eastAsia="Verdana" w:hAnsi="Verdana"/>
          <w:sz w:val="18"/>
          <w:szCs w:val="18"/>
          <w:color w:val="0A070C"/>
        </w:rPr>
        <w:t>T</w:t>
      </w:r>
      <w:r>
        <w:rPr>
          <w:rFonts w:ascii="Verdana" w:cs="Verdana" w:eastAsia="Verdana" w:hAnsi="Verdana"/>
          <w:sz w:val="18"/>
          <w:szCs w:val="18"/>
          <w:color w:val="auto"/>
        </w:rPr>
        <w:t xml:space="preserve">arget Award; </w:t>
      </w:r>
      <w:r>
        <w:rPr>
          <w:rFonts w:ascii="Verdana" w:cs="Verdana" w:eastAsia="Verdana" w:hAnsi="Verdana"/>
          <w:sz w:val="18"/>
          <w:szCs w:val="18"/>
          <w:u w:val="single" w:color="auto"/>
          <w:color w:val="auto"/>
        </w:rPr>
        <w:t>prov</w:t>
      </w:r>
      <w:r>
        <w:rPr>
          <w:rFonts w:ascii="Verdana" w:cs="Verdana" w:eastAsia="Verdana" w:hAnsi="Verdana"/>
          <w:sz w:val="18"/>
          <w:szCs w:val="18"/>
          <w:u w:val="single" w:color="auto"/>
          <w:color w:val="4F3D36"/>
        </w:rPr>
        <w:t>i</w:t>
      </w:r>
      <w:r>
        <w:rPr>
          <w:rFonts w:ascii="Verdana" w:cs="Verdana" w:eastAsia="Verdana" w:hAnsi="Verdana"/>
          <w:sz w:val="18"/>
          <w:szCs w:val="18"/>
          <w:u w:val="single" w:color="auto"/>
          <w:color w:val="auto"/>
        </w:rPr>
        <w:t>ded</w:t>
      </w:r>
      <w:r>
        <w:rPr>
          <w:rFonts w:ascii="Verdana" w:cs="Verdana" w:eastAsia="Verdana" w:hAnsi="Verdana"/>
          <w:sz w:val="18"/>
          <w:szCs w:val="18"/>
          <w:color w:val="auto"/>
        </w:rPr>
        <w:t xml:space="preserve"> that such stock d</w:t>
      </w:r>
      <w:r>
        <w:rPr>
          <w:rFonts w:ascii="Verdana" w:cs="Verdana" w:eastAsia="Verdana" w:hAnsi="Verdana"/>
          <w:sz w:val="18"/>
          <w:szCs w:val="18"/>
          <w:color w:val="4F3D36"/>
        </w:rPr>
        <w:t>i</w:t>
      </w:r>
      <w:r>
        <w:rPr>
          <w:rFonts w:ascii="Verdana" w:cs="Verdana" w:eastAsia="Verdana" w:hAnsi="Verdana"/>
          <w:sz w:val="18"/>
          <w:szCs w:val="18"/>
          <w:color w:val="auto"/>
        </w:rPr>
        <w:t>vidends shall be pa</w:t>
      </w:r>
      <w:r>
        <w:rPr>
          <w:rFonts w:ascii="Verdana" w:cs="Verdana" w:eastAsia="Verdana" w:hAnsi="Verdana"/>
          <w:sz w:val="18"/>
          <w:szCs w:val="18"/>
          <w:color w:val="4F3D36"/>
        </w:rPr>
        <w:t>i</w:t>
      </w:r>
      <w:r>
        <w:rPr>
          <w:rFonts w:ascii="Verdana" w:cs="Verdana" w:eastAsia="Verdana" w:hAnsi="Verdana"/>
          <w:sz w:val="18"/>
          <w:szCs w:val="18"/>
          <w:color w:val="auto"/>
        </w:rPr>
        <w:t>d at the same t</w:t>
      </w:r>
      <w:r>
        <w:rPr>
          <w:rFonts w:ascii="Verdana" w:cs="Verdana" w:eastAsia="Verdana" w:hAnsi="Verdana"/>
          <w:sz w:val="18"/>
          <w:szCs w:val="18"/>
          <w:color w:val="4F3D36"/>
        </w:rPr>
        <w:t>i</w:t>
      </w:r>
      <w:r>
        <w:rPr>
          <w:rFonts w:ascii="Verdana" w:cs="Verdana" w:eastAsia="Verdana" w:hAnsi="Verdana"/>
          <w:sz w:val="18"/>
          <w:szCs w:val="18"/>
          <w:color w:val="151C3D"/>
        </w:rPr>
        <w:t>me</w:t>
      </w:r>
      <w:r>
        <w:rPr>
          <w:rFonts w:ascii="Verdana" w:cs="Verdana" w:eastAsia="Verdana" w:hAnsi="Verdana"/>
          <w:sz w:val="18"/>
          <w:szCs w:val="18"/>
          <w:color w:val="auto"/>
        </w:rPr>
        <w:t xml:space="preserve"> tha</w:t>
      </w:r>
      <w:r>
        <w:rPr>
          <w:rFonts w:ascii="Verdana" w:cs="Verdana" w:eastAsia="Verdana" w:hAnsi="Verdana"/>
          <w:sz w:val="18"/>
          <w:szCs w:val="18"/>
          <w:color w:val="0A070C"/>
        </w:rPr>
        <w:t>t</w:t>
      </w:r>
      <w:r>
        <w:rPr>
          <w:rFonts w:ascii="Verdana" w:cs="Verdana" w:eastAsia="Verdana" w:hAnsi="Verdana"/>
          <w:sz w:val="18"/>
          <w:szCs w:val="18"/>
          <w:color w:val="auto"/>
        </w:rPr>
        <w:t xml:space="preserve"> the Final Award is del</w:t>
      </w:r>
      <w:r>
        <w:rPr>
          <w:rFonts w:ascii="Verdana" w:cs="Verdana" w:eastAsia="Verdana" w:hAnsi="Verdana"/>
          <w:sz w:val="18"/>
          <w:szCs w:val="18"/>
          <w:color w:val="4F3D36"/>
        </w:rPr>
        <w:t>i</w:t>
      </w:r>
      <w:r>
        <w:rPr>
          <w:rFonts w:ascii="Verdana" w:cs="Verdana" w:eastAsia="Verdana" w:hAnsi="Verdana"/>
          <w:sz w:val="18"/>
          <w:szCs w:val="18"/>
          <w:color w:val="auto"/>
        </w:rPr>
        <w:t xml:space="preserve">vered </w:t>
      </w:r>
      <w:r>
        <w:rPr>
          <w:rFonts w:ascii="Verdana" w:cs="Verdana" w:eastAsia="Verdana" w:hAnsi="Verdana"/>
          <w:sz w:val="18"/>
          <w:szCs w:val="18"/>
          <w:color w:val="151C3D"/>
        </w:rPr>
        <w:t>to the</w:t>
      </w:r>
      <w:r>
        <w:rPr>
          <w:rFonts w:ascii="Verdana" w:cs="Verdana" w:eastAsia="Verdana" w:hAnsi="Verdana"/>
          <w:sz w:val="18"/>
          <w:szCs w:val="18"/>
          <w:color w:val="auto"/>
        </w:rPr>
        <w:t xml:space="preserve"> </w:t>
      </w:r>
      <w:r>
        <w:rPr>
          <w:rFonts w:ascii="Verdana" w:cs="Verdana" w:eastAsia="Verdana" w:hAnsi="Verdana"/>
          <w:sz w:val="18"/>
          <w:szCs w:val="18"/>
          <w:color w:val="0A070C"/>
        </w:rPr>
        <w:t>P</w:t>
      </w:r>
      <w:r>
        <w:rPr>
          <w:rFonts w:ascii="Verdana" w:cs="Verdana" w:eastAsia="Verdana" w:hAnsi="Verdana"/>
          <w:sz w:val="18"/>
          <w:szCs w:val="18"/>
          <w:color w:val="auto"/>
        </w:rPr>
        <w:t xml:space="preserve">articipant </w:t>
      </w:r>
      <w:r>
        <w:rPr>
          <w:rFonts w:ascii="Verdana" w:cs="Verdana" w:eastAsia="Verdana" w:hAnsi="Verdana"/>
          <w:sz w:val="18"/>
          <w:szCs w:val="18"/>
          <w:color w:val="4F3D36"/>
        </w:rPr>
        <w:t>i</w:t>
      </w:r>
      <w:r>
        <w:rPr>
          <w:rFonts w:ascii="Verdana" w:cs="Verdana" w:eastAsia="Verdana" w:hAnsi="Verdana"/>
          <w:sz w:val="18"/>
          <w:szCs w:val="18"/>
          <w:color w:val="151C3D"/>
        </w:rPr>
        <w:t>n</w:t>
      </w:r>
      <w:r>
        <w:rPr>
          <w:rFonts w:ascii="Verdana" w:cs="Verdana" w:eastAsia="Verdana" w:hAnsi="Verdana"/>
          <w:sz w:val="18"/>
          <w:szCs w:val="18"/>
          <w:color w:val="auto"/>
        </w:rPr>
        <w:t xml:space="preserve"> accordance with the provisions hereof</w:t>
      </w:r>
      <w:r>
        <w:rPr>
          <w:rFonts w:ascii="Verdana" w:cs="Verdana" w:eastAsia="Verdana" w:hAnsi="Verdana"/>
          <w:sz w:val="18"/>
          <w:szCs w:val="18"/>
          <w:color w:val="0A070C"/>
        </w:rPr>
        <w:t>.</w:t>
      </w:r>
      <w:r>
        <w:rPr>
          <w:rFonts w:ascii="Verdana" w:cs="Verdana" w:eastAsia="Verdana" w:hAnsi="Verdana"/>
          <w:sz w:val="18"/>
          <w:szCs w:val="18"/>
          <w:color w:val="auto"/>
        </w:rPr>
        <w:t xml:space="preserve"> Notwi</w:t>
      </w:r>
      <w:r>
        <w:rPr>
          <w:rFonts w:ascii="Verdana" w:cs="Verdana" w:eastAsia="Verdana" w:hAnsi="Verdana"/>
          <w:sz w:val="18"/>
          <w:szCs w:val="18"/>
          <w:color w:val="0A070C"/>
        </w:rPr>
        <w:t>t</w:t>
      </w:r>
      <w:r>
        <w:rPr>
          <w:rFonts w:ascii="Verdana" w:cs="Verdana" w:eastAsia="Verdana" w:hAnsi="Verdana"/>
          <w:sz w:val="18"/>
          <w:szCs w:val="18"/>
          <w:color w:val="auto"/>
        </w:rPr>
        <w:t>hstand</w:t>
      </w:r>
      <w:r>
        <w:rPr>
          <w:rFonts w:ascii="Verdana" w:cs="Verdana" w:eastAsia="Verdana" w:hAnsi="Verdana"/>
          <w:sz w:val="18"/>
          <w:szCs w:val="18"/>
          <w:color w:val="4F3D36"/>
        </w:rPr>
        <w:t>i</w:t>
      </w:r>
      <w:r>
        <w:rPr>
          <w:rFonts w:ascii="Verdana" w:cs="Verdana" w:eastAsia="Verdana" w:hAnsi="Verdana"/>
          <w:sz w:val="18"/>
          <w:szCs w:val="18"/>
          <w:color w:val="auto"/>
        </w:rPr>
        <w:t xml:space="preserve">ng the foregoing, </w:t>
      </w:r>
      <w:r>
        <w:rPr>
          <w:rFonts w:ascii="Verdana" w:cs="Verdana" w:eastAsia="Verdana" w:hAnsi="Verdana"/>
          <w:sz w:val="18"/>
          <w:szCs w:val="18"/>
          <w:color w:val="4F3D36"/>
        </w:rPr>
        <w:t>i</w:t>
      </w:r>
      <w:r>
        <w:rPr>
          <w:rFonts w:ascii="Verdana" w:cs="Verdana" w:eastAsia="Verdana" w:hAnsi="Verdana"/>
          <w:sz w:val="18"/>
          <w:szCs w:val="18"/>
          <w:color w:val="auto"/>
        </w:rPr>
        <w:t>n the event that there are insufficient shares of Common Stock availab</w:t>
      </w:r>
      <w:r>
        <w:rPr>
          <w:rFonts w:ascii="Verdana" w:cs="Verdana" w:eastAsia="Verdana" w:hAnsi="Verdana"/>
          <w:sz w:val="18"/>
          <w:szCs w:val="18"/>
          <w:color w:val="4F3D36"/>
        </w:rPr>
        <w:t>l</w:t>
      </w:r>
      <w:r>
        <w:rPr>
          <w:rFonts w:ascii="Verdana" w:cs="Verdana" w:eastAsia="Verdana" w:hAnsi="Verdana"/>
          <w:sz w:val="18"/>
          <w:szCs w:val="18"/>
          <w:color w:val="auto"/>
        </w:rPr>
        <w:t xml:space="preserve">e </w:t>
      </w:r>
      <w:r>
        <w:rPr>
          <w:rFonts w:ascii="Verdana" w:cs="Verdana" w:eastAsia="Verdana" w:hAnsi="Verdana"/>
          <w:sz w:val="18"/>
          <w:szCs w:val="18"/>
          <w:color w:val="4F3D36"/>
        </w:rPr>
        <w:t>i</w:t>
      </w:r>
      <w:r>
        <w:rPr>
          <w:rFonts w:ascii="Verdana" w:cs="Verdana" w:eastAsia="Verdana" w:hAnsi="Verdana"/>
          <w:sz w:val="18"/>
          <w:szCs w:val="18"/>
          <w:color w:val="auto"/>
        </w:rPr>
        <w:t xml:space="preserve">n the Plan to settle the accrued dividend book entry account </w:t>
      </w:r>
      <w:r>
        <w:rPr>
          <w:rFonts w:ascii="Verdana" w:cs="Verdana" w:eastAsia="Verdana" w:hAnsi="Verdana"/>
          <w:sz w:val="18"/>
          <w:szCs w:val="18"/>
          <w:color w:val="151C3D"/>
        </w:rPr>
        <w:t>in</w:t>
      </w:r>
      <w:r>
        <w:rPr>
          <w:rFonts w:ascii="Verdana" w:cs="Verdana" w:eastAsia="Verdana" w:hAnsi="Verdana"/>
          <w:sz w:val="18"/>
          <w:szCs w:val="18"/>
          <w:color w:val="auto"/>
        </w:rPr>
        <w:t xml:space="preserve"> shares of Common Stoc</w:t>
      </w:r>
      <w:r>
        <w:rPr>
          <w:rFonts w:ascii="Verdana" w:cs="Verdana" w:eastAsia="Verdana" w:hAnsi="Verdana"/>
          <w:sz w:val="18"/>
          <w:szCs w:val="18"/>
          <w:color w:val="4F3D36"/>
        </w:rPr>
        <w:t>k</w:t>
      </w:r>
      <w:r>
        <w:rPr>
          <w:rFonts w:ascii="Verdana" w:cs="Verdana" w:eastAsia="Verdana" w:hAnsi="Verdana"/>
          <w:sz w:val="18"/>
          <w:szCs w:val="18"/>
          <w:color w:val="auto"/>
        </w:rPr>
        <w:t>, such accrued book entry account shall be sett</w:t>
      </w:r>
      <w:r>
        <w:rPr>
          <w:rFonts w:ascii="Verdana" w:cs="Verdana" w:eastAsia="Verdana" w:hAnsi="Verdana"/>
          <w:sz w:val="18"/>
          <w:szCs w:val="18"/>
          <w:color w:val="4F3D36"/>
        </w:rPr>
        <w:t>l</w:t>
      </w:r>
      <w:r>
        <w:rPr>
          <w:rFonts w:ascii="Verdana" w:cs="Verdana" w:eastAsia="Verdana" w:hAnsi="Verdana"/>
          <w:sz w:val="18"/>
          <w:szCs w:val="18"/>
          <w:color w:val="auto"/>
        </w:rPr>
        <w:t xml:space="preserve">ed </w:t>
      </w:r>
      <w:r>
        <w:rPr>
          <w:rFonts w:ascii="Verdana" w:cs="Verdana" w:eastAsia="Verdana" w:hAnsi="Verdana"/>
          <w:sz w:val="18"/>
          <w:szCs w:val="18"/>
          <w:color w:val="151C3D"/>
        </w:rPr>
        <w:t>in</w:t>
      </w:r>
      <w:r>
        <w:rPr>
          <w:rFonts w:ascii="Verdana" w:cs="Verdana" w:eastAsia="Verdana" w:hAnsi="Verdana"/>
          <w:sz w:val="18"/>
          <w:szCs w:val="18"/>
          <w:color w:val="auto"/>
        </w:rPr>
        <w:t xml:space="preserve"> cash </w:t>
      </w:r>
      <w:r>
        <w:rPr>
          <w:rFonts w:ascii="Verdana" w:cs="Verdana" w:eastAsia="Verdana" w:hAnsi="Verdana"/>
          <w:sz w:val="18"/>
          <w:szCs w:val="18"/>
          <w:color w:val="4F3D36"/>
        </w:rPr>
        <w:t>i</w:t>
      </w:r>
      <w:r>
        <w:rPr>
          <w:rFonts w:ascii="Verdana" w:cs="Verdana" w:eastAsia="Verdana" w:hAnsi="Verdana"/>
          <w:sz w:val="18"/>
          <w:szCs w:val="18"/>
          <w:color w:val="auto"/>
        </w:rPr>
        <w:t xml:space="preserve">n an amount equal to the </w:t>
      </w:r>
      <w:r>
        <w:rPr>
          <w:rFonts w:ascii="Verdana" w:cs="Verdana" w:eastAsia="Verdana" w:hAnsi="Verdana"/>
          <w:sz w:val="18"/>
          <w:szCs w:val="18"/>
          <w:color w:val="0A070C"/>
        </w:rPr>
        <w:t>F</w:t>
      </w:r>
      <w:r>
        <w:rPr>
          <w:rFonts w:ascii="Verdana" w:cs="Verdana" w:eastAsia="Verdana" w:hAnsi="Verdana"/>
          <w:sz w:val="18"/>
          <w:szCs w:val="18"/>
          <w:color w:val="auto"/>
        </w:rPr>
        <w:t>air Market Value of such shares of Common Stock at the t</w:t>
      </w:r>
      <w:r>
        <w:rPr>
          <w:rFonts w:ascii="Verdana" w:cs="Verdana" w:eastAsia="Verdana" w:hAnsi="Verdana"/>
          <w:sz w:val="18"/>
          <w:szCs w:val="18"/>
          <w:color w:val="4F3D36"/>
        </w:rPr>
        <w:t>i</w:t>
      </w:r>
      <w:r>
        <w:rPr>
          <w:rFonts w:ascii="Verdana" w:cs="Verdana" w:eastAsia="Verdana" w:hAnsi="Verdana"/>
          <w:sz w:val="18"/>
          <w:szCs w:val="18"/>
          <w:color w:val="auto"/>
        </w:rPr>
        <w:t>me of settlement</w:t>
      </w:r>
      <w:r>
        <w:rPr>
          <w:rFonts w:ascii="Verdana" w:cs="Verdana" w:eastAsia="Verdana" w:hAnsi="Verdana"/>
          <w:sz w:val="18"/>
          <w:szCs w:val="18"/>
          <w:color w:val="0A070C"/>
        </w:rPr>
        <w:t>. E</w:t>
      </w:r>
      <w:r>
        <w:rPr>
          <w:rFonts w:ascii="Verdana" w:cs="Verdana" w:eastAsia="Verdana" w:hAnsi="Verdana"/>
          <w:sz w:val="18"/>
          <w:szCs w:val="18"/>
          <w:color w:val="auto"/>
        </w:rPr>
        <w:t xml:space="preserve">xcept as otherwise provided herein, the </w:t>
      </w:r>
      <w:r>
        <w:rPr>
          <w:rFonts w:ascii="Verdana" w:cs="Verdana" w:eastAsia="Verdana" w:hAnsi="Verdana"/>
          <w:sz w:val="18"/>
          <w:szCs w:val="18"/>
          <w:color w:val="0A070C"/>
        </w:rPr>
        <w:t>P</w:t>
      </w:r>
      <w:r>
        <w:rPr>
          <w:rFonts w:ascii="Verdana" w:cs="Verdana" w:eastAsia="Verdana" w:hAnsi="Verdana"/>
          <w:sz w:val="18"/>
          <w:szCs w:val="18"/>
          <w:color w:val="auto"/>
        </w:rPr>
        <w:t>art</w:t>
      </w:r>
      <w:r>
        <w:rPr>
          <w:rFonts w:ascii="Verdana" w:cs="Verdana" w:eastAsia="Verdana" w:hAnsi="Verdana"/>
          <w:sz w:val="18"/>
          <w:szCs w:val="18"/>
          <w:color w:val="4F3D36"/>
        </w:rPr>
        <w:t>i</w:t>
      </w:r>
      <w:r>
        <w:rPr>
          <w:rFonts w:ascii="Verdana" w:cs="Verdana" w:eastAsia="Verdana" w:hAnsi="Verdana"/>
          <w:sz w:val="18"/>
          <w:szCs w:val="18"/>
          <w:color w:val="auto"/>
        </w:rPr>
        <w:t xml:space="preserve">cipant shall </w:t>
      </w:r>
      <w:r>
        <w:rPr>
          <w:rFonts w:ascii="Verdana" w:cs="Verdana" w:eastAsia="Verdana" w:hAnsi="Verdana"/>
          <w:sz w:val="18"/>
          <w:szCs w:val="18"/>
          <w:color w:val="151C3D"/>
        </w:rPr>
        <w:t>have</w:t>
      </w:r>
      <w:r>
        <w:rPr>
          <w:rFonts w:ascii="Verdana" w:cs="Verdana" w:eastAsia="Verdana" w:hAnsi="Verdana"/>
          <w:sz w:val="18"/>
          <w:szCs w:val="18"/>
          <w:color w:val="auto"/>
        </w:rPr>
        <w:t xml:space="preserve"> no righ</w:t>
      </w:r>
      <w:r>
        <w:rPr>
          <w:rFonts w:ascii="Verdana" w:cs="Verdana" w:eastAsia="Verdana" w:hAnsi="Verdana"/>
          <w:sz w:val="18"/>
          <w:szCs w:val="18"/>
          <w:color w:val="0A070C"/>
        </w:rPr>
        <w:t>t</w:t>
      </w:r>
      <w:r>
        <w:rPr>
          <w:rFonts w:ascii="Verdana" w:cs="Verdana" w:eastAsia="Verdana" w:hAnsi="Verdana"/>
          <w:sz w:val="18"/>
          <w:szCs w:val="18"/>
          <w:color w:val="auto"/>
        </w:rPr>
        <w:t>s as a stockholder with respect to any shares of Common Stoc</w:t>
      </w:r>
      <w:r>
        <w:rPr>
          <w:rFonts w:ascii="Verdana" w:cs="Verdana" w:eastAsia="Verdana" w:hAnsi="Verdana"/>
          <w:sz w:val="18"/>
          <w:szCs w:val="18"/>
          <w:color w:val="4F3D36"/>
        </w:rPr>
        <w:t>k</w:t>
      </w:r>
      <w:r>
        <w:rPr>
          <w:rFonts w:ascii="Verdana" w:cs="Verdana" w:eastAsia="Verdana" w:hAnsi="Verdana"/>
          <w:sz w:val="18"/>
          <w:szCs w:val="18"/>
          <w:color w:val="auto"/>
        </w:rPr>
        <w:t xml:space="preserve"> underlying any R</w:t>
      </w:r>
      <w:r>
        <w:rPr>
          <w:rFonts w:ascii="Verdana" w:cs="Verdana" w:eastAsia="Verdana" w:hAnsi="Verdana"/>
          <w:sz w:val="18"/>
          <w:szCs w:val="18"/>
          <w:color w:val="0A070C"/>
        </w:rPr>
        <w:t>P</w:t>
      </w:r>
      <w:r>
        <w:rPr>
          <w:rFonts w:ascii="Verdana" w:cs="Verdana" w:eastAsia="Verdana" w:hAnsi="Verdana"/>
          <w:sz w:val="18"/>
          <w:szCs w:val="18"/>
          <w:color w:val="auto"/>
        </w:rPr>
        <w:t>SU un</w:t>
      </w:r>
      <w:r>
        <w:rPr>
          <w:rFonts w:ascii="Verdana" w:cs="Verdana" w:eastAsia="Verdana" w:hAnsi="Verdana"/>
          <w:sz w:val="18"/>
          <w:szCs w:val="18"/>
          <w:color w:val="4F3D36"/>
        </w:rPr>
        <w:t>l</w:t>
      </w:r>
      <w:r>
        <w:rPr>
          <w:rFonts w:ascii="Verdana" w:cs="Verdana" w:eastAsia="Verdana" w:hAnsi="Verdana"/>
          <w:sz w:val="18"/>
          <w:szCs w:val="18"/>
          <w:color w:val="auto"/>
        </w:rPr>
        <w:t xml:space="preserve">ess and </w:t>
      </w:r>
      <w:r>
        <w:rPr>
          <w:rFonts w:ascii="Verdana" w:cs="Verdana" w:eastAsia="Verdana" w:hAnsi="Verdana"/>
          <w:sz w:val="18"/>
          <w:szCs w:val="18"/>
          <w:color w:val="151C3D"/>
        </w:rPr>
        <w:t>until</w:t>
      </w:r>
      <w:r>
        <w:rPr>
          <w:rFonts w:ascii="Verdana" w:cs="Verdana" w:eastAsia="Verdana" w:hAnsi="Verdana"/>
          <w:sz w:val="18"/>
          <w:szCs w:val="18"/>
          <w:color w:val="auto"/>
        </w:rPr>
        <w:t xml:space="preserve"> the </w:t>
      </w:r>
      <w:r>
        <w:rPr>
          <w:rFonts w:ascii="Verdana" w:cs="Verdana" w:eastAsia="Verdana" w:hAnsi="Verdana"/>
          <w:sz w:val="18"/>
          <w:szCs w:val="18"/>
          <w:color w:val="0A070C"/>
        </w:rPr>
        <w:t>P</w:t>
      </w:r>
      <w:r>
        <w:rPr>
          <w:rFonts w:ascii="Verdana" w:cs="Verdana" w:eastAsia="Verdana" w:hAnsi="Verdana"/>
          <w:sz w:val="18"/>
          <w:szCs w:val="18"/>
          <w:color w:val="auto"/>
        </w:rPr>
        <w:t xml:space="preserve">articipant has become the </w:t>
      </w:r>
      <w:r>
        <w:rPr>
          <w:rFonts w:ascii="Verdana" w:cs="Verdana" w:eastAsia="Verdana" w:hAnsi="Verdana"/>
          <w:sz w:val="18"/>
          <w:szCs w:val="18"/>
          <w:color w:val="151C3D"/>
        </w:rPr>
        <w:t>ho</w:t>
      </w:r>
      <w:r>
        <w:rPr>
          <w:rFonts w:ascii="Verdana" w:cs="Verdana" w:eastAsia="Verdana" w:hAnsi="Verdana"/>
          <w:sz w:val="18"/>
          <w:szCs w:val="18"/>
          <w:color w:val="4F3D36"/>
        </w:rPr>
        <w:t>l</w:t>
      </w:r>
      <w:r>
        <w:rPr>
          <w:rFonts w:ascii="Verdana" w:cs="Verdana" w:eastAsia="Verdana" w:hAnsi="Verdana"/>
          <w:sz w:val="18"/>
          <w:szCs w:val="18"/>
          <w:color w:val="auto"/>
        </w:rPr>
        <w:t>der of record of such shares</w:t>
      </w:r>
      <w:r>
        <w:rPr>
          <w:rFonts w:ascii="Verdana" w:cs="Verdana" w:eastAsia="Verdana" w:hAnsi="Verdana"/>
          <w:sz w:val="18"/>
          <w:szCs w:val="18"/>
          <w:color w:val="0A070C"/>
        </w:rPr>
        <w:t>.</w:t>
      </w:r>
    </w:p>
    <w:p>
      <w:pPr>
        <w:spacing w:after="0" w:line="172" w:lineRule="exact"/>
        <w:rPr>
          <w:rFonts w:ascii="Verdana" w:cs="Verdana" w:eastAsia="Verdana" w:hAnsi="Verdana"/>
          <w:sz w:val="18"/>
          <w:szCs w:val="18"/>
          <w:b w:val="1"/>
          <w:bCs w:val="1"/>
          <w:color w:val="auto"/>
        </w:rPr>
      </w:pPr>
    </w:p>
    <w:p>
      <w:pPr>
        <w:ind w:left="620" w:hanging="615"/>
        <w:spacing w:after="0"/>
        <w:tabs>
          <w:tab w:leader="none" w:pos="620" w:val="left"/>
        </w:tabs>
        <w:numPr>
          <w:ilvl w:val="0"/>
          <w:numId w:val="217"/>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Transfer of RPSU</w:t>
      </w:r>
      <w:r>
        <w:rPr>
          <w:rFonts w:ascii="Verdana" w:cs="Verdana" w:eastAsia="Verdana" w:hAnsi="Verdana"/>
          <w:sz w:val="18"/>
          <w:szCs w:val="18"/>
          <w:b w:val="1"/>
          <w:bCs w:val="1"/>
          <w:color w:val="231C26"/>
        </w:rPr>
        <w:t>s</w:t>
      </w:r>
    </w:p>
    <w:p>
      <w:pPr>
        <w:spacing w:after="0" w:line="189" w:lineRule="exact"/>
        <w:rPr>
          <w:rFonts w:ascii="Verdana" w:cs="Verdana" w:eastAsia="Verdana" w:hAnsi="Verdana"/>
          <w:sz w:val="18"/>
          <w:szCs w:val="18"/>
          <w:b w:val="1"/>
          <w:bCs w:val="1"/>
          <w:color w:val="auto"/>
        </w:rPr>
      </w:pPr>
    </w:p>
    <w:p>
      <w:pPr>
        <w:jc w:val="both"/>
        <w:ind w:left="640"/>
        <w:spacing w:after="0" w:line="235" w:lineRule="auto"/>
        <w:rPr>
          <w:rFonts w:ascii="Verdana" w:cs="Verdana" w:eastAsia="Verdana" w:hAnsi="Verdana"/>
          <w:sz w:val="18"/>
          <w:szCs w:val="18"/>
          <w:b w:val="1"/>
          <w:bCs w:val="1"/>
          <w:color w:val="auto"/>
        </w:rPr>
      </w:pPr>
      <w:r>
        <w:rPr>
          <w:rFonts w:ascii="Verdana" w:cs="Verdana" w:eastAsia="Verdana" w:hAnsi="Verdana"/>
          <w:sz w:val="18"/>
          <w:szCs w:val="18"/>
          <w:color w:val="auto"/>
        </w:rPr>
        <w:t xml:space="preserve">Unless otherwise permitted by the Committee or </w:t>
      </w:r>
      <w:r>
        <w:rPr>
          <w:rFonts w:ascii="Verdana" w:cs="Verdana" w:eastAsia="Verdana" w:hAnsi="Verdana"/>
          <w:sz w:val="18"/>
          <w:szCs w:val="18"/>
          <w:u w:val="single" w:color="auto"/>
          <w:color w:val="auto"/>
        </w:rPr>
        <w:t>Section 14</w:t>
      </w:r>
      <w:r>
        <w:rPr>
          <w:rFonts w:ascii="Verdana" w:cs="Verdana" w:eastAsia="Verdana" w:hAnsi="Verdana"/>
          <w:sz w:val="18"/>
          <w:szCs w:val="18"/>
          <w:color w:val="auto"/>
        </w:rPr>
        <w:t xml:space="preserve"> of the Plan, no award or right granted hereunder may be sold, transferred, pledged, assigned or otherwise alienated or hypothecated, other than pursuant to a will or the laws of descent and distribution. Any attempted disposition in violation of this </w:t>
      </w:r>
      <w:r>
        <w:rPr>
          <w:rFonts w:ascii="Verdana" w:cs="Verdana" w:eastAsia="Verdana" w:hAnsi="Verdana"/>
          <w:sz w:val="18"/>
          <w:szCs w:val="18"/>
          <w:u w:val="single" w:color="auto"/>
          <w:color w:val="auto"/>
        </w:rPr>
        <w:t>Section 5</w:t>
      </w:r>
      <w:r>
        <w:rPr>
          <w:rFonts w:ascii="Verdana" w:cs="Verdana" w:eastAsia="Verdana" w:hAnsi="Verdana"/>
          <w:sz w:val="18"/>
          <w:szCs w:val="18"/>
          <w:color w:val="auto"/>
        </w:rPr>
        <w:t xml:space="preserve"> and </w:t>
      </w:r>
      <w:r>
        <w:rPr>
          <w:rFonts w:ascii="Verdana" w:cs="Verdana" w:eastAsia="Verdana" w:hAnsi="Verdana"/>
          <w:sz w:val="18"/>
          <w:szCs w:val="18"/>
          <w:u w:val="single" w:color="auto"/>
          <w:color w:val="auto"/>
        </w:rPr>
        <w:t>Section 14</w:t>
      </w:r>
      <w:r>
        <w:rPr>
          <w:rFonts w:ascii="Verdana" w:cs="Verdana" w:eastAsia="Verdana" w:hAnsi="Verdana"/>
          <w:sz w:val="18"/>
          <w:szCs w:val="18"/>
          <w:color w:val="auto"/>
        </w:rPr>
        <w:t xml:space="preserve"> of the Plan shall be void.</w:t>
      </w:r>
    </w:p>
    <w:p>
      <w:pPr>
        <w:spacing w:after="0" w:line="169" w:lineRule="exact"/>
        <w:rPr>
          <w:rFonts w:ascii="Verdana" w:cs="Verdana" w:eastAsia="Verdana" w:hAnsi="Verdana"/>
          <w:sz w:val="18"/>
          <w:szCs w:val="18"/>
          <w:b w:val="1"/>
          <w:bCs w:val="1"/>
          <w:color w:val="auto"/>
        </w:rPr>
      </w:pPr>
    </w:p>
    <w:p>
      <w:pPr>
        <w:ind w:left="620" w:hanging="615"/>
        <w:spacing w:after="0"/>
        <w:tabs>
          <w:tab w:leader="none" w:pos="620" w:val="left"/>
        </w:tabs>
        <w:numPr>
          <w:ilvl w:val="0"/>
          <w:numId w:val="217"/>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Status of Participant</w:t>
      </w:r>
    </w:p>
    <w:p>
      <w:pPr>
        <w:spacing w:after="0" w:line="202" w:lineRule="exact"/>
        <w:rPr>
          <w:rFonts w:ascii="Verdana" w:cs="Verdana" w:eastAsia="Verdana" w:hAnsi="Verdana"/>
          <w:sz w:val="18"/>
          <w:szCs w:val="18"/>
          <w:b w:val="1"/>
          <w:bCs w:val="1"/>
          <w:color w:val="auto"/>
        </w:rPr>
      </w:pPr>
    </w:p>
    <w:p>
      <w:pPr>
        <w:jc w:val="both"/>
        <w:ind w:left="640"/>
        <w:spacing w:after="0" w:line="234" w:lineRule="auto"/>
        <w:rPr>
          <w:rFonts w:ascii="Verdana" w:cs="Verdana" w:eastAsia="Verdana" w:hAnsi="Verdana"/>
          <w:sz w:val="18"/>
          <w:szCs w:val="18"/>
          <w:b w:val="1"/>
          <w:bCs w:val="1"/>
          <w:color w:val="auto"/>
        </w:rPr>
      </w:pPr>
      <w:r>
        <w:rPr>
          <w:rFonts w:ascii="Verdana" w:cs="Verdana" w:eastAsia="Verdana" w:hAnsi="Verdana"/>
          <w:sz w:val="18"/>
          <w:szCs w:val="18"/>
          <w:color w:val="auto"/>
        </w:rPr>
        <w:t>The Participant shall not be, and, except as otherwise provided herein, shall not have rights as, a stockholder of the Company with respect to any of the shares of Common Stock subject to, or underlying, the Target Award or Final Award, unless such shares have been issued and delivered to the Participant pursuant to the terms of this Agreement. The Company shall not be required to issue or transfer any certificates for shares of Common Stock until all applicable requirements of law have been complied with and such shares have been duly listed on any securities exchange on which the Common Stock may then be listed.</w:t>
      </w:r>
    </w:p>
    <w:p>
      <w:pPr>
        <w:spacing w:after="0" w:line="167" w:lineRule="exact"/>
        <w:rPr>
          <w:rFonts w:ascii="Verdana" w:cs="Verdana" w:eastAsia="Verdana" w:hAnsi="Verdana"/>
          <w:sz w:val="18"/>
          <w:szCs w:val="18"/>
          <w:b w:val="1"/>
          <w:bCs w:val="1"/>
          <w:color w:val="auto"/>
        </w:rPr>
      </w:pPr>
    </w:p>
    <w:p>
      <w:pPr>
        <w:ind w:left="620" w:hanging="615"/>
        <w:spacing w:after="0"/>
        <w:tabs>
          <w:tab w:leader="none" w:pos="620" w:val="left"/>
        </w:tabs>
        <w:numPr>
          <w:ilvl w:val="0"/>
          <w:numId w:val="217"/>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No Effect on Capital Structure</w:t>
      </w:r>
    </w:p>
    <w:p>
      <w:pPr>
        <w:spacing w:after="0" w:line="189" w:lineRule="exact"/>
        <w:rPr>
          <w:rFonts w:ascii="Verdana" w:cs="Verdana" w:eastAsia="Verdana" w:hAnsi="Verdana"/>
          <w:sz w:val="18"/>
          <w:szCs w:val="18"/>
          <w:b w:val="1"/>
          <w:bCs w:val="1"/>
          <w:color w:val="auto"/>
        </w:rPr>
      </w:pPr>
    </w:p>
    <w:p>
      <w:pPr>
        <w:jc w:val="both"/>
        <w:ind w:left="640"/>
        <w:spacing w:after="0" w:line="237" w:lineRule="auto"/>
        <w:rPr>
          <w:rFonts w:ascii="Verdana" w:cs="Verdana" w:eastAsia="Verdana" w:hAnsi="Verdana"/>
          <w:sz w:val="18"/>
          <w:szCs w:val="18"/>
          <w:b w:val="1"/>
          <w:bCs w:val="1"/>
          <w:color w:val="auto"/>
        </w:rPr>
      </w:pPr>
      <w:r>
        <w:rPr>
          <w:rFonts w:ascii="Verdana" w:cs="Verdana" w:eastAsia="Verdana" w:hAnsi="Verdana"/>
          <w:sz w:val="18"/>
          <w:szCs w:val="18"/>
          <w:color w:val="auto"/>
        </w:rPr>
        <w:t>No award or right granted hereunder shall affect the right of the Company or any Subsidiary to reclassify, recapitalize or otherwise change its capital or debt structure or to merge, consolidate, convey any or all of its assets, dissolve, liquidate, windup, or otherwise reorganize.</w:t>
      </w:r>
    </w:p>
    <w:p>
      <w:pPr>
        <w:spacing w:after="0" w:line="167" w:lineRule="exact"/>
        <w:rPr>
          <w:rFonts w:ascii="Verdana" w:cs="Verdana" w:eastAsia="Verdana" w:hAnsi="Verdana"/>
          <w:sz w:val="18"/>
          <w:szCs w:val="18"/>
          <w:b w:val="1"/>
          <w:bCs w:val="1"/>
          <w:color w:val="auto"/>
        </w:rPr>
      </w:pPr>
    </w:p>
    <w:p>
      <w:pPr>
        <w:ind w:left="620" w:hanging="615"/>
        <w:spacing w:after="0"/>
        <w:tabs>
          <w:tab w:leader="none" w:pos="620" w:val="left"/>
        </w:tabs>
        <w:numPr>
          <w:ilvl w:val="0"/>
          <w:numId w:val="217"/>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Expiration and Forfeiture of Award</w:t>
      </w:r>
    </w:p>
    <w:p>
      <w:pPr>
        <w:spacing w:after="0" w:line="189" w:lineRule="exact"/>
        <w:rPr>
          <w:rFonts w:ascii="Verdana" w:cs="Verdana" w:eastAsia="Verdana" w:hAnsi="Verdana"/>
          <w:sz w:val="18"/>
          <w:szCs w:val="18"/>
          <w:b w:val="1"/>
          <w:bCs w:val="1"/>
          <w:color w:val="auto"/>
        </w:rPr>
      </w:pPr>
    </w:p>
    <w:p>
      <w:pPr>
        <w:ind w:left="640"/>
        <w:spacing w:after="0" w:line="241" w:lineRule="auto"/>
        <w:rPr>
          <w:rFonts w:ascii="Verdana" w:cs="Verdana" w:eastAsia="Verdana" w:hAnsi="Verdana"/>
          <w:sz w:val="18"/>
          <w:szCs w:val="18"/>
          <w:b w:val="1"/>
          <w:bCs w:val="1"/>
          <w:color w:val="auto"/>
        </w:rPr>
      </w:pPr>
      <w:r>
        <w:rPr>
          <w:rFonts w:ascii="Verdana" w:cs="Verdana" w:eastAsia="Verdana" w:hAnsi="Verdana"/>
          <w:sz w:val="18"/>
          <w:szCs w:val="18"/>
          <w:color w:val="auto"/>
        </w:rPr>
        <w:t xml:space="preserve">The Final Award, if any, shall be paid and/or expire in the circumstances described in this </w:t>
      </w:r>
      <w:r>
        <w:rPr>
          <w:rFonts w:ascii="Verdana" w:cs="Verdana" w:eastAsia="Verdana" w:hAnsi="Verdana"/>
          <w:sz w:val="18"/>
          <w:szCs w:val="18"/>
          <w:u w:val="single" w:color="auto"/>
          <w:color w:val="auto"/>
        </w:rPr>
        <w:t>Section 8</w:t>
      </w:r>
      <w:r>
        <w:rPr>
          <w:rFonts w:ascii="Verdana" w:cs="Verdana" w:eastAsia="Verdana" w:hAnsi="Verdana"/>
          <w:sz w:val="18"/>
          <w:szCs w:val="18"/>
          <w:color w:val="auto"/>
        </w:rPr>
        <w:t>. As used herein, “</w:t>
      </w:r>
      <w:r>
        <w:rPr>
          <w:rFonts w:ascii="Verdana" w:cs="Verdana" w:eastAsia="Verdana" w:hAnsi="Verdana"/>
          <w:sz w:val="18"/>
          <w:szCs w:val="18"/>
          <w:u w:val="single" w:color="auto"/>
          <w:color w:val="auto"/>
        </w:rPr>
        <w:t>Termination of Service</w:t>
      </w:r>
      <w:r>
        <w:rPr>
          <w:rFonts w:ascii="Verdana" w:cs="Verdana" w:eastAsia="Verdana" w:hAnsi="Verdana"/>
          <w:sz w:val="18"/>
          <w:szCs w:val="18"/>
          <w:color w:val="auto"/>
        </w:rPr>
        <w:t>” means termination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7</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LEGAL\81347992\6</w:t>
      </w:r>
    </w:p>
    <w:p>
      <w:pPr>
        <w:spacing w:after="0" w:line="7" w:lineRule="exact"/>
        <w:rPr>
          <w:sz w:val="20"/>
          <w:szCs w:val="20"/>
          <w:color w:val="auto"/>
        </w:rPr>
      </w:pPr>
    </w:p>
    <w:p>
      <w:pPr>
        <w:spacing w:after="0"/>
        <w:rPr>
          <w:sz w:val="20"/>
          <w:szCs w:val="20"/>
          <w:color w:val="auto"/>
        </w:rPr>
      </w:pPr>
      <w:r>
        <w:rPr>
          <w:rFonts w:ascii="Verdana" w:cs="Verdana" w:eastAsia="Verdana" w:hAnsi="Verdana"/>
          <w:sz w:val="14"/>
          <w:szCs w:val="14"/>
          <w:color w:val="auto"/>
        </w:rPr>
        <w:t>2026 RPSU Agreement (CEO)</w:t>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40"/>
        <w:spacing w:after="0"/>
        <w:rPr>
          <w:sz w:val="20"/>
          <w:szCs w:val="20"/>
          <w:color w:val="auto"/>
        </w:rPr>
      </w:pPr>
      <w:r>
        <w:rPr>
          <w:rFonts w:ascii="Verdana" w:cs="Verdana" w:eastAsia="Verdana" w:hAnsi="Verdana"/>
          <w:sz w:val="18"/>
          <w:szCs w:val="18"/>
          <w:color w:val="auto"/>
        </w:rPr>
        <w:t>Participant’s employment by, or service to, the Company, including any of its Subsidiaries.</w:t>
      </w:r>
    </w:p>
    <w:p>
      <w:pPr>
        <w:spacing w:after="0" w:line="176" w:lineRule="exact"/>
        <w:rPr>
          <w:sz w:val="20"/>
          <w:szCs w:val="20"/>
          <w:color w:val="auto"/>
        </w:rPr>
      </w:pPr>
    </w:p>
    <w:p>
      <w:pPr>
        <w:ind w:left="1260" w:hanging="623"/>
        <w:spacing w:after="0"/>
        <w:tabs>
          <w:tab w:leader="none" w:pos="1260" w:val="left"/>
        </w:tabs>
        <w:numPr>
          <w:ilvl w:val="0"/>
          <w:numId w:val="218"/>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Death</w:t>
      </w:r>
    </w:p>
    <w:p>
      <w:pPr>
        <w:spacing w:after="0" w:line="189" w:lineRule="exact"/>
        <w:rPr>
          <w:sz w:val="20"/>
          <w:szCs w:val="20"/>
          <w:color w:val="auto"/>
        </w:rPr>
      </w:pPr>
    </w:p>
    <w:p>
      <w:pPr>
        <w:jc w:val="both"/>
        <w:ind w:left="640"/>
        <w:spacing w:after="0" w:line="237" w:lineRule="auto"/>
        <w:rPr>
          <w:sz w:val="20"/>
          <w:szCs w:val="20"/>
          <w:color w:val="auto"/>
        </w:rPr>
      </w:pPr>
      <w:r>
        <w:rPr>
          <w:rFonts w:ascii="Verdana" w:cs="Verdana" w:eastAsia="Verdana" w:hAnsi="Verdana"/>
          <w:sz w:val="18"/>
          <w:szCs w:val="18"/>
          <w:color w:val="auto"/>
        </w:rPr>
        <w:t xml:space="preserve">Upon a Termination of Service by reason of death, a Final Award equal to one hundred percent (100%) of the Target Award shall be paid to the Participant’s legal representatives, heirs, legatees, or distributees in accordance with </w:t>
      </w:r>
      <w:r>
        <w:rPr>
          <w:rFonts w:ascii="Verdana" w:cs="Verdana" w:eastAsia="Verdana" w:hAnsi="Verdana"/>
          <w:sz w:val="18"/>
          <w:szCs w:val="18"/>
          <w:u w:val="single" w:color="auto"/>
          <w:color w:val="auto"/>
        </w:rPr>
        <w:t>Section</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auto"/>
        </w:rPr>
        <w:t>3</w:t>
      </w:r>
      <w:r>
        <w:rPr>
          <w:rFonts w:ascii="Verdana" w:cs="Verdana" w:eastAsia="Verdana" w:hAnsi="Verdana"/>
          <w:sz w:val="18"/>
          <w:szCs w:val="18"/>
          <w:color w:val="auto"/>
        </w:rPr>
        <w:t>.</w:t>
      </w:r>
    </w:p>
    <w:p>
      <w:pPr>
        <w:spacing w:after="0" w:line="168" w:lineRule="exact"/>
        <w:rPr>
          <w:sz w:val="20"/>
          <w:szCs w:val="20"/>
          <w:color w:val="auto"/>
        </w:rPr>
      </w:pPr>
    </w:p>
    <w:p>
      <w:pPr>
        <w:ind w:left="1260" w:hanging="623"/>
        <w:spacing w:after="0"/>
        <w:tabs>
          <w:tab w:leader="none" w:pos="1260" w:val="left"/>
        </w:tabs>
        <w:numPr>
          <w:ilvl w:val="0"/>
          <w:numId w:val="219"/>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Retirement</w:t>
      </w:r>
    </w:p>
    <w:p>
      <w:pPr>
        <w:spacing w:after="0" w:line="189" w:lineRule="exact"/>
        <w:rPr>
          <w:sz w:val="20"/>
          <w:szCs w:val="20"/>
          <w:color w:val="auto"/>
        </w:rPr>
      </w:pPr>
    </w:p>
    <w:p>
      <w:pPr>
        <w:jc w:val="both"/>
        <w:ind w:left="640"/>
        <w:spacing w:after="0" w:line="235" w:lineRule="auto"/>
        <w:rPr>
          <w:sz w:val="20"/>
          <w:szCs w:val="20"/>
          <w:color w:val="auto"/>
        </w:rPr>
      </w:pPr>
      <w:r>
        <w:rPr>
          <w:rFonts w:ascii="Verdana" w:cs="Verdana" w:eastAsia="Verdana" w:hAnsi="Verdana"/>
          <w:sz w:val="18"/>
          <w:szCs w:val="18"/>
          <w:color w:val="auto"/>
        </w:rPr>
        <w:t xml:space="preserve">Upon a Termination of Service in the event of Retirement, the Award shall continue to vest according to the vesting schedule, provided that Retirement occurs more than twelve (12) months following the Date of Grant. Upon vesting, the Award shall be issued and delivered to the Participant in accordance with </w:t>
      </w:r>
      <w:r>
        <w:rPr>
          <w:rFonts w:ascii="Verdana" w:cs="Verdana" w:eastAsia="Verdana" w:hAnsi="Verdana"/>
          <w:sz w:val="18"/>
          <w:szCs w:val="18"/>
          <w:u w:val="single" w:color="auto"/>
          <w:color w:val="auto"/>
        </w:rPr>
        <w:t>Sections 1</w:t>
      </w:r>
      <w:r>
        <w:rPr>
          <w:rFonts w:ascii="Verdana" w:cs="Verdana" w:eastAsia="Verdana" w:hAnsi="Verdana"/>
          <w:sz w:val="18"/>
          <w:szCs w:val="18"/>
          <w:color w:val="auto"/>
        </w:rPr>
        <w:t xml:space="preserve"> and </w:t>
      </w:r>
      <w:r>
        <w:rPr>
          <w:rFonts w:ascii="Verdana" w:cs="Verdana" w:eastAsia="Verdana" w:hAnsi="Verdana"/>
          <w:sz w:val="18"/>
          <w:szCs w:val="18"/>
          <w:u w:val="single" w:color="auto"/>
          <w:color w:val="auto"/>
        </w:rPr>
        <w:t>2</w:t>
      </w:r>
      <w:r>
        <w:rPr>
          <w:rFonts w:ascii="Verdana" w:cs="Verdana" w:eastAsia="Verdana" w:hAnsi="Verdana"/>
          <w:sz w:val="18"/>
          <w:szCs w:val="18"/>
          <w:color w:val="auto"/>
        </w:rPr>
        <w:t xml:space="preserve">, and any such Final Award shall be paid to the Participant in accordance with </w:t>
      </w:r>
      <w:r>
        <w:rPr>
          <w:rFonts w:ascii="Verdana" w:cs="Verdana" w:eastAsia="Verdana" w:hAnsi="Verdana"/>
          <w:sz w:val="18"/>
          <w:szCs w:val="18"/>
          <w:u w:val="single" w:color="auto"/>
          <w:color w:val="auto"/>
        </w:rPr>
        <w:t>Section 3</w:t>
      </w:r>
      <w:r>
        <w:rPr>
          <w:rFonts w:ascii="Verdana" w:cs="Verdana" w:eastAsia="Verdana" w:hAnsi="Verdana"/>
          <w:sz w:val="18"/>
          <w:szCs w:val="18"/>
          <w:color w:val="auto"/>
        </w:rPr>
        <w:t>, subject to the Post-Settlement Holding Period.</w:t>
      </w:r>
    </w:p>
    <w:p>
      <w:pPr>
        <w:spacing w:after="0" w:line="170" w:lineRule="exact"/>
        <w:rPr>
          <w:sz w:val="20"/>
          <w:szCs w:val="20"/>
          <w:color w:val="auto"/>
        </w:rPr>
      </w:pPr>
    </w:p>
    <w:p>
      <w:pPr>
        <w:ind w:left="1260" w:hanging="623"/>
        <w:spacing w:after="0"/>
        <w:tabs>
          <w:tab w:leader="none" w:pos="1260" w:val="left"/>
        </w:tabs>
        <w:numPr>
          <w:ilvl w:val="0"/>
          <w:numId w:val="220"/>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Disability</w:t>
      </w:r>
    </w:p>
    <w:p>
      <w:pPr>
        <w:spacing w:after="0" w:line="202" w:lineRule="exact"/>
        <w:rPr>
          <w:sz w:val="20"/>
          <w:szCs w:val="20"/>
          <w:color w:val="auto"/>
        </w:rPr>
      </w:pPr>
    </w:p>
    <w:p>
      <w:pPr>
        <w:ind w:left="640"/>
        <w:spacing w:after="0" w:line="241" w:lineRule="auto"/>
        <w:rPr>
          <w:sz w:val="20"/>
          <w:szCs w:val="20"/>
          <w:color w:val="auto"/>
        </w:rPr>
      </w:pPr>
      <w:r>
        <w:rPr>
          <w:rFonts w:ascii="Verdana" w:cs="Verdana" w:eastAsia="Verdana" w:hAnsi="Verdana"/>
          <w:sz w:val="18"/>
          <w:szCs w:val="18"/>
          <w:color w:val="auto"/>
        </w:rPr>
        <w:t xml:space="preserve">Upon a Termination of Service as a result of Disability, a Final Award equal to one hundred percent (100%) of the Target Award shall be paid to the Participant in accordance with </w:t>
      </w:r>
      <w:r>
        <w:rPr>
          <w:rFonts w:ascii="Verdana" w:cs="Verdana" w:eastAsia="Verdana" w:hAnsi="Verdana"/>
          <w:sz w:val="18"/>
          <w:szCs w:val="18"/>
          <w:u w:val="single" w:color="auto"/>
          <w:color w:val="auto"/>
        </w:rPr>
        <w:t>Section 3</w:t>
      </w:r>
      <w:r>
        <w:rPr>
          <w:rFonts w:ascii="Verdana" w:cs="Verdana" w:eastAsia="Verdana" w:hAnsi="Verdana"/>
          <w:sz w:val="18"/>
          <w:szCs w:val="18"/>
          <w:color w:val="auto"/>
        </w:rPr>
        <w:t>.</w:t>
      </w:r>
    </w:p>
    <w:p>
      <w:pPr>
        <w:spacing w:after="0" w:line="166" w:lineRule="exact"/>
        <w:rPr>
          <w:sz w:val="20"/>
          <w:szCs w:val="20"/>
          <w:color w:val="auto"/>
        </w:rPr>
      </w:pPr>
    </w:p>
    <w:p>
      <w:pPr>
        <w:ind w:left="1260" w:hanging="623"/>
        <w:spacing w:after="0"/>
        <w:tabs>
          <w:tab w:leader="none" w:pos="1260" w:val="left"/>
        </w:tabs>
        <w:numPr>
          <w:ilvl w:val="0"/>
          <w:numId w:val="221"/>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Change in Control</w:t>
      </w:r>
    </w:p>
    <w:p>
      <w:pPr>
        <w:spacing w:after="0" w:line="189" w:lineRule="exact"/>
        <w:rPr>
          <w:sz w:val="20"/>
          <w:szCs w:val="20"/>
          <w:color w:val="auto"/>
        </w:rPr>
      </w:pPr>
    </w:p>
    <w:p>
      <w:pPr>
        <w:jc w:val="both"/>
        <w:ind w:left="640"/>
        <w:spacing w:after="0" w:line="233" w:lineRule="auto"/>
        <w:rPr>
          <w:sz w:val="20"/>
          <w:szCs w:val="20"/>
          <w:color w:val="auto"/>
        </w:rPr>
      </w:pPr>
      <w:r>
        <w:rPr>
          <w:rFonts w:ascii="Verdana" w:cs="Verdana" w:eastAsia="Verdana" w:hAnsi="Verdana"/>
          <w:sz w:val="18"/>
          <w:szCs w:val="18"/>
          <w:color w:val="auto"/>
        </w:rPr>
        <w:t xml:space="preserve">Notwithstanding any provision in this </w:t>
      </w:r>
      <w:r>
        <w:rPr>
          <w:rFonts w:ascii="Verdana" w:cs="Verdana" w:eastAsia="Verdana" w:hAnsi="Verdana"/>
          <w:sz w:val="18"/>
          <w:szCs w:val="18"/>
          <w:u w:val="single" w:color="auto"/>
          <w:color w:val="auto"/>
        </w:rPr>
        <w:t>Section 8</w:t>
      </w:r>
      <w:r>
        <w:rPr>
          <w:rFonts w:ascii="Verdana" w:cs="Verdana" w:eastAsia="Verdana" w:hAnsi="Verdana"/>
          <w:sz w:val="18"/>
          <w:szCs w:val="18"/>
          <w:color w:val="auto"/>
        </w:rPr>
        <w:t xml:space="preserve"> to the contrary, upon a Termination of Service without Cause in connection with a Change in Control, the Final Award payable to the Participant, if any, shall be determined by the Committee and shall be paid to the Participant in accordance with </w:t>
      </w:r>
      <w:r>
        <w:rPr>
          <w:rFonts w:ascii="Verdana" w:cs="Verdana" w:eastAsia="Verdana" w:hAnsi="Verdana"/>
          <w:sz w:val="18"/>
          <w:szCs w:val="18"/>
          <w:u w:val="single" w:color="auto"/>
          <w:color w:val="auto"/>
        </w:rPr>
        <w:t>Section 3</w:t>
      </w:r>
      <w:r>
        <w:rPr>
          <w:rFonts w:ascii="Verdana" w:cs="Verdana" w:eastAsia="Verdana" w:hAnsi="Verdana"/>
          <w:sz w:val="18"/>
          <w:szCs w:val="18"/>
          <w:color w:val="auto"/>
        </w:rPr>
        <w:t>. A Termination of Service without Cause may be treated as being in connection with a Change in Control only if such termination occurs during the period beginning six (6) months prior to the Change in Control and ending twenty-four (24) months following the Change in Control. The Committee shall determine, in its sole and absolute discretion, whether there was a Termination of Service without Cause in connection with a Change in Control.</w:t>
      </w:r>
    </w:p>
    <w:p>
      <w:pPr>
        <w:spacing w:after="0" w:line="171" w:lineRule="exact"/>
        <w:rPr>
          <w:sz w:val="20"/>
          <w:szCs w:val="20"/>
          <w:color w:val="auto"/>
        </w:rPr>
      </w:pPr>
    </w:p>
    <w:p>
      <w:pPr>
        <w:ind w:left="1260" w:hanging="623"/>
        <w:spacing w:after="0"/>
        <w:tabs>
          <w:tab w:leader="none" w:pos="1260" w:val="left"/>
        </w:tabs>
        <w:numPr>
          <w:ilvl w:val="0"/>
          <w:numId w:val="222"/>
        </w:numPr>
        <w:rPr>
          <w:rFonts w:ascii="Verdana" w:cs="Verdana" w:eastAsia="Verdana" w:hAnsi="Verdana"/>
          <w:sz w:val="16"/>
          <w:szCs w:val="16"/>
          <w:b w:val="1"/>
          <w:bCs w:val="1"/>
          <w:color w:val="010000"/>
        </w:rPr>
      </w:pPr>
      <w:r>
        <w:rPr>
          <w:rFonts w:ascii="Verdana" w:cs="Verdana" w:eastAsia="Verdana" w:hAnsi="Verdana"/>
          <w:sz w:val="16"/>
          <w:szCs w:val="16"/>
          <w:b w:val="1"/>
          <w:bCs w:val="1"/>
          <w:color w:val="auto"/>
        </w:rPr>
        <w:t>Termination of Service Other Than as a Result of Death, Retirement, Disability, or Change in Control</w:t>
      </w:r>
    </w:p>
    <w:p>
      <w:pPr>
        <w:spacing w:after="0" w:line="213" w:lineRule="exact"/>
        <w:rPr>
          <w:sz w:val="20"/>
          <w:szCs w:val="20"/>
          <w:color w:val="auto"/>
        </w:rPr>
      </w:pPr>
    </w:p>
    <w:p>
      <w:pPr>
        <w:jc w:val="both"/>
        <w:ind w:left="640"/>
        <w:spacing w:after="0" w:line="234" w:lineRule="auto"/>
        <w:rPr>
          <w:sz w:val="20"/>
          <w:szCs w:val="20"/>
          <w:color w:val="auto"/>
        </w:rPr>
      </w:pPr>
      <w:r>
        <w:rPr>
          <w:rFonts w:ascii="Verdana" w:cs="Verdana" w:eastAsia="Verdana" w:hAnsi="Verdana"/>
          <w:sz w:val="18"/>
          <w:szCs w:val="18"/>
          <w:color w:val="auto"/>
        </w:rPr>
        <w:t>Upon a Termination of Service by any reason other than death, Retirement, Disability, or without Cause in connection with a Change in Control, including, without limitation, as a result of retirement or disability that does not meet the requirements set forth in the definitions of such terms in the Plan, voluntary resignation or termination for Cause, any award or right granted hereunder shall expire and be forfeited, and no Final Award or dividend equivalent related thereto shall be paid.</w:t>
      </w:r>
    </w:p>
    <w:p>
      <w:pPr>
        <w:spacing w:after="0" w:line="170" w:lineRule="exact"/>
        <w:rPr>
          <w:sz w:val="20"/>
          <w:szCs w:val="20"/>
          <w:color w:val="auto"/>
        </w:rPr>
      </w:pPr>
    </w:p>
    <w:p>
      <w:pPr>
        <w:ind w:left="1260" w:hanging="623"/>
        <w:spacing w:after="0"/>
        <w:tabs>
          <w:tab w:leader="none" w:pos="1260" w:val="left"/>
        </w:tabs>
        <w:numPr>
          <w:ilvl w:val="0"/>
          <w:numId w:val="223"/>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Clawback/Repayment as a Result of Misconduct</w:t>
      </w:r>
    </w:p>
    <w:p>
      <w:pPr>
        <w:spacing w:after="0" w:line="202" w:lineRule="exact"/>
        <w:rPr>
          <w:sz w:val="20"/>
          <w:szCs w:val="20"/>
          <w:color w:val="auto"/>
        </w:rPr>
      </w:pPr>
    </w:p>
    <w:p>
      <w:pPr>
        <w:ind w:left="640"/>
        <w:spacing w:after="0" w:line="241" w:lineRule="auto"/>
        <w:rPr>
          <w:sz w:val="20"/>
          <w:szCs w:val="20"/>
          <w:color w:val="auto"/>
        </w:rPr>
      </w:pPr>
      <w:r>
        <w:rPr>
          <w:rFonts w:ascii="Verdana" w:cs="Verdana" w:eastAsia="Verdana" w:hAnsi="Verdana"/>
          <w:sz w:val="18"/>
          <w:szCs w:val="18"/>
          <w:color w:val="auto"/>
        </w:rPr>
        <w:t>Unless otherwise determined by the Committee, if the Company is required to prepare a material restatement of its financial statements as a result of misconduct,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8</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LEGAL\81347992\6</w:t>
      </w:r>
    </w:p>
    <w:p>
      <w:pPr>
        <w:spacing w:after="0" w:line="7" w:lineRule="exact"/>
        <w:rPr>
          <w:sz w:val="20"/>
          <w:szCs w:val="20"/>
          <w:color w:val="auto"/>
        </w:rPr>
      </w:pPr>
    </w:p>
    <w:p>
      <w:pPr>
        <w:spacing w:after="0"/>
        <w:rPr>
          <w:sz w:val="20"/>
          <w:szCs w:val="20"/>
          <w:color w:val="auto"/>
        </w:rPr>
      </w:pPr>
      <w:r>
        <w:rPr>
          <w:rFonts w:ascii="Verdana" w:cs="Verdana" w:eastAsia="Verdana" w:hAnsi="Verdana"/>
          <w:sz w:val="14"/>
          <w:szCs w:val="14"/>
          <w:color w:val="auto"/>
        </w:rPr>
        <w:t>2026 RPSU Agreement (CEO)</w:t>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640"/>
        <w:spacing w:after="0" w:line="263" w:lineRule="auto"/>
        <w:rPr>
          <w:sz w:val="20"/>
          <w:szCs w:val="20"/>
          <w:color w:val="auto"/>
        </w:rPr>
      </w:pPr>
      <w:r>
        <w:rPr>
          <w:rFonts w:ascii="Verdana" w:cs="Verdana" w:eastAsia="Verdana" w:hAnsi="Verdana"/>
          <w:sz w:val="16"/>
          <w:szCs w:val="16"/>
          <w:color w:val="auto"/>
        </w:rPr>
        <w:t>and the Committee determines that the Participant knowingly engaged in the misconduct, was grossly negligent with respect to such misconduct, or acted knowingly or with gross negligence in failing to prevent the misconduct, or the Committee concludes that the Participant engaged in willful fraud, embezzlement or other similar activity (including acts of omission) materially detrimental to the Company, the Company may require the Participant (or the Participant’s beneficiary) to reimburse the Company for all or any portion of the Final Award, and/or to forfeit the proceeds of any sale (including any sales to the Company) of any Company securities acquired by or on behalf of the Participant (or the Participant’s beneficiary) pursuant to the Final Award paid under this Agreement during the twelve (12) month period following the first public filing of the financial document requiring restatement, or during the twelve (12) month period following the date of the Participant’s misconduct, including any Awarded Shares subject to the Post-Settlement Holding Period. To the extent that the Participant is subject to the Company’s Clawback Policy, effective as of October 1, 2023, as it may be amended from time to time (the “</w:t>
      </w:r>
      <w:r>
        <w:rPr>
          <w:rFonts w:ascii="Verdana" w:cs="Verdana" w:eastAsia="Verdana" w:hAnsi="Verdana"/>
          <w:sz w:val="16"/>
          <w:szCs w:val="16"/>
          <w:u w:val="single" w:color="auto"/>
          <w:color w:val="auto"/>
        </w:rPr>
        <w:t>Clawback Policy</w:t>
      </w:r>
      <w:r>
        <w:rPr>
          <w:rFonts w:ascii="Verdana" w:cs="Verdana" w:eastAsia="Verdana" w:hAnsi="Verdana"/>
          <w:sz w:val="16"/>
          <w:szCs w:val="16"/>
          <w:color w:val="auto"/>
        </w:rPr>
        <w:t>”), notwithstanding the foregoing, the Clawback Policy shall be applicable to this Agreement and any award or right granted hereunder.</w:t>
      </w:r>
    </w:p>
    <w:p>
      <w:pPr>
        <w:spacing w:after="0" w:line="367" w:lineRule="exact"/>
        <w:rPr>
          <w:sz w:val="20"/>
          <w:szCs w:val="20"/>
          <w:color w:val="auto"/>
        </w:rPr>
      </w:pPr>
    </w:p>
    <w:p>
      <w:pPr>
        <w:ind w:left="620" w:hanging="615"/>
        <w:spacing w:after="0"/>
        <w:tabs>
          <w:tab w:leader="none" w:pos="620" w:val="left"/>
        </w:tabs>
        <w:numPr>
          <w:ilvl w:val="0"/>
          <w:numId w:val="224"/>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Committee Authority</w:t>
      </w:r>
    </w:p>
    <w:p>
      <w:pPr>
        <w:spacing w:after="0" w:line="189" w:lineRule="exact"/>
        <w:rPr>
          <w:rFonts w:ascii="Verdana" w:cs="Verdana" w:eastAsia="Verdana" w:hAnsi="Verdana"/>
          <w:sz w:val="18"/>
          <w:szCs w:val="18"/>
          <w:b w:val="1"/>
          <w:bCs w:val="1"/>
          <w:color w:val="auto"/>
        </w:rPr>
      </w:pPr>
    </w:p>
    <w:p>
      <w:pPr>
        <w:jc w:val="both"/>
        <w:ind w:left="640"/>
        <w:spacing w:after="0" w:line="280" w:lineRule="auto"/>
        <w:rPr>
          <w:rFonts w:ascii="Verdana" w:cs="Verdana" w:eastAsia="Verdana" w:hAnsi="Verdana"/>
          <w:sz w:val="18"/>
          <w:szCs w:val="18"/>
          <w:b w:val="1"/>
          <w:bCs w:val="1"/>
          <w:color w:val="auto"/>
        </w:rPr>
      </w:pPr>
      <w:r>
        <w:rPr>
          <w:rFonts w:ascii="Verdana" w:cs="Verdana" w:eastAsia="Verdana" w:hAnsi="Verdana"/>
          <w:sz w:val="16"/>
          <w:szCs w:val="16"/>
          <w:color w:val="auto"/>
        </w:rPr>
        <w:t>Any question concerning the interpretation of this Agreement, any adjustments required to be made under the Plan, and any controversy that may arise under the Plan or the Grant Agreement shall be determined by the Committee in its sole discretion. Any decisions by the Committee regarding the Plan or this Agreement shall be final and binding.</w:t>
      </w:r>
    </w:p>
    <w:p>
      <w:pPr>
        <w:spacing w:after="0" w:line="135" w:lineRule="exact"/>
        <w:rPr>
          <w:rFonts w:ascii="Verdana" w:cs="Verdana" w:eastAsia="Verdana" w:hAnsi="Verdana"/>
          <w:sz w:val="18"/>
          <w:szCs w:val="18"/>
          <w:b w:val="1"/>
          <w:bCs w:val="1"/>
          <w:color w:val="auto"/>
        </w:rPr>
      </w:pPr>
    </w:p>
    <w:p>
      <w:pPr>
        <w:ind w:left="640" w:hanging="635"/>
        <w:spacing w:after="0"/>
        <w:tabs>
          <w:tab w:leader="none" w:pos="640" w:val="left"/>
        </w:tabs>
        <w:numPr>
          <w:ilvl w:val="0"/>
          <w:numId w:val="224"/>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Plan Controls</w:t>
      </w:r>
    </w:p>
    <w:p>
      <w:pPr>
        <w:spacing w:after="0" w:line="189" w:lineRule="exact"/>
        <w:rPr>
          <w:rFonts w:ascii="Verdana" w:cs="Verdana" w:eastAsia="Verdana" w:hAnsi="Verdana"/>
          <w:sz w:val="18"/>
          <w:szCs w:val="18"/>
          <w:b w:val="1"/>
          <w:bCs w:val="1"/>
          <w:color w:val="auto"/>
        </w:rPr>
      </w:pPr>
    </w:p>
    <w:p>
      <w:pPr>
        <w:jc w:val="both"/>
        <w:ind w:left="640"/>
        <w:spacing w:after="0" w:line="237" w:lineRule="auto"/>
        <w:rPr>
          <w:rFonts w:ascii="Verdana" w:cs="Verdana" w:eastAsia="Verdana" w:hAnsi="Verdana"/>
          <w:sz w:val="18"/>
          <w:szCs w:val="18"/>
          <w:b w:val="1"/>
          <w:bCs w:val="1"/>
          <w:color w:val="auto"/>
        </w:rPr>
      </w:pPr>
      <w:r>
        <w:rPr>
          <w:rFonts w:ascii="Verdana" w:cs="Verdana" w:eastAsia="Verdana" w:hAnsi="Verdana"/>
          <w:sz w:val="18"/>
          <w:szCs w:val="18"/>
          <w:color w:val="auto"/>
        </w:rPr>
        <w:t>The terms of this Agreement are governed by the terms of the Plan, as it exists on the Date of the Grant and as the Plan may be amended from time to time thereafter. In the event of any conflict between the provisions of this Agreement and the provisions of the Plan, the terms of the Plan shall control.</w:t>
      </w:r>
    </w:p>
    <w:p>
      <w:pPr>
        <w:spacing w:after="0" w:line="167" w:lineRule="exact"/>
        <w:rPr>
          <w:rFonts w:ascii="Verdana" w:cs="Verdana" w:eastAsia="Verdana" w:hAnsi="Verdana"/>
          <w:sz w:val="18"/>
          <w:szCs w:val="18"/>
          <w:b w:val="1"/>
          <w:bCs w:val="1"/>
          <w:color w:val="auto"/>
        </w:rPr>
      </w:pPr>
    </w:p>
    <w:p>
      <w:pPr>
        <w:ind w:left="640" w:hanging="635"/>
        <w:spacing w:after="0"/>
        <w:tabs>
          <w:tab w:leader="none" w:pos="640" w:val="left"/>
        </w:tabs>
        <w:numPr>
          <w:ilvl w:val="0"/>
          <w:numId w:val="224"/>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Limitation on Rights; No Right to Future Grants</w:t>
      </w:r>
    </w:p>
    <w:p>
      <w:pPr>
        <w:spacing w:after="0" w:line="202" w:lineRule="exact"/>
        <w:rPr>
          <w:rFonts w:ascii="Verdana" w:cs="Verdana" w:eastAsia="Verdana" w:hAnsi="Verdana"/>
          <w:sz w:val="18"/>
          <w:szCs w:val="18"/>
          <w:b w:val="1"/>
          <w:bCs w:val="1"/>
          <w:color w:val="auto"/>
        </w:rPr>
      </w:pPr>
    </w:p>
    <w:p>
      <w:pPr>
        <w:jc w:val="both"/>
        <w:ind w:left="640"/>
        <w:spacing w:after="0" w:line="232" w:lineRule="auto"/>
        <w:rPr>
          <w:rFonts w:ascii="Verdana" w:cs="Verdana" w:eastAsia="Verdana" w:hAnsi="Verdana"/>
          <w:sz w:val="18"/>
          <w:szCs w:val="18"/>
          <w:b w:val="1"/>
          <w:bCs w:val="1"/>
          <w:color w:val="auto"/>
        </w:rPr>
      </w:pPr>
      <w:r>
        <w:rPr>
          <w:rFonts w:ascii="Verdana" w:cs="Verdana" w:eastAsia="Verdana" w:hAnsi="Verdana"/>
          <w:sz w:val="18"/>
          <w:szCs w:val="18"/>
          <w:color w:val="auto"/>
        </w:rPr>
        <w:t xml:space="preserve">By entering into this Agreement and accepting this Award, the Participant acknowledges that: (a) the Plan is discretionary and may be modified, suspended or terminated by the Company at any time, as provided in the Plan; </w:t>
      </w:r>
      <w:r>
        <w:rPr>
          <w:rFonts w:ascii="Verdana" w:cs="Verdana" w:eastAsia="Verdana" w:hAnsi="Verdana"/>
          <w:sz w:val="18"/>
          <w:szCs w:val="18"/>
          <w:u w:val="single" w:color="auto"/>
          <w:color w:val="auto"/>
        </w:rPr>
        <w:t>provided</w:t>
      </w:r>
      <w:r>
        <w:rPr>
          <w:rFonts w:ascii="Verdana" w:cs="Verdana" w:eastAsia="Verdana" w:hAnsi="Verdana"/>
          <w:sz w:val="18"/>
          <w:szCs w:val="18"/>
          <w:color w:val="auto"/>
        </w:rPr>
        <w:t xml:space="preserve"> that, except as provided in </w:t>
      </w:r>
      <w:r>
        <w:rPr>
          <w:rFonts w:ascii="Verdana" w:cs="Verdana" w:eastAsia="Verdana" w:hAnsi="Verdana"/>
          <w:sz w:val="18"/>
          <w:szCs w:val="18"/>
          <w:u w:val="single" w:color="auto"/>
          <w:color w:val="auto"/>
        </w:rPr>
        <w:t>Section 18</w:t>
      </w:r>
      <w:r>
        <w:rPr>
          <w:rFonts w:ascii="Verdana" w:cs="Verdana" w:eastAsia="Verdana" w:hAnsi="Verdana"/>
          <w:sz w:val="18"/>
          <w:szCs w:val="18"/>
          <w:color w:val="auto"/>
        </w:rPr>
        <w:t xml:space="preserve"> of the Plan, no amendment to this Agreement shall adversely affect in a material manner the Participant’s rights hereunder without his or her written consent; (b) the grant of any award hereunder is a one-time benefit and does not create any contractual or other right to receive future grants of awards or benefits in lieu of awards; (c) all determinations with respect to any such future grants, including, but not limited to, the times when awards will be granted, the number of shares subject to each award, the award price, if any, and the time or times when each award will be settled, will be at the sole discretion of the Company; (d) participation in the Plan is voluntary; (e) the value of an award is an extraordinary item that is outside the scope of the Participant’s employment contract, if any, unless expressly provided for in any such employment contract; (f) an award is not part of normal or expected compensation for any purpose, including without limitation for calculating any benefits, severance, resignation,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9</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LEGAL\81347992\6</w:t>
      </w:r>
    </w:p>
    <w:p>
      <w:pPr>
        <w:spacing w:after="0" w:line="7" w:lineRule="exact"/>
        <w:rPr>
          <w:sz w:val="20"/>
          <w:szCs w:val="20"/>
          <w:color w:val="auto"/>
        </w:rPr>
      </w:pPr>
    </w:p>
    <w:p>
      <w:pPr>
        <w:spacing w:after="0"/>
        <w:rPr>
          <w:sz w:val="20"/>
          <w:szCs w:val="20"/>
          <w:color w:val="auto"/>
        </w:rPr>
      </w:pPr>
      <w:r>
        <w:rPr>
          <w:rFonts w:ascii="Verdana" w:cs="Verdana" w:eastAsia="Verdana" w:hAnsi="Verdana"/>
          <w:sz w:val="14"/>
          <w:szCs w:val="14"/>
          <w:color w:val="auto"/>
        </w:rPr>
        <w:t>2026 RPSU Agreement (CEO)</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640"/>
        <w:spacing w:after="0" w:line="233" w:lineRule="auto"/>
        <w:rPr>
          <w:sz w:val="20"/>
          <w:szCs w:val="20"/>
          <w:color w:val="auto"/>
        </w:rPr>
      </w:pPr>
      <w:r>
        <w:rPr>
          <w:rFonts w:ascii="Verdana" w:cs="Verdana" w:eastAsia="Verdana" w:hAnsi="Verdana"/>
          <w:sz w:val="18"/>
          <w:szCs w:val="18"/>
          <w:color w:val="auto"/>
        </w:rPr>
        <w:t xml:space="preserve">redundancy, end of service payments, bonuses, long-service awards, pension or retirement benefits or similar payments, and the Participant will have no entitlement to compensation or damages as a consequence of any forfeiture pursuant to </w:t>
      </w:r>
      <w:r>
        <w:rPr>
          <w:rFonts w:ascii="Verdana" w:cs="Verdana" w:eastAsia="Verdana" w:hAnsi="Verdana"/>
          <w:sz w:val="18"/>
          <w:szCs w:val="18"/>
          <w:u w:val="single" w:color="auto"/>
          <w:color w:val="auto"/>
        </w:rPr>
        <w:t>Section 8</w:t>
      </w:r>
      <w:r>
        <w:rPr>
          <w:rFonts w:ascii="Verdana" w:cs="Verdana" w:eastAsia="Verdana" w:hAnsi="Verdana"/>
          <w:sz w:val="18"/>
          <w:szCs w:val="18"/>
          <w:color w:val="auto"/>
        </w:rPr>
        <w:t>; (g) the future value of the Common Stock subject to the award is unknown and cannot be predicted with certainty; (h) neither the Plan, the award nor the issuance of the shares underlying the award confers upon the Participant any right to continue in the employ or service of (or any other relationship with) the Company or any Subsidiary, nor do they limit in any respect the right of the Company or any Subsidiary to terminate the Participant’s employment or other relationship with the Company or any Subsidiary, as the case may be, at any time with or without Cause; and (i) the grant of the award will not be interpreted to form an employment relationship or contract with the Company or any Subsidiary.</w:t>
      </w:r>
    </w:p>
    <w:p>
      <w:pPr>
        <w:spacing w:after="0" w:line="168" w:lineRule="exact"/>
        <w:rPr>
          <w:sz w:val="20"/>
          <w:szCs w:val="20"/>
          <w:color w:val="auto"/>
        </w:rPr>
      </w:pPr>
    </w:p>
    <w:p>
      <w:pPr>
        <w:ind w:left="640" w:hanging="635"/>
        <w:spacing w:after="0"/>
        <w:tabs>
          <w:tab w:leader="none" w:pos="640" w:val="left"/>
        </w:tabs>
        <w:numPr>
          <w:ilvl w:val="0"/>
          <w:numId w:val="225"/>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General Provisions</w:t>
      </w:r>
    </w:p>
    <w:p>
      <w:pPr>
        <w:spacing w:after="0" w:line="162" w:lineRule="exact"/>
        <w:rPr>
          <w:rFonts w:ascii="Verdana" w:cs="Verdana" w:eastAsia="Verdana" w:hAnsi="Verdana"/>
          <w:sz w:val="18"/>
          <w:szCs w:val="18"/>
          <w:b w:val="1"/>
          <w:bCs w:val="1"/>
          <w:color w:val="auto"/>
        </w:rPr>
      </w:pPr>
    </w:p>
    <w:p>
      <w:pPr>
        <w:ind w:left="1260" w:hanging="623"/>
        <w:spacing w:after="0"/>
        <w:tabs>
          <w:tab w:leader="none" w:pos="1260" w:val="left"/>
        </w:tabs>
        <w:numPr>
          <w:ilvl w:val="1"/>
          <w:numId w:val="225"/>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Notice</w:t>
      </w:r>
    </w:p>
    <w:p>
      <w:pPr>
        <w:spacing w:after="0" w:line="189" w:lineRule="exact"/>
        <w:rPr>
          <w:sz w:val="20"/>
          <w:szCs w:val="20"/>
          <w:color w:val="auto"/>
        </w:rPr>
      </w:pPr>
    </w:p>
    <w:p>
      <w:pPr>
        <w:jc w:val="both"/>
        <w:ind w:left="640"/>
        <w:spacing w:after="0" w:line="233" w:lineRule="auto"/>
        <w:rPr>
          <w:sz w:val="20"/>
          <w:szCs w:val="20"/>
          <w:color w:val="auto"/>
        </w:rPr>
      </w:pPr>
      <w:r>
        <w:rPr>
          <w:rFonts w:ascii="Verdana" w:cs="Verdana" w:eastAsia="Verdana" w:hAnsi="Verdana"/>
          <w:sz w:val="18"/>
          <w:szCs w:val="18"/>
          <w:color w:val="auto"/>
        </w:rPr>
        <w:t>Whenever any notice is required or permitted hereunder, such notice must be in writing and delivered in person or by mail (to the address set forth below if notice is being delivered to the Company) or electronically. Any notice delivered in person or by mail shall be deemed to be delivered on the date on which it is personally delivered, or, whether actually received or not, on the third business day after it is deposited in the United States mail, certified or registered, postage prepaid, addressed to the person who is to receive it at the address set forth in this Agreement. Any notices delivered electronically shall be deemed to be delivered when transmitted and receipt is confirmed. Notices delivered to the Participant in person or by mail shall be addressed to the address for the Participant in the records of the Company. Notices delivered to the Company in person or by mail shall be addressed as follows:</w:t>
      </w:r>
    </w:p>
    <w:p>
      <w:pPr>
        <w:sectPr>
          <w:pgSz w:w="11900" w:h="16838" w:orient="portrait"/>
          <w:cols w:equalWidth="0" w:num="1">
            <w:col w:w="11240"/>
          </w:cols>
          <w:pgMar w:left="320" w:top="1440" w:right="339" w:bottom="1440" w:gutter="0" w:footer="0" w:header="0"/>
        </w:sectPr>
      </w:pPr>
    </w:p>
    <w:p>
      <w:pPr>
        <w:spacing w:after="0" w:line="222" w:lineRule="exact"/>
        <w:rPr>
          <w:sz w:val="20"/>
          <w:szCs w:val="20"/>
          <w:color w:val="auto"/>
        </w:rPr>
      </w:pPr>
    </w:p>
    <w:p>
      <w:pPr>
        <w:ind w:left="1400"/>
        <w:spacing w:after="0"/>
        <w:rPr>
          <w:sz w:val="20"/>
          <w:szCs w:val="20"/>
          <w:color w:val="auto"/>
        </w:rPr>
      </w:pPr>
      <w:r>
        <w:rPr>
          <w:rFonts w:ascii="Verdana" w:cs="Verdana" w:eastAsia="Verdana" w:hAnsi="Verdana"/>
          <w:sz w:val="16"/>
          <w:szCs w:val="16"/>
          <w:color w:val="auto"/>
        </w:rPr>
        <w:t>Company:</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Verdana" w:cs="Verdana" w:eastAsia="Verdana" w:hAnsi="Verdana"/>
          <w:sz w:val="18"/>
          <w:szCs w:val="18"/>
          <w:color w:val="auto"/>
        </w:rPr>
        <w:t>NRG Energy, Inc.</w:t>
      </w:r>
    </w:p>
    <w:p>
      <w:pPr>
        <w:spacing w:after="0"/>
        <w:rPr>
          <w:sz w:val="20"/>
          <w:szCs w:val="20"/>
          <w:color w:val="auto"/>
        </w:rPr>
      </w:pPr>
      <w:r>
        <w:rPr>
          <w:rFonts w:ascii="Verdana" w:cs="Verdana" w:eastAsia="Verdana" w:hAnsi="Verdana"/>
          <w:sz w:val="16"/>
          <w:szCs w:val="16"/>
          <w:color w:val="auto"/>
        </w:rPr>
        <w:t>Attn: Talent &amp; Culture</w:t>
      </w:r>
    </w:p>
    <w:p>
      <w:pPr>
        <w:spacing w:after="0" w:line="8" w:lineRule="exact"/>
        <w:rPr>
          <w:sz w:val="20"/>
          <w:szCs w:val="20"/>
          <w:color w:val="auto"/>
        </w:rPr>
      </w:pPr>
    </w:p>
    <w:p>
      <w:pPr>
        <w:spacing w:after="0"/>
        <w:rPr>
          <w:sz w:val="20"/>
          <w:szCs w:val="20"/>
          <w:color w:val="auto"/>
        </w:rPr>
      </w:pPr>
      <w:r>
        <w:rPr>
          <w:rFonts w:ascii="Verdana" w:cs="Verdana" w:eastAsia="Verdana" w:hAnsi="Verdana"/>
          <w:sz w:val="18"/>
          <w:szCs w:val="18"/>
          <w:color w:val="auto"/>
        </w:rPr>
        <w:t>804 Carnegie Center</w:t>
      </w:r>
    </w:p>
    <w:p>
      <w:pPr>
        <w:spacing w:after="0"/>
        <w:rPr>
          <w:sz w:val="20"/>
          <w:szCs w:val="20"/>
          <w:color w:val="auto"/>
        </w:rPr>
      </w:pPr>
      <w:r>
        <w:rPr>
          <w:rFonts w:ascii="Verdana" w:cs="Verdana" w:eastAsia="Verdana" w:hAnsi="Verdana"/>
          <w:sz w:val="18"/>
          <w:szCs w:val="18"/>
          <w:color w:val="auto"/>
        </w:rPr>
        <w:t>Princeton, NJ 08450</w:t>
      </w:r>
    </w:p>
    <w:p>
      <w:pPr>
        <w:spacing w:after="0" w:line="110" w:lineRule="exact"/>
        <w:rPr>
          <w:sz w:val="20"/>
          <w:szCs w:val="20"/>
          <w:color w:val="auto"/>
        </w:rPr>
      </w:pPr>
    </w:p>
    <w:p>
      <w:pPr>
        <w:sectPr>
          <w:pgSz w:w="11900" w:h="16838" w:orient="portrait"/>
          <w:cols w:equalWidth="0" w:num="2">
            <w:col w:w="2780" w:space="720"/>
            <w:col w:w="7740"/>
          </w:cols>
          <w:pgMar w:left="320" w:top="1440" w:right="339" w:bottom="1440" w:gutter="0" w:footer="0" w:header="0"/>
          <w:type w:val="continuous"/>
        </w:sectPr>
      </w:pPr>
    </w:p>
    <w:p>
      <w:pPr>
        <w:ind w:left="640"/>
        <w:spacing w:after="0" w:line="241" w:lineRule="auto"/>
        <w:rPr>
          <w:sz w:val="20"/>
          <w:szCs w:val="20"/>
          <w:color w:val="auto"/>
        </w:rPr>
      </w:pPr>
      <w:r>
        <w:rPr>
          <w:rFonts w:ascii="Verdana" w:cs="Verdana" w:eastAsia="Verdana" w:hAnsi="Verdana"/>
          <w:sz w:val="18"/>
          <w:szCs w:val="18"/>
          <w:color w:val="auto"/>
        </w:rPr>
        <w:t>The Company or the Participant may change, by written notice to the other, the address previously specified for receiving notices.</w:t>
      </w:r>
    </w:p>
    <w:p>
      <w:pPr>
        <w:spacing w:after="0" w:line="166" w:lineRule="exact"/>
        <w:rPr>
          <w:sz w:val="20"/>
          <w:szCs w:val="20"/>
          <w:color w:val="auto"/>
        </w:rPr>
      </w:pPr>
    </w:p>
    <w:p>
      <w:pPr>
        <w:ind w:left="1260" w:hanging="623"/>
        <w:spacing w:after="0"/>
        <w:tabs>
          <w:tab w:leader="none" w:pos="1260" w:val="left"/>
        </w:tabs>
        <w:numPr>
          <w:ilvl w:val="0"/>
          <w:numId w:val="226"/>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No Waiver</w:t>
      </w:r>
    </w:p>
    <w:p>
      <w:pPr>
        <w:spacing w:after="0" w:line="189" w:lineRule="exact"/>
        <w:rPr>
          <w:sz w:val="20"/>
          <w:szCs w:val="20"/>
          <w:color w:val="auto"/>
        </w:rPr>
      </w:pPr>
    </w:p>
    <w:p>
      <w:pPr>
        <w:jc w:val="both"/>
        <w:ind w:left="640"/>
        <w:spacing w:after="0" w:line="237" w:lineRule="auto"/>
        <w:rPr>
          <w:sz w:val="20"/>
          <w:szCs w:val="20"/>
          <w:color w:val="auto"/>
        </w:rPr>
      </w:pPr>
      <w:r>
        <w:rPr>
          <w:rFonts w:ascii="Verdana" w:cs="Verdana" w:eastAsia="Verdana" w:hAnsi="Verdana"/>
          <w:sz w:val="18"/>
          <w:szCs w:val="18"/>
          <w:color w:val="auto"/>
        </w:rPr>
        <w:t>No waiver of any provision of this Agreement will be valid unless in writing and signed by the person against whom such waiver is sought to be enforced, nor will failure to enforce any right under this Agreement constitute a continuing waiver of the same or a waiver of any other right hereunder.</w:t>
      </w:r>
    </w:p>
    <w:p>
      <w:pPr>
        <w:spacing w:after="0" w:line="168" w:lineRule="exact"/>
        <w:rPr>
          <w:sz w:val="20"/>
          <w:szCs w:val="20"/>
          <w:color w:val="auto"/>
        </w:rPr>
      </w:pPr>
    </w:p>
    <w:p>
      <w:pPr>
        <w:ind w:left="1260" w:hanging="623"/>
        <w:spacing w:after="0"/>
        <w:tabs>
          <w:tab w:leader="none" w:pos="1260" w:val="left"/>
        </w:tabs>
        <w:numPr>
          <w:ilvl w:val="0"/>
          <w:numId w:val="227"/>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Undertaking</w:t>
      </w:r>
    </w:p>
    <w:p>
      <w:pPr>
        <w:spacing w:after="0" w:line="202" w:lineRule="exact"/>
        <w:rPr>
          <w:sz w:val="20"/>
          <w:szCs w:val="20"/>
          <w:color w:val="auto"/>
        </w:rPr>
      </w:pPr>
    </w:p>
    <w:p>
      <w:pPr>
        <w:jc w:val="both"/>
        <w:ind w:left="640"/>
        <w:spacing w:after="0" w:line="237" w:lineRule="auto"/>
        <w:rPr>
          <w:sz w:val="20"/>
          <w:szCs w:val="20"/>
          <w:color w:val="auto"/>
        </w:rPr>
      </w:pPr>
      <w:r>
        <w:rPr>
          <w:rFonts w:ascii="Verdana" w:cs="Verdana" w:eastAsia="Verdana" w:hAnsi="Verdana"/>
          <w:sz w:val="18"/>
          <w:szCs w:val="18"/>
          <w:color w:val="auto"/>
        </w:rPr>
        <w:t>The Participant hereby agrees to take whatever additional action, and execute whatever additional documents, the Company may deem necessary or advisable in order to carry out or effect one or more of the obligations or restrictions imposed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LEGAL\81347992\6</w:t>
      </w:r>
    </w:p>
    <w:p>
      <w:pPr>
        <w:spacing w:after="0" w:line="7" w:lineRule="exact"/>
        <w:rPr>
          <w:sz w:val="20"/>
          <w:szCs w:val="20"/>
          <w:color w:val="auto"/>
        </w:rPr>
      </w:pPr>
    </w:p>
    <w:p>
      <w:pPr>
        <w:spacing w:after="0"/>
        <w:rPr>
          <w:sz w:val="20"/>
          <w:szCs w:val="20"/>
          <w:color w:val="auto"/>
        </w:rPr>
      </w:pPr>
      <w:r>
        <w:rPr>
          <w:rFonts w:ascii="Verdana" w:cs="Verdana" w:eastAsia="Verdana" w:hAnsi="Verdana"/>
          <w:sz w:val="14"/>
          <w:szCs w:val="14"/>
          <w:color w:val="auto"/>
        </w:rPr>
        <w:t>2026 RPSU Agreement (CEO)</w:t>
      </w:r>
    </w:p>
    <w:p>
      <w:pPr>
        <w:sectPr>
          <w:pgSz w:w="11900" w:h="16838" w:orient="portrait"/>
          <w:cols w:equalWidth="0" w:num="1">
            <w:col w:w="11240"/>
          </w:cols>
          <w:pgMar w:left="320" w:top="1440" w:right="339" w:bottom="1440" w:gutter="0" w:footer="0" w:header="0"/>
          <w:type w:val="continuous"/>
        </w:sectPr>
      </w:pPr>
    </w:p>
    <w:bookmarkStart w:id="249" w:name="page250"/>
    <w:bookmarkEnd w:id="249"/>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40"/>
        <w:spacing w:after="0"/>
        <w:rPr>
          <w:sz w:val="20"/>
          <w:szCs w:val="20"/>
          <w:color w:val="auto"/>
        </w:rPr>
      </w:pPr>
      <w:r>
        <w:rPr>
          <w:rFonts w:ascii="Verdana" w:cs="Verdana" w:eastAsia="Verdana" w:hAnsi="Verdana"/>
          <w:sz w:val="18"/>
          <w:szCs w:val="18"/>
          <w:color w:val="auto"/>
        </w:rPr>
        <w:t>either the Participant or the award pursuant to the express provisions of this Agreement.</w:t>
      </w:r>
    </w:p>
    <w:p>
      <w:pPr>
        <w:spacing w:after="0" w:line="176" w:lineRule="exact"/>
        <w:rPr>
          <w:sz w:val="20"/>
          <w:szCs w:val="20"/>
          <w:color w:val="auto"/>
        </w:rPr>
      </w:pPr>
    </w:p>
    <w:p>
      <w:pPr>
        <w:ind w:left="1260" w:hanging="623"/>
        <w:spacing w:after="0"/>
        <w:tabs>
          <w:tab w:leader="none" w:pos="1260" w:val="left"/>
        </w:tabs>
        <w:numPr>
          <w:ilvl w:val="0"/>
          <w:numId w:val="228"/>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Entire Contract</w:t>
      </w:r>
    </w:p>
    <w:p>
      <w:pPr>
        <w:spacing w:after="0" w:line="189" w:lineRule="exact"/>
        <w:rPr>
          <w:sz w:val="20"/>
          <w:szCs w:val="20"/>
          <w:color w:val="auto"/>
        </w:rPr>
      </w:pPr>
    </w:p>
    <w:p>
      <w:pPr>
        <w:jc w:val="both"/>
        <w:ind w:left="640"/>
        <w:spacing w:after="0" w:line="237" w:lineRule="auto"/>
        <w:rPr>
          <w:sz w:val="20"/>
          <w:szCs w:val="20"/>
          <w:color w:val="auto"/>
        </w:rPr>
      </w:pPr>
      <w:r>
        <w:rPr>
          <w:rFonts w:ascii="Verdana" w:cs="Verdana" w:eastAsia="Verdana" w:hAnsi="Verdana"/>
          <w:sz w:val="18"/>
          <w:szCs w:val="18"/>
          <w:color w:val="auto"/>
        </w:rPr>
        <w:t>This Agreement and the Plan constitute the entire contract between the parties hereto with regard to the subject matter hereof. This Agreement is made pursuant to the provisions of the Plan and will in all respects be construed in conformity with the express terms and provisions of the Plan.</w:t>
      </w:r>
    </w:p>
    <w:p>
      <w:pPr>
        <w:spacing w:after="0" w:line="168" w:lineRule="exact"/>
        <w:rPr>
          <w:sz w:val="20"/>
          <w:szCs w:val="20"/>
          <w:color w:val="auto"/>
        </w:rPr>
      </w:pPr>
    </w:p>
    <w:p>
      <w:pPr>
        <w:ind w:left="1260" w:hanging="623"/>
        <w:spacing w:after="0"/>
        <w:tabs>
          <w:tab w:leader="none" w:pos="1260" w:val="left"/>
        </w:tabs>
        <w:numPr>
          <w:ilvl w:val="0"/>
          <w:numId w:val="229"/>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Successors and Assigns</w:t>
      </w:r>
    </w:p>
    <w:p>
      <w:pPr>
        <w:spacing w:after="0" w:line="189" w:lineRule="exact"/>
        <w:rPr>
          <w:sz w:val="20"/>
          <w:szCs w:val="20"/>
          <w:color w:val="auto"/>
        </w:rPr>
      </w:pPr>
    </w:p>
    <w:p>
      <w:pPr>
        <w:jc w:val="both"/>
        <w:ind w:left="640"/>
        <w:spacing w:after="0" w:line="237" w:lineRule="auto"/>
        <w:rPr>
          <w:sz w:val="20"/>
          <w:szCs w:val="20"/>
          <w:color w:val="auto"/>
        </w:rPr>
      </w:pPr>
      <w:r>
        <w:rPr>
          <w:rFonts w:ascii="Verdana" w:cs="Verdana" w:eastAsia="Verdana" w:hAnsi="Verdana"/>
          <w:sz w:val="18"/>
          <w:szCs w:val="18"/>
          <w:color w:val="auto"/>
        </w:rPr>
        <w:t>The provisions of this Agreement shall inure to the benefit of, and be binding on, the Company and its successors and assigns and Participant and Participant’s legal representatives, heirs, legatees, distributees, assigns and transferees by operation of law.</w:t>
      </w:r>
    </w:p>
    <w:p>
      <w:pPr>
        <w:spacing w:after="0" w:line="168" w:lineRule="exact"/>
        <w:rPr>
          <w:sz w:val="20"/>
          <w:szCs w:val="20"/>
          <w:color w:val="auto"/>
        </w:rPr>
      </w:pPr>
    </w:p>
    <w:p>
      <w:pPr>
        <w:ind w:left="1260" w:hanging="623"/>
        <w:spacing w:after="0"/>
        <w:tabs>
          <w:tab w:leader="none" w:pos="1260" w:val="left"/>
        </w:tabs>
        <w:numPr>
          <w:ilvl w:val="0"/>
          <w:numId w:val="230"/>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Securities Law Compliance</w:t>
      </w:r>
    </w:p>
    <w:p>
      <w:pPr>
        <w:spacing w:after="0" w:line="202" w:lineRule="exact"/>
        <w:rPr>
          <w:sz w:val="20"/>
          <w:szCs w:val="20"/>
          <w:color w:val="auto"/>
        </w:rPr>
      </w:pPr>
    </w:p>
    <w:p>
      <w:pPr>
        <w:jc w:val="both"/>
        <w:ind w:left="640"/>
        <w:spacing w:after="0" w:line="232" w:lineRule="auto"/>
        <w:rPr>
          <w:sz w:val="20"/>
          <w:szCs w:val="20"/>
          <w:color w:val="auto"/>
        </w:rPr>
      </w:pPr>
      <w:r>
        <w:rPr>
          <w:rFonts w:ascii="Verdana" w:cs="Verdana" w:eastAsia="Verdana" w:hAnsi="Verdana"/>
          <w:sz w:val="18"/>
          <w:szCs w:val="18"/>
          <w:color w:val="auto"/>
        </w:rPr>
        <w:t>The Company currently has an effective registration statement on file with the Securities and Exchange Commission with respect to the shares of Common Stock underlying the RPSUs awarded under this Agreement. The Company intends to maintain this registration statement but has no obligation to the Participant to do so. If the registration statement ceases to be effective, the Participant will not be able to transfer or sell shares of Common Stock issued pursuant to the award, unless exemptions from registration under applicable securities laws are available. Such exemptions from registration are very limited and might be unavailable. Participant agrees that any resale of the shares of Common Stock issued pursuant to the award shall comply in all respects with the requirements of all applicable securities laws, rules and regulations (including, without limitation, the provisions of the Securities Act of 1933, the Securities Exchange Act of 1934 and the respective rules and regulations promulgated thereunder) and any other law, rule or regulation applicable thereto, as such laws, rules, and regulations may be amended from time to time. The Company shall not be obligated to either issue shares of Common Stock or permit the resale of any such shares if such issuance or resale would violate any such requirements.</w:t>
      </w:r>
    </w:p>
    <w:p>
      <w:pPr>
        <w:spacing w:after="0" w:line="173" w:lineRule="exact"/>
        <w:rPr>
          <w:sz w:val="20"/>
          <w:szCs w:val="20"/>
          <w:color w:val="auto"/>
        </w:rPr>
      </w:pPr>
    </w:p>
    <w:p>
      <w:pPr>
        <w:ind w:left="1260" w:hanging="623"/>
        <w:spacing w:after="0"/>
        <w:tabs>
          <w:tab w:leader="none" w:pos="1260" w:val="left"/>
        </w:tabs>
        <w:numPr>
          <w:ilvl w:val="0"/>
          <w:numId w:val="231"/>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Taxes</w:t>
      </w:r>
    </w:p>
    <w:p>
      <w:pPr>
        <w:spacing w:after="0" w:line="189" w:lineRule="exact"/>
        <w:rPr>
          <w:sz w:val="20"/>
          <w:szCs w:val="20"/>
          <w:color w:val="auto"/>
        </w:rPr>
      </w:pPr>
    </w:p>
    <w:p>
      <w:pPr>
        <w:jc w:val="both"/>
        <w:ind w:left="640"/>
        <w:spacing w:after="0" w:line="233" w:lineRule="auto"/>
        <w:rPr>
          <w:sz w:val="20"/>
          <w:szCs w:val="20"/>
          <w:color w:val="auto"/>
        </w:rPr>
      </w:pPr>
      <w:r>
        <w:rPr>
          <w:rFonts w:ascii="Verdana" w:cs="Verdana" w:eastAsia="Verdana" w:hAnsi="Verdana"/>
          <w:sz w:val="18"/>
          <w:szCs w:val="18"/>
          <w:color w:val="auto"/>
        </w:rPr>
        <w:t>The Participant acknowledges that the vesting, earning, and settlement of RPSUs will give rise to a withholding tax liability and that no shares of Common Stock are issuable hereunder until such withholding obligation is satisfied in full. The Participant agrees to remit to the Company the amount of any taxes required to be withheld. The Committee may, in its sole discretion, require or permit the Participant to satisfy all or part of such tax obligation, and the Participant agrees to cooperate with the Committee or Company in any such action, by (i) withholding the number of shares of Common Stock otherwise issuable to the Participant hereunder which shall be retained by the Company, (ii) a “sell-to-cover” arrangement whereby the number of shares of Common Stock otherwise issuable to the Participant is sold on behalf of the Participant, and/or (iii) the Participant transferring to the Company unrestricted shares of Common Stock previously owned by the Participant that have a Fair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LEGAL\81347992\6</w:t>
      </w:r>
    </w:p>
    <w:p>
      <w:pPr>
        <w:spacing w:after="0" w:line="7" w:lineRule="exact"/>
        <w:rPr>
          <w:sz w:val="20"/>
          <w:szCs w:val="20"/>
          <w:color w:val="auto"/>
        </w:rPr>
      </w:pPr>
    </w:p>
    <w:p>
      <w:pPr>
        <w:spacing w:after="0"/>
        <w:rPr>
          <w:sz w:val="20"/>
          <w:szCs w:val="20"/>
          <w:color w:val="auto"/>
        </w:rPr>
      </w:pPr>
      <w:r>
        <w:rPr>
          <w:rFonts w:ascii="Verdana" w:cs="Verdana" w:eastAsia="Verdana" w:hAnsi="Verdana"/>
          <w:sz w:val="14"/>
          <w:szCs w:val="14"/>
          <w:color w:val="auto"/>
        </w:rPr>
        <w:t>2026 RPSU Agreement (CEO)</w:t>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40"/>
        <w:spacing w:after="0" w:line="241" w:lineRule="auto"/>
        <w:rPr>
          <w:sz w:val="20"/>
          <w:szCs w:val="20"/>
          <w:color w:val="auto"/>
        </w:rPr>
      </w:pPr>
      <w:r>
        <w:rPr>
          <w:rFonts w:ascii="Verdana" w:cs="Verdana" w:eastAsia="Verdana" w:hAnsi="Verdana"/>
          <w:sz w:val="18"/>
          <w:szCs w:val="18"/>
          <w:color w:val="auto"/>
        </w:rPr>
        <w:t>Value equal to the amount of the withholding to be credited. Such withholding obligation value shall be based on the Fair Market Value of the Common Stock as of the date the amount of tax to be withheld is determined.</w:t>
      </w:r>
    </w:p>
    <w:p>
      <w:pPr>
        <w:spacing w:after="0" w:line="166" w:lineRule="exact"/>
        <w:rPr>
          <w:sz w:val="20"/>
          <w:szCs w:val="20"/>
          <w:color w:val="auto"/>
        </w:rPr>
      </w:pPr>
    </w:p>
    <w:p>
      <w:pPr>
        <w:ind w:left="1260" w:hanging="623"/>
        <w:spacing w:after="0"/>
        <w:tabs>
          <w:tab w:leader="none" w:pos="1260" w:val="left"/>
        </w:tabs>
        <w:numPr>
          <w:ilvl w:val="0"/>
          <w:numId w:val="232"/>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Governing Law</w:t>
      </w:r>
    </w:p>
    <w:p>
      <w:pPr>
        <w:spacing w:after="0" w:line="189" w:lineRule="exact"/>
        <w:rPr>
          <w:sz w:val="20"/>
          <w:szCs w:val="20"/>
          <w:color w:val="auto"/>
        </w:rPr>
      </w:pPr>
    </w:p>
    <w:p>
      <w:pPr>
        <w:ind w:left="640"/>
        <w:spacing w:after="0" w:line="241" w:lineRule="auto"/>
        <w:rPr>
          <w:sz w:val="20"/>
          <w:szCs w:val="20"/>
          <w:color w:val="auto"/>
        </w:rPr>
      </w:pPr>
      <w:r>
        <w:rPr>
          <w:rFonts w:ascii="Verdana" w:cs="Verdana" w:eastAsia="Verdana" w:hAnsi="Verdana"/>
          <w:sz w:val="18"/>
          <w:szCs w:val="18"/>
          <w:color w:val="auto"/>
        </w:rPr>
        <w:t>Except as may otherwise be provided in the Plan, the provisions of this Agreement shall be governed by the laws of the State of Delaware without giving effect to principles of conflicts of law.</w:t>
      </w:r>
    </w:p>
    <w:p>
      <w:pPr>
        <w:spacing w:after="0" w:line="166" w:lineRule="exact"/>
        <w:rPr>
          <w:sz w:val="20"/>
          <w:szCs w:val="20"/>
          <w:color w:val="auto"/>
        </w:rPr>
      </w:pPr>
    </w:p>
    <w:p>
      <w:pPr>
        <w:ind w:left="1260" w:hanging="623"/>
        <w:spacing w:after="0"/>
        <w:tabs>
          <w:tab w:leader="none" w:pos="1260" w:val="left"/>
        </w:tabs>
        <w:numPr>
          <w:ilvl w:val="0"/>
          <w:numId w:val="233"/>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Code Section 409A Compliance</w:t>
      </w:r>
    </w:p>
    <w:p>
      <w:pPr>
        <w:spacing w:after="0" w:line="189" w:lineRule="exact"/>
        <w:rPr>
          <w:sz w:val="20"/>
          <w:szCs w:val="20"/>
          <w:color w:val="auto"/>
        </w:rPr>
      </w:pPr>
    </w:p>
    <w:p>
      <w:pPr>
        <w:jc w:val="both"/>
        <w:ind w:left="640"/>
        <w:spacing w:after="0" w:line="234" w:lineRule="auto"/>
        <w:rPr>
          <w:sz w:val="20"/>
          <w:szCs w:val="20"/>
          <w:color w:val="auto"/>
        </w:rPr>
      </w:pPr>
      <w:r>
        <w:rPr>
          <w:rFonts w:ascii="Verdana" w:cs="Verdana" w:eastAsia="Verdana" w:hAnsi="Verdana"/>
          <w:sz w:val="18"/>
          <w:szCs w:val="18"/>
          <w:color w:val="auto"/>
        </w:rPr>
        <w:t>To the extent that the Committee determines that the award granted under this Agreement is subject to Section 409A of the Code and fails to comply with the requirements of such Section, notwithstanding anything to the contrary contained in the Plan or in this Agreement, the Committee reserves the right to amend, restructure, terminate or replace this award in order to cause the award to either not be subject to Section 409A of the Code or comply with the applicable provisions of such Section.</w:t>
      </w:r>
    </w:p>
    <w:p>
      <w:pPr>
        <w:spacing w:after="0" w:line="197"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12</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LEGAL\81347992\6</w:t>
      </w:r>
    </w:p>
    <w:p>
      <w:pPr>
        <w:spacing w:after="0" w:line="7" w:lineRule="exact"/>
        <w:rPr>
          <w:sz w:val="20"/>
          <w:szCs w:val="20"/>
          <w:color w:val="auto"/>
        </w:rPr>
      </w:pPr>
    </w:p>
    <w:p>
      <w:pPr>
        <w:spacing w:after="0"/>
        <w:rPr>
          <w:sz w:val="20"/>
          <w:szCs w:val="20"/>
          <w:color w:val="auto"/>
        </w:rPr>
      </w:pPr>
      <w:r>
        <w:rPr>
          <w:rFonts w:ascii="Verdana" w:cs="Verdana" w:eastAsia="Verdana" w:hAnsi="Verdana"/>
          <w:sz w:val="14"/>
          <w:szCs w:val="14"/>
          <w:color w:val="auto"/>
        </w:rPr>
        <w:t>2026 RPSU Agreement (CEO)</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Verdana" w:cs="Verdana" w:eastAsia="Verdana" w:hAnsi="Verdana"/>
          <w:sz w:val="16"/>
          <w:szCs w:val="16"/>
          <w:color w:val="auto"/>
        </w:rPr>
        <w:t>IN WITNESS WHEREOF, this Agreement has been executed as of the Date of Grant.</w:t>
      </w:r>
    </w:p>
    <w:p>
      <w:pPr>
        <w:spacing w:after="0" w:line="253" w:lineRule="exact"/>
        <w:rPr>
          <w:sz w:val="20"/>
          <w:szCs w:val="20"/>
          <w:color w:val="auto"/>
        </w:rPr>
      </w:pPr>
    </w:p>
    <w:p>
      <w:pPr>
        <w:ind w:left="3160"/>
        <w:spacing w:after="0"/>
        <w:rPr>
          <w:sz w:val="20"/>
          <w:szCs w:val="20"/>
          <w:color w:val="auto"/>
        </w:rPr>
      </w:pPr>
      <w:r>
        <w:rPr>
          <w:rFonts w:ascii="Verdana" w:cs="Verdana" w:eastAsia="Verdana" w:hAnsi="Verdana"/>
          <w:sz w:val="18"/>
          <w:szCs w:val="18"/>
          <w:b w:val="1"/>
          <w:bCs w:val="1"/>
          <w:color w:val="auto"/>
        </w:rPr>
        <w:t>NRG ENERGY, INC.</w:t>
      </w:r>
    </w:p>
    <w:p>
      <w:pPr>
        <w:spacing w:after="0" w:line="5" w:lineRule="exact"/>
        <w:rPr>
          <w:sz w:val="20"/>
          <w:szCs w:val="20"/>
          <w:color w:val="auto"/>
        </w:rPr>
      </w:pPr>
    </w:p>
    <w:p>
      <w:pPr>
        <w:ind w:left="4120"/>
        <w:spacing w:after="0"/>
        <w:rPr>
          <w:sz w:val="20"/>
          <w:szCs w:val="20"/>
          <w:color w:val="auto"/>
        </w:rPr>
      </w:pPr>
      <w:r>
        <w:rPr>
          <w:rFonts w:ascii="Verdana" w:cs="Verdana" w:eastAsia="Verdana" w:hAnsi="Verdana"/>
          <w:sz w:val="18"/>
          <w:szCs w:val="18"/>
          <w:color w:val="auto"/>
        </w:rPr>
        <w:t>/s/ Brian Curci</w:t>
      </w:r>
    </w:p>
    <w:p>
      <w:pPr>
        <w:spacing w:after="0" w:line="5" w:lineRule="exact"/>
        <w:rPr>
          <w:sz w:val="20"/>
          <w:szCs w:val="20"/>
          <w:color w:val="auto"/>
        </w:rPr>
      </w:pPr>
    </w:p>
    <w:p>
      <w:pPr>
        <w:ind w:left="3100"/>
        <w:spacing w:after="0"/>
        <w:tabs>
          <w:tab w:leader="none" w:pos="4000" w:val="left"/>
        </w:tabs>
        <w:rPr>
          <w:sz w:val="20"/>
          <w:szCs w:val="20"/>
          <w:color w:val="auto"/>
        </w:rPr>
      </w:pPr>
      <w:r>
        <w:rPr>
          <w:rFonts w:ascii="Verdana" w:cs="Verdana" w:eastAsia="Verdana" w:hAnsi="Verdana"/>
          <w:sz w:val="18"/>
          <w:szCs w:val="18"/>
          <w:color w:val="auto"/>
        </w:rPr>
        <w:t>Name:</w:t>
      </w:r>
      <w:r>
        <w:rPr>
          <w:sz w:val="20"/>
          <w:szCs w:val="20"/>
          <w:color w:val="auto"/>
        </w:rPr>
        <w:tab/>
      </w:r>
      <w:r>
        <w:rPr>
          <w:rFonts w:ascii="Verdana" w:cs="Verdana" w:eastAsia="Verdana" w:hAnsi="Verdana"/>
          <w:sz w:val="18"/>
          <w:szCs w:val="18"/>
          <w:color w:val="auto"/>
        </w:rPr>
        <w:t>Brian Curci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2501900</wp:posOffset>
            </wp:positionH>
            <wp:positionV relativeFrom="paragraph">
              <wp:posOffset>-135255</wp:posOffset>
            </wp:positionV>
            <wp:extent cx="24396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65">
                      <a:extLst>
                        <a:ext uri="{28A0092B-C50C-407E-A947-70E740481C1C}"/>
                      </a:extLst>
                    </a:blip>
                    <a:srcRect/>
                    <a:stretch>
                      <a:fillRect/>
                    </a:stretch>
                  </pic:blipFill>
                  <pic:spPr bwMode="auto">
                    <a:xfrm>
                      <a:off x="0" y="0"/>
                      <a:ext cx="2439670" cy="8255"/>
                    </a:xfrm>
                    <a:prstGeom prst="rect">
                      <a:avLst/>
                    </a:prstGeom>
                    <a:noFill/>
                  </pic:spPr>
                </pic:pic>
              </a:graphicData>
            </a:graphic>
          </wp:anchor>
        </w:drawing>
      </w:r>
    </w:p>
    <w:p>
      <w:pPr>
        <w:ind w:left="3100"/>
        <w:spacing w:after="0"/>
        <w:tabs>
          <w:tab w:leader="none" w:pos="4000" w:val="left"/>
        </w:tabs>
        <w:rPr>
          <w:sz w:val="20"/>
          <w:szCs w:val="20"/>
          <w:color w:val="auto"/>
        </w:rPr>
      </w:pPr>
      <w:r>
        <w:rPr>
          <w:rFonts w:ascii="Verdana" w:cs="Verdana" w:eastAsia="Verdana" w:hAnsi="Verdana"/>
          <w:sz w:val="18"/>
          <w:szCs w:val="18"/>
          <w:color w:val="auto"/>
        </w:rPr>
        <w:t>Title:</w:t>
      </w:r>
      <w:r>
        <w:rPr>
          <w:sz w:val="20"/>
          <w:szCs w:val="20"/>
          <w:color w:val="auto"/>
        </w:rPr>
        <w:tab/>
      </w:r>
      <w:r>
        <w:rPr>
          <w:rFonts w:ascii="Verdana" w:cs="Verdana" w:eastAsia="Verdana" w:hAnsi="Verdana"/>
          <w:sz w:val="18"/>
          <w:szCs w:val="18"/>
          <w:color w:val="auto"/>
        </w:rPr>
        <w:t>EVP,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2501900</wp:posOffset>
            </wp:positionH>
            <wp:positionV relativeFrom="paragraph">
              <wp:posOffset>14605</wp:posOffset>
            </wp:positionV>
            <wp:extent cx="24396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66">
                      <a:extLst>
                        <a:ext uri="{28A0092B-C50C-407E-A947-70E740481C1C}"/>
                      </a:extLst>
                    </a:blip>
                    <a:srcRect/>
                    <a:stretch>
                      <a:fillRect/>
                    </a:stretch>
                  </pic:blipFill>
                  <pic:spPr bwMode="auto">
                    <a:xfrm>
                      <a:off x="0" y="0"/>
                      <a:ext cx="2439670" cy="8255"/>
                    </a:xfrm>
                    <a:prstGeom prst="rect">
                      <a:avLst/>
                    </a:prstGeom>
                    <a:noFill/>
                  </pic:spPr>
                </pic:pic>
              </a:graphicData>
            </a:graphic>
          </wp:anchor>
        </w:drawing>
        <w:drawing>
          <wp:anchor simplePos="0" relativeHeight="251657728" behindDoc="1" locked="0" layoutInCell="0" allowOverlap="1">
            <wp:simplePos x="0" y="0"/>
            <wp:positionH relativeFrom="column">
              <wp:posOffset>2501900</wp:posOffset>
            </wp:positionH>
            <wp:positionV relativeFrom="paragraph">
              <wp:posOffset>-135255</wp:posOffset>
            </wp:positionV>
            <wp:extent cx="243967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67">
                      <a:extLst>
                        <a:ext uri="{28A0092B-C50C-407E-A947-70E740481C1C}"/>
                      </a:extLst>
                    </a:blip>
                    <a:srcRect/>
                    <a:stretch>
                      <a:fillRect/>
                    </a:stretch>
                  </pic:blipFill>
                  <pic:spPr bwMode="auto">
                    <a:xfrm>
                      <a:off x="0" y="0"/>
                      <a:ext cx="2439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13</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LEGAL\81347992\6</w:t>
      </w:r>
    </w:p>
    <w:p>
      <w:pPr>
        <w:spacing w:after="0" w:line="7" w:lineRule="exact"/>
        <w:rPr>
          <w:sz w:val="20"/>
          <w:szCs w:val="20"/>
          <w:color w:val="auto"/>
        </w:rPr>
      </w:pPr>
    </w:p>
    <w:p>
      <w:pPr>
        <w:spacing w:after="0"/>
        <w:rPr>
          <w:sz w:val="20"/>
          <w:szCs w:val="20"/>
          <w:color w:val="auto"/>
        </w:rPr>
      </w:pPr>
      <w:r>
        <w:rPr>
          <w:rFonts w:ascii="Verdana" w:cs="Verdana" w:eastAsia="Verdana" w:hAnsi="Verdana"/>
          <w:sz w:val="14"/>
          <w:szCs w:val="14"/>
          <w:color w:val="auto"/>
        </w:rPr>
        <w:t>2026 RPSU Agreement (CEO)</w:t>
      </w:r>
    </w:p>
    <w:p>
      <w:pPr>
        <w:sectPr>
          <w:pgSz w:w="11900" w:h="16838" w:orient="portrait"/>
          <w:cols w:equalWidth="0" w:num="1">
            <w:col w:w="10139"/>
          </w:cols>
          <w:pgMar w:left="320" w:top="1440" w:right="1440" w:bottom="1440" w:gutter="0" w:footer="0" w:header="0"/>
        </w:sectPr>
      </w:pPr>
    </w:p>
    <w:bookmarkStart w:id="252" w:name="page253"/>
    <w:bookmarkEnd w:id="252"/>
    <w:p>
      <w:pPr>
        <w:jc w:val="center"/>
        <w:ind w:right="-19"/>
        <w:spacing w:after="0"/>
        <w:rPr>
          <w:sz w:val="20"/>
          <w:szCs w:val="20"/>
          <w:color w:val="auto"/>
        </w:rPr>
      </w:pPr>
      <w:r>
        <w:rPr>
          <w:rFonts w:ascii="Verdana" w:cs="Verdana" w:eastAsia="Verdana" w:hAnsi="Verdana"/>
          <w:sz w:val="18"/>
          <w:szCs w:val="18"/>
          <w:b w:val="1"/>
          <w:bCs w:val="1"/>
          <w:u w:val="single" w:color="auto"/>
          <w:color w:val="auto"/>
        </w:rPr>
        <w:t>EXHIBIT A</w:t>
      </w:r>
    </w:p>
    <w:p>
      <w:pPr>
        <w:spacing w:after="0" w:line="202" w:lineRule="exact"/>
        <w:rPr>
          <w:sz w:val="20"/>
          <w:szCs w:val="20"/>
          <w:color w:val="auto"/>
        </w:rPr>
      </w:pPr>
    </w:p>
    <w:p>
      <w:pPr>
        <w:jc w:val="center"/>
        <w:ind w:right="-19"/>
        <w:spacing w:after="0"/>
        <w:rPr>
          <w:sz w:val="20"/>
          <w:szCs w:val="20"/>
          <w:color w:val="auto"/>
        </w:rPr>
      </w:pPr>
      <w:r>
        <w:rPr>
          <w:rFonts w:ascii="Verdana" w:cs="Verdana" w:eastAsia="Verdana" w:hAnsi="Verdana"/>
          <w:sz w:val="18"/>
          <w:szCs w:val="18"/>
          <w:b w:val="1"/>
          <w:bCs w:val="1"/>
          <w:color w:val="auto"/>
        </w:rPr>
        <w:t>RELATIVE TOTAL SHAREHOLDER RETURN PEER GROUP MEMBERS</w:t>
      </w:r>
    </w:p>
    <w:p>
      <w:pPr>
        <w:spacing w:after="0" w:line="200" w:lineRule="exact"/>
        <w:rPr>
          <w:sz w:val="20"/>
          <w:szCs w:val="20"/>
          <w:color w:val="auto"/>
        </w:rPr>
      </w:pPr>
    </w:p>
    <w:p>
      <w:pPr>
        <w:spacing w:after="0" w:line="213" w:lineRule="exact"/>
        <w:rPr>
          <w:sz w:val="20"/>
          <w:szCs w:val="20"/>
          <w:color w:val="auto"/>
        </w:rPr>
      </w:pPr>
    </w:p>
    <w:p>
      <w:pPr>
        <w:spacing w:after="0" w:line="241" w:lineRule="auto"/>
        <w:rPr>
          <w:sz w:val="20"/>
          <w:szCs w:val="20"/>
          <w:color w:val="auto"/>
        </w:rPr>
      </w:pPr>
      <w:r>
        <w:rPr>
          <w:rFonts w:ascii="Verdana" w:cs="Verdana" w:eastAsia="Verdana" w:hAnsi="Verdana"/>
          <w:sz w:val="18"/>
          <w:szCs w:val="18"/>
          <w:color w:val="auto"/>
        </w:rPr>
        <w:t>The companies that make up the Standard &amp; Poors 500 Index on the first day of the Performance Period modified in accordance with the provisions of Section 2(b) of this Agreement.</w:t>
      </w:r>
    </w:p>
    <w:p>
      <w:pPr>
        <w:sectPr>
          <w:pgSz w:w="11900" w:h="16838" w:orient="portrait"/>
          <w:cols w:equalWidth="0" w:num="1">
            <w:col w:w="11240"/>
          </w:cols>
          <w:pgMar w:left="320" w:top="1397" w:right="339" w:bottom="1440" w:gutter="0" w:footer="0" w:header="0"/>
        </w:sectPr>
      </w:pPr>
    </w:p>
    <w:bookmarkStart w:id="253" w:name="page254"/>
    <w:bookmarkEnd w:id="253"/>
    <w:p>
      <w:pPr>
        <w:ind w:right="60"/>
        <w:spacing w:after="0" w:line="251" w:lineRule="auto"/>
        <w:rPr>
          <w:sz w:val="20"/>
          <w:szCs w:val="20"/>
          <w:color w:val="auto"/>
        </w:rPr>
      </w:pPr>
      <w:r>
        <w:rPr>
          <w:rFonts w:ascii="Verdana" w:cs="Verdana" w:eastAsia="Verdana" w:hAnsi="Verdana"/>
          <w:sz w:val="28"/>
          <w:szCs w:val="28"/>
          <w:b w:val="1"/>
          <w:bCs w:val="1"/>
          <w:color w:val="auto"/>
        </w:rPr>
        <w:t>NRG ENERGY, INC. 2020 OMNIBUS INCENTIVE PLAN (LEGACY VIVINT) NOTICE OF RESTRICTED STOCK UNIT GRANT</w:t>
      </w:r>
    </w:p>
    <w:p>
      <w:pPr>
        <w:spacing w:after="0" w:line="275" w:lineRule="exact"/>
        <w:rPr>
          <w:sz w:val="20"/>
          <w:szCs w:val="20"/>
          <w:color w:val="auto"/>
        </w:rPr>
      </w:pPr>
    </w:p>
    <w:p>
      <w:pPr>
        <w:jc w:val="right"/>
        <w:spacing w:after="0"/>
        <w:rPr>
          <w:sz w:val="20"/>
          <w:szCs w:val="20"/>
          <w:color w:val="auto"/>
        </w:rPr>
      </w:pPr>
      <w:r>
        <w:rPr>
          <w:rFonts w:ascii="Verdana" w:cs="Verdana" w:eastAsia="Verdana" w:hAnsi="Verdana"/>
          <w:sz w:val="28"/>
          <w:szCs w:val="28"/>
          <w:b w:val="1"/>
          <w:bCs w:val="1"/>
          <w:color w:val="auto"/>
        </w:rPr>
        <w:t>Exhibit 10.18</w:t>
      </w:r>
    </w:p>
    <w:p>
      <w:pPr>
        <w:ind w:left="100"/>
        <w:spacing w:after="0" w:line="235" w:lineRule="auto"/>
        <w:rPr>
          <w:sz w:val="20"/>
          <w:szCs w:val="20"/>
          <w:color w:val="auto"/>
        </w:rPr>
      </w:pPr>
      <w:r>
        <w:rPr>
          <w:rFonts w:ascii="Verdana" w:cs="Verdana" w:eastAsia="Verdana" w:hAnsi="Verdana"/>
          <w:sz w:val="18"/>
          <w:szCs w:val="18"/>
          <w:b w:val="1"/>
          <w:bCs w:val="1"/>
          <w:color w:val="auto"/>
        </w:rPr>
        <w:t>%%FIRST_NAME_LAST_NAME%-%</w:t>
      </w:r>
    </w:p>
    <w:p>
      <w:pPr>
        <w:ind w:left="100"/>
        <w:spacing w:after="0" w:line="231" w:lineRule="auto"/>
        <w:rPr>
          <w:sz w:val="20"/>
          <w:szCs w:val="20"/>
          <w:color w:val="auto"/>
        </w:rPr>
      </w:pPr>
      <w:r>
        <w:rPr>
          <w:rFonts w:ascii="Verdana" w:cs="Verdana" w:eastAsia="Verdana" w:hAnsi="Verdana"/>
          <w:sz w:val="18"/>
          <w:szCs w:val="18"/>
          <w:b w:val="1"/>
          <w:bCs w:val="1"/>
          <w:color w:val="auto"/>
        </w:rPr>
        <w:t>%%ADDRESS_LINE_1%-%</w:t>
      </w:r>
    </w:p>
    <w:p>
      <w:pPr>
        <w:spacing w:after="0" w:line="1" w:lineRule="exact"/>
        <w:rPr>
          <w:sz w:val="20"/>
          <w:szCs w:val="20"/>
          <w:color w:val="auto"/>
        </w:rPr>
      </w:pPr>
    </w:p>
    <w:p>
      <w:pPr>
        <w:ind w:left="100"/>
        <w:spacing w:after="0"/>
        <w:rPr>
          <w:sz w:val="20"/>
          <w:szCs w:val="20"/>
          <w:color w:val="auto"/>
        </w:rPr>
      </w:pPr>
      <w:r>
        <w:rPr>
          <w:rFonts w:ascii="Verdana" w:cs="Verdana" w:eastAsia="Verdana" w:hAnsi="Verdana"/>
          <w:sz w:val="18"/>
          <w:szCs w:val="18"/>
          <w:b w:val="1"/>
          <w:bCs w:val="1"/>
          <w:color w:val="auto"/>
        </w:rPr>
        <w:t>%%ADDRESS_LINE_2%-%</w:t>
      </w:r>
    </w:p>
    <w:p>
      <w:pPr>
        <w:spacing w:after="0" w:line="5" w:lineRule="exact"/>
        <w:rPr>
          <w:sz w:val="20"/>
          <w:szCs w:val="20"/>
          <w:color w:val="auto"/>
        </w:rPr>
      </w:pPr>
    </w:p>
    <w:p>
      <w:pPr>
        <w:ind w:left="100"/>
        <w:spacing w:after="0"/>
        <w:rPr>
          <w:sz w:val="20"/>
          <w:szCs w:val="20"/>
          <w:color w:val="auto"/>
        </w:rPr>
      </w:pPr>
      <w:r>
        <w:rPr>
          <w:rFonts w:ascii="Verdana" w:cs="Verdana" w:eastAsia="Verdana" w:hAnsi="Verdana"/>
          <w:sz w:val="18"/>
          <w:szCs w:val="18"/>
          <w:b w:val="1"/>
          <w:bCs w:val="1"/>
          <w:color w:val="auto"/>
        </w:rPr>
        <w:t>%%CITY_STATE_ZIPCODE%-%</w:t>
      </w:r>
    </w:p>
    <w:p>
      <w:pPr>
        <w:spacing w:after="0" w:line="202" w:lineRule="exact"/>
        <w:rPr>
          <w:sz w:val="20"/>
          <w:szCs w:val="20"/>
          <w:color w:val="auto"/>
        </w:rPr>
      </w:pPr>
    </w:p>
    <w:p>
      <w:pPr>
        <w:jc w:val="both"/>
        <w:ind w:right="620"/>
        <w:spacing w:after="0" w:line="233" w:lineRule="auto"/>
        <w:rPr>
          <w:sz w:val="20"/>
          <w:szCs w:val="20"/>
          <w:color w:val="auto"/>
        </w:rPr>
      </w:pPr>
      <w:r>
        <w:rPr>
          <w:rFonts w:ascii="Verdana" w:cs="Verdana" w:eastAsia="Verdana" w:hAnsi="Verdana"/>
          <w:sz w:val="18"/>
          <w:szCs w:val="18"/>
          <w:color w:val="auto"/>
        </w:rPr>
        <w:t>Congratulations on your selection as a Participant under the NRG Energy, Inc. 2020 Omnibus Incentive Plan (Legacy Vivint) (the “</w:t>
      </w:r>
      <w:r>
        <w:rPr>
          <w:rFonts w:ascii="Verdana" w:cs="Verdana" w:eastAsia="Verdana" w:hAnsi="Verdana"/>
          <w:sz w:val="18"/>
          <w:szCs w:val="18"/>
          <w:u w:val="single" w:color="auto"/>
          <w:color w:val="auto"/>
        </w:rPr>
        <w:t>Plan</w:t>
      </w:r>
      <w:r>
        <w:rPr>
          <w:rFonts w:ascii="Verdana" w:cs="Verdana" w:eastAsia="Verdana" w:hAnsi="Verdana"/>
          <w:sz w:val="18"/>
          <w:szCs w:val="18"/>
          <w:color w:val="auto"/>
        </w:rPr>
        <w:t>”). You have been chosen to receive Restricted Stock Units (“</w:t>
      </w:r>
      <w:r>
        <w:rPr>
          <w:rFonts w:ascii="Verdana" w:cs="Verdana" w:eastAsia="Verdana" w:hAnsi="Verdana"/>
          <w:sz w:val="18"/>
          <w:szCs w:val="18"/>
          <w:u w:val="single" w:color="auto"/>
          <w:color w:val="auto"/>
        </w:rPr>
        <w:t>RSUs</w:t>
      </w:r>
      <w:r>
        <w:rPr>
          <w:rFonts w:ascii="Verdana" w:cs="Verdana" w:eastAsia="Verdana" w:hAnsi="Verdana"/>
          <w:sz w:val="18"/>
          <w:szCs w:val="18"/>
          <w:color w:val="auto"/>
        </w:rPr>
        <w:t>”) under the Plan. This Notice of Restricted Stock Unit Grant (the “</w:t>
      </w:r>
      <w:r>
        <w:rPr>
          <w:rFonts w:ascii="Verdana" w:cs="Verdana" w:eastAsia="Verdana" w:hAnsi="Verdana"/>
          <w:sz w:val="18"/>
          <w:szCs w:val="18"/>
          <w:u w:val="single" w:color="auto"/>
          <w:color w:val="auto"/>
        </w:rPr>
        <w:t>Grant Notice</w:t>
      </w:r>
      <w:r>
        <w:rPr>
          <w:rFonts w:ascii="Verdana" w:cs="Verdana" w:eastAsia="Verdana" w:hAnsi="Verdana"/>
          <w:sz w:val="18"/>
          <w:szCs w:val="18"/>
          <w:color w:val="auto"/>
        </w:rPr>
        <w:t>”) and the attached Restricted Stock Unit Agreement (collectively referred to as the “</w:t>
      </w:r>
      <w:r>
        <w:rPr>
          <w:rFonts w:ascii="Verdana" w:cs="Verdana" w:eastAsia="Verdana" w:hAnsi="Verdana"/>
          <w:sz w:val="18"/>
          <w:szCs w:val="18"/>
          <w:u w:val="single" w:color="auto"/>
          <w:color w:val="auto"/>
        </w:rPr>
        <w:t>Agreement</w:t>
      </w:r>
      <w:r>
        <w:rPr>
          <w:rFonts w:ascii="Verdana" w:cs="Verdana" w:eastAsia="Verdana" w:hAnsi="Verdana"/>
          <w:sz w:val="18"/>
          <w:szCs w:val="18"/>
          <w:color w:val="auto"/>
        </w:rPr>
        <w:t>”) constitute an agreement between you and NRG Energy, Inc. (the “</w:t>
      </w:r>
      <w:r>
        <w:rPr>
          <w:rFonts w:ascii="Verdana" w:cs="Verdana" w:eastAsia="Verdana" w:hAnsi="Verdana"/>
          <w:sz w:val="18"/>
          <w:szCs w:val="18"/>
          <w:u w:val="single" w:color="auto"/>
          <w:color w:val="auto"/>
        </w:rPr>
        <w:t>Company</w:t>
      </w:r>
      <w:r>
        <w:rPr>
          <w:rFonts w:ascii="Verdana" w:cs="Verdana" w:eastAsia="Verdana" w:hAnsi="Verdana"/>
          <w:sz w:val="18"/>
          <w:szCs w:val="18"/>
          <w:color w:val="auto"/>
        </w:rPr>
        <w:t xml:space="preserve">”) pursuant to </w:t>
      </w:r>
      <w:r>
        <w:rPr>
          <w:rFonts w:ascii="Verdana" w:cs="Verdana" w:eastAsia="Verdana" w:hAnsi="Verdana"/>
          <w:sz w:val="18"/>
          <w:szCs w:val="18"/>
          <w:u w:val="single" w:color="auto"/>
          <w:color w:val="auto"/>
        </w:rPr>
        <w:t>Section 9</w:t>
      </w:r>
      <w:r>
        <w:rPr>
          <w:rFonts w:ascii="Verdana" w:cs="Verdana" w:eastAsia="Verdana" w:hAnsi="Verdana"/>
          <w:sz w:val="18"/>
          <w:szCs w:val="18"/>
          <w:color w:val="auto"/>
        </w:rPr>
        <w:t xml:space="preserve"> of the Plan. In the event of any inconsistency between the terms of this Agreement and the terms of the Plan, the Plan’s terms shall supersede and replace the conflicting terms of this Agreement. Capitalized terms used but not defined in this Agreement shall have the meaning assigned to them in the Plan. You are sometimes referred to as the “</w:t>
      </w:r>
      <w:r>
        <w:rPr>
          <w:rFonts w:ascii="Verdana" w:cs="Verdana" w:eastAsia="Verdana" w:hAnsi="Verdana"/>
          <w:sz w:val="18"/>
          <w:szCs w:val="18"/>
          <w:u w:val="single" w:color="auto"/>
          <w:color w:val="auto"/>
        </w:rPr>
        <w:t>Participant</w:t>
      </w:r>
      <w:r>
        <w:rPr>
          <w:rFonts w:ascii="Verdana" w:cs="Verdana" w:eastAsia="Verdana" w:hAnsi="Verdana"/>
          <w:sz w:val="18"/>
          <w:szCs w:val="18"/>
          <w:color w:val="auto"/>
        </w:rPr>
        <w:t>” in this Agreement.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00" w:type="dxa"/>
            <w:vAlign w:val="bottom"/>
          </w:tcPr>
          <w:p>
            <w:pPr>
              <w:spacing w:after="0"/>
              <w:rPr>
                <w:sz w:val="20"/>
                <w:szCs w:val="20"/>
                <w:color w:val="auto"/>
              </w:rPr>
            </w:pPr>
            <w:r>
              <w:rPr>
                <w:rFonts w:ascii="Verdana" w:cs="Verdana" w:eastAsia="Verdana" w:hAnsi="Verdana"/>
                <w:sz w:val="18"/>
                <w:szCs w:val="18"/>
                <w:b w:val="1"/>
                <w:bCs w:val="1"/>
                <w:color w:val="auto"/>
              </w:rPr>
              <w:t>%%FIRST_NAME_LAST_NAME%-%</w:t>
            </w:r>
          </w:p>
        </w:tc>
        <w:tc>
          <w:tcPr>
            <w:tcW w:w="5920" w:type="dxa"/>
            <w:vAlign w:val="bottom"/>
            <w:gridSpan w:val="3"/>
          </w:tcPr>
          <w:p>
            <w:pPr>
              <w:ind w:left="120"/>
              <w:spacing w:after="0"/>
              <w:rPr>
                <w:sz w:val="20"/>
                <w:szCs w:val="20"/>
                <w:color w:val="auto"/>
              </w:rPr>
            </w:pPr>
            <w:r>
              <w:rPr>
                <w:rFonts w:ascii="Verdana" w:cs="Verdana" w:eastAsia="Verdana" w:hAnsi="Verdana"/>
                <w:sz w:val="18"/>
                <w:szCs w:val="18"/>
                <w:color w:val="auto"/>
              </w:rPr>
              <w:t>is hereby granted RSUs as follows:</w:t>
            </w:r>
          </w:p>
        </w:tc>
      </w:tr>
      <w:tr>
        <w:trPr>
          <w:trHeight w:val="605"/>
        </w:trPr>
        <w:tc>
          <w:tcPr>
            <w:tcW w:w="3700" w:type="dxa"/>
            <w:vAlign w:val="bottom"/>
          </w:tcPr>
          <w:p>
            <w:pPr>
              <w:ind w:left="420"/>
              <w:spacing w:after="0"/>
              <w:rPr>
                <w:sz w:val="20"/>
                <w:szCs w:val="20"/>
                <w:color w:val="auto"/>
              </w:rPr>
            </w:pPr>
            <w:r>
              <w:rPr>
                <w:rFonts w:ascii="Verdana" w:cs="Verdana" w:eastAsia="Verdana" w:hAnsi="Verdana"/>
                <w:sz w:val="18"/>
                <w:szCs w:val="18"/>
                <w:color w:val="auto"/>
              </w:rPr>
              <w:t>Date of Grant:</w:t>
            </w:r>
          </w:p>
        </w:tc>
        <w:tc>
          <w:tcPr>
            <w:tcW w:w="5920" w:type="dxa"/>
            <w:vAlign w:val="bottom"/>
            <w:gridSpan w:val="3"/>
          </w:tcPr>
          <w:p>
            <w:pPr>
              <w:ind w:left="880"/>
              <w:spacing w:after="0"/>
              <w:rPr>
                <w:sz w:val="20"/>
                <w:szCs w:val="20"/>
                <w:color w:val="auto"/>
              </w:rPr>
            </w:pPr>
            <w:r>
              <w:rPr>
                <w:rFonts w:ascii="Verdana" w:cs="Verdana" w:eastAsia="Verdana" w:hAnsi="Verdana"/>
                <w:sz w:val="18"/>
                <w:szCs w:val="18"/>
                <w:b w:val="1"/>
                <w:bCs w:val="1"/>
                <w:color w:val="auto"/>
              </w:rPr>
              <w:t>%%OPTION_DATE,’Month DD, YYYY’%-%</w:t>
            </w:r>
          </w:p>
        </w:tc>
      </w:tr>
      <w:tr>
        <w:trPr>
          <w:trHeight w:val="368"/>
        </w:trPr>
        <w:tc>
          <w:tcPr>
            <w:tcW w:w="3700" w:type="dxa"/>
            <w:vAlign w:val="bottom"/>
          </w:tcPr>
          <w:p>
            <w:pPr>
              <w:ind w:left="420"/>
              <w:spacing w:after="0"/>
              <w:rPr>
                <w:sz w:val="20"/>
                <w:szCs w:val="20"/>
                <w:color w:val="auto"/>
              </w:rPr>
            </w:pPr>
            <w:r>
              <w:rPr>
                <w:rFonts w:ascii="Verdana" w:cs="Verdana" w:eastAsia="Verdana" w:hAnsi="Verdana"/>
                <w:sz w:val="18"/>
                <w:szCs w:val="18"/>
                <w:color w:val="auto"/>
              </w:rPr>
              <w:t>Vesting Commencement Date:</w:t>
            </w:r>
          </w:p>
        </w:tc>
        <w:tc>
          <w:tcPr>
            <w:tcW w:w="5920" w:type="dxa"/>
            <w:vAlign w:val="bottom"/>
            <w:gridSpan w:val="3"/>
          </w:tcPr>
          <w:p>
            <w:pPr>
              <w:ind w:left="880"/>
              <w:spacing w:after="0"/>
              <w:rPr>
                <w:sz w:val="20"/>
                <w:szCs w:val="20"/>
                <w:color w:val="auto"/>
              </w:rPr>
            </w:pPr>
            <w:r>
              <w:rPr>
                <w:rFonts w:ascii="Verdana" w:cs="Verdana" w:eastAsia="Verdana" w:hAnsi="Verdana"/>
                <w:sz w:val="18"/>
                <w:szCs w:val="18"/>
                <w:color w:val="auto"/>
              </w:rPr>
              <w:t>Date of Grant</w:t>
            </w:r>
          </w:p>
        </w:tc>
      </w:tr>
      <w:tr>
        <w:trPr>
          <w:trHeight w:val="330"/>
        </w:trPr>
        <w:tc>
          <w:tcPr>
            <w:tcW w:w="3700" w:type="dxa"/>
            <w:vAlign w:val="bottom"/>
          </w:tcPr>
          <w:p>
            <w:pPr>
              <w:ind w:left="420"/>
              <w:spacing w:after="0"/>
              <w:rPr>
                <w:sz w:val="20"/>
                <w:szCs w:val="20"/>
                <w:color w:val="auto"/>
              </w:rPr>
            </w:pPr>
            <w:r>
              <w:rPr>
                <w:rFonts w:ascii="Verdana" w:cs="Verdana" w:eastAsia="Verdana" w:hAnsi="Verdana"/>
                <w:sz w:val="18"/>
                <w:szCs w:val="18"/>
                <w:color w:val="auto"/>
              </w:rPr>
              <w:t>Vesting Period:</w:t>
            </w:r>
          </w:p>
        </w:tc>
        <w:tc>
          <w:tcPr>
            <w:tcW w:w="5920" w:type="dxa"/>
            <w:vAlign w:val="bottom"/>
            <w:gridSpan w:val="3"/>
          </w:tcPr>
          <w:p>
            <w:pPr>
              <w:ind w:left="880"/>
              <w:spacing w:after="0"/>
              <w:rPr>
                <w:sz w:val="20"/>
                <w:szCs w:val="20"/>
                <w:color w:val="auto"/>
              </w:rPr>
            </w:pPr>
            <w:r>
              <w:rPr>
                <w:rFonts w:ascii="Verdana" w:cs="Verdana" w:eastAsia="Verdana" w:hAnsi="Verdana"/>
                <w:sz w:val="18"/>
                <w:szCs w:val="18"/>
                <w:color w:val="auto"/>
              </w:rPr>
              <w:t>Please refer to Section 2 of this Agreement</w:t>
            </w:r>
          </w:p>
        </w:tc>
      </w:tr>
      <w:tr>
        <w:trPr>
          <w:trHeight w:val="20"/>
        </w:trPr>
        <w:tc>
          <w:tcPr>
            <w:tcW w:w="37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374"/>
        </w:trPr>
        <w:tc>
          <w:tcPr>
            <w:tcW w:w="3700" w:type="dxa"/>
            <w:vAlign w:val="bottom"/>
          </w:tcPr>
          <w:p>
            <w:pPr>
              <w:ind w:left="420"/>
              <w:spacing w:after="0"/>
              <w:rPr>
                <w:sz w:val="20"/>
                <w:szCs w:val="20"/>
                <w:color w:val="auto"/>
              </w:rPr>
            </w:pPr>
            <w:r>
              <w:rPr>
                <w:rFonts w:ascii="Verdana" w:cs="Verdana" w:eastAsia="Verdana" w:hAnsi="Verdana"/>
                <w:sz w:val="18"/>
                <w:szCs w:val="18"/>
                <w:color w:val="auto"/>
              </w:rPr>
              <w:t>Total Number of RSUs:</w:t>
            </w:r>
          </w:p>
        </w:tc>
        <w:tc>
          <w:tcPr>
            <w:tcW w:w="5920" w:type="dxa"/>
            <w:vAlign w:val="bottom"/>
            <w:gridSpan w:val="3"/>
          </w:tcPr>
          <w:p>
            <w:pPr>
              <w:ind w:left="880"/>
              <w:spacing w:after="0"/>
              <w:rPr>
                <w:sz w:val="20"/>
                <w:szCs w:val="20"/>
                <w:color w:val="auto"/>
              </w:rPr>
            </w:pPr>
            <w:r>
              <w:rPr>
                <w:rFonts w:ascii="Verdana" w:cs="Verdana" w:eastAsia="Verdana" w:hAnsi="Verdana"/>
                <w:sz w:val="18"/>
                <w:szCs w:val="18"/>
                <w:b w:val="1"/>
                <w:bCs w:val="1"/>
                <w:color w:val="auto"/>
                <w:w w:val="97"/>
              </w:rPr>
              <w:t>%%TOTAL_SHARES_GRANTED,’999,999,999’%-%</w:t>
            </w:r>
          </w:p>
        </w:tc>
      </w:tr>
    </w:tbl>
    <w:p>
      <w:pPr>
        <w:spacing w:after="0" w:line="200" w:lineRule="exact"/>
        <w:rPr>
          <w:sz w:val="20"/>
          <w:szCs w:val="20"/>
          <w:color w:val="auto"/>
        </w:rPr>
      </w:pPr>
    </w:p>
    <w:p>
      <w:pPr>
        <w:spacing w:after="0" w:line="230" w:lineRule="exact"/>
        <w:rPr>
          <w:sz w:val="20"/>
          <w:szCs w:val="20"/>
          <w:color w:val="auto"/>
        </w:rPr>
      </w:pPr>
    </w:p>
    <w:p>
      <w:pPr>
        <w:jc w:val="both"/>
        <w:ind w:right="620"/>
        <w:spacing w:after="0" w:line="237" w:lineRule="auto"/>
        <w:rPr>
          <w:sz w:val="20"/>
          <w:szCs w:val="20"/>
          <w:color w:val="auto"/>
        </w:rPr>
      </w:pPr>
      <w:r>
        <w:rPr>
          <w:rFonts w:ascii="Verdana" w:cs="Verdana" w:eastAsia="Verdana" w:hAnsi="Verdana"/>
          <w:sz w:val="18"/>
          <w:szCs w:val="18"/>
          <w:color w:val="auto"/>
        </w:rPr>
        <w:t xml:space="preserve">Subject to </w:t>
      </w:r>
      <w:r>
        <w:rPr>
          <w:rFonts w:ascii="Verdana" w:cs="Verdana" w:eastAsia="Verdana" w:hAnsi="Verdana"/>
          <w:sz w:val="18"/>
          <w:szCs w:val="18"/>
          <w:u w:val="single" w:color="auto"/>
          <w:color w:val="auto"/>
        </w:rPr>
        <w:t>Section 8</w:t>
      </w:r>
      <w:r>
        <w:rPr>
          <w:rFonts w:ascii="Verdana" w:cs="Verdana" w:eastAsia="Verdana" w:hAnsi="Verdana"/>
          <w:sz w:val="18"/>
          <w:szCs w:val="18"/>
          <w:color w:val="auto"/>
        </w:rPr>
        <w:t xml:space="preserve"> of this Agreement, if you do not remain an employee of the Company at all times during the Vesting Period, this Award shall terminate, and you will not be entitled to any NRG, Energy, Inc. Common Stock underlying the RSUs or any dividend equivalents that may have accrued with respect thereto.</w:t>
      </w:r>
    </w:p>
    <w:p>
      <w:pPr>
        <w:spacing w:after="0" w:line="220" w:lineRule="exact"/>
        <w:rPr>
          <w:sz w:val="20"/>
          <w:szCs w:val="20"/>
          <w:color w:val="auto"/>
        </w:rPr>
      </w:pPr>
    </w:p>
    <w:p>
      <w:pPr>
        <w:jc w:val="both"/>
        <w:ind w:right="620"/>
        <w:spacing w:after="0" w:line="237" w:lineRule="auto"/>
        <w:rPr>
          <w:sz w:val="20"/>
          <w:szCs w:val="20"/>
          <w:color w:val="auto"/>
        </w:rPr>
      </w:pPr>
      <w:r>
        <w:rPr>
          <w:rFonts w:ascii="Verdana" w:cs="Verdana" w:eastAsia="Verdana" w:hAnsi="Verdana"/>
          <w:sz w:val="18"/>
          <w:szCs w:val="18"/>
          <w:b w:val="1"/>
          <w:bCs w:val="1"/>
          <w:color w:val="auto"/>
        </w:rPr>
        <w:t>If you disagree with any of the terms of this Award or choose not to accept this Award, please contact Peter Johnson at 609-524-4759 within 45 days of the Date of Grant. Otherwise, you will be deemed to have accepted this Award under the terms and conditions set forth in this Agreement and the Plan.</w:t>
      </w:r>
    </w:p>
    <w:p>
      <w:pPr>
        <w:sectPr>
          <w:pgSz w:w="11900" w:h="16838" w:orient="portrait"/>
          <w:cols w:equalWidth="0" w:num="1">
            <w:col w:w="11240"/>
          </w:cols>
          <w:pgMar w:left="320" w:top="1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2"/>
          <w:szCs w:val="12"/>
          <w:color w:val="auto"/>
        </w:rPr>
        <w:t>LEGAL\74461649\3</w:t>
      </w:r>
    </w:p>
    <w:p>
      <w:pPr>
        <w:sectPr>
          <w:pgSz w:w="11900" w:h="16838" w:orient="portrait"/>
          <w:cols w:equalWidth="0" w:num="1">
            <w:col w:w="11240"/>
          </w:cols>
          <w:pgMar w:left="320" w:top="1171" w:right="339" w:bottom="1440" w:gutter="0" w:footer="0" w:header="0"/>
          <w:type w:val="continuous"/>
        </w:sectPr>
      </w:pPr>
    </w:p>
    <w:bookmarkStart w:id="254" w:name="page255"/>
    <w:bookmarkEnd w:id="254"/>
    <w:p>
      <w:pPr>
        <w:ind w:right="860"/>
        <w:spacing w:after="0" w:line="260" w:lineRule="auto"/>
        <w:rPr>
          <w:sz w:val="20"/>
          <w:szCs w:val="20"/>
          <w:color w:val="auto"/>
        </w:rPr>
      </w:pPr>
      <w:r>
        <w:rPr>
          <w:rFonts w:ascii="Verdana" w:cs="Verdana" w:eastAsia="Verdana" w:hAnsi="Verdana"/>
          <w:sz w:val="28"/>
          <w:szCs w:val="28"/>
          <w:b w:val="1"/>
          <w:bCs w:val="1"/>
          <w:color w:val="auto"/>
        </w:rPr>
        <w:t>NRG ENERGY, INC. 2020 OMNIBUS INCENTIVE PLAN (LEGACY VIVINT)</w:t>
      </w:r>
      <w:r>
        <w:rPr>
          <w:rFonts w:ascii="Verdana" w:cs="Verdana" w:eastAsia="Verdana" w:hAnsi="Verdana"/>
          <w:sz w:val="26"/>
          <w:szCs w:val="26"/>
          <w:b w:val="1"/>
          <w:bCs w:val="1"/>
          <w:color w:val="auto"/>
        </w:rPr>
        <w:t>RESTRICTED STOCK UNIT AGREEMENT</w:t>
      </w:r>
    </w:p>
    <w:p>
      <w:pPr>
        <w:spacing w:after="0" w:line="318" w:lineRule="exact"/>
        <w:rPr>
          <w:sz w:val="20"/>
          <w:szCs w:val="20"/>
          <w:color w:val="auto"/>
        </w:rPr>
      </w:pPr>
    </w:p>
    <w:p>
      <w:pPr>
        <w:jc w:val="both"/>
        <w:ind w:right="20"/>
        <w:spacing w:after="0" w:line="235" w:lineRule="auto"/>
        <w:rPr>
          <w:sz w:val="20"/>
          <w:szCs w:val="20"/>
          <w:color w:val="auto"/>
        </w:rPr>
      </w:pPr>
      <w:r>
        <w:rPr>
          <w:rFonts w:ascii="Verdana" w:cs="Verdana" w:eastAsia="Verdana" w:hAnsi="Verdana"/>
          <w:sz w:val="18"/>
          <w:szCs w:val="18"/>
          <w:color w:val="auto"/>
        </w:rPr>
        <w:t>This Restricted Stock Unit Agreement, dated as of the Date of Grant set forth in the Notice of Restricted Stock Unit Grant (the “</w:t>
      </w:r>
      <w:r>
        <w:rPr>
          <w:rFonts w:ascii="Verdana" w:cs="Verdana" w:eastAsia="Verdana" w:hAnsi="Verdana"/>
          <w:sz w:val="18"/>
          <w:szCs w:val="18"/>
          <w:u w:val="single" w:color="auto"/>
          <w:color w:val="auto"/>
        </w:rPr>
        <w:t>Grant Notice</w:t>
      </w:r>
      <w:r>
        <w:rPr>
          <w:rFonts w:ascii="Verdana" w:cs="Verdana" w:eastAsia="Verdana" w:hAnsi="Verdana"/>
          <w:sz w:val="18"/>
          <w:szCs w:val="18"/>
          <w:color w:val="auto"/>
        </w:rPr>
        <w:t>,” and together with this Restricted Stock Unit Agreement, the “</w:t>
      </w:r>
      <w:r>
        <w:rPr>
          <w:rFonts w:ascii="Verdana" w:cs="Verdana" w:eastAsia="Verdana" w:hAnsi="Verdana"/>
          <w:sz w:val="18"/>
          <w:szCs w:val="18"/>
          <w:u w:val="single" w:color="auto"/>
          <w:color w:val="auto"/>
        </w:rPr>
        <w:t>Agreement</w:t>
      </w:r>
      <w:r>
        <w:rPr>
          <w:rFonts w:ascii="Verdana" w:cs="Verdana" w:eastAsia="Verdana" w:hAnsi="Verdana"/>
          <w:sz w:val="18"/>
          <w:szCs w:val="18"/>
          <w:color w:val="auto"/>
        </w:rPr>
        <w:t>”) to which this Agreement is attached, is made between NRG Energy, Inc. (the “</w:t>
      </w:r>
      <w:r>
        <w:rPr>
          <w:rFonts w:ascii="Verdana" w:cs="Verdana" w:eastAsia="Verdana" w:hAnsi="Verdana"/>
          <w:sz w:val="18"/>
          <w:szCs w:val="18"/>
          <w:u w:val="single" w:color="auto"/>
          <w:color w:val="auto"/>
        </w:rPr>
        <w:t>Company</w:t>
      </w:r>
      <w:r>
        <w:rPr>
          <w:rFonts w:ascii="Verdana" w:cs="Verdana" w:eastAsia="Verdana" w:hAnsi="Verdana"/>
          <w:sz w:val="18"/>
          <w:szCs w:val="18"/>
          <w:color w:val="auto"/>
        </w:rPr>
        <w:t>”) and the Participant, as set forth in the Grant Notice. The Grant Notice is included in, and made part of, this Agreement.</w:t>
      </w:r>
    </w:p>
    <w:p>
      <w:pPr>
        <w:spacing w:after="0" w:line="196" w:lineRule="exact"/>
        <w:rPr>
          <w:sz w:val="20"/>
          <w:szCs w:val="20"/>
          <w:color w:val="auto"/>
        </w:rPr>
      </w:pPr>
    </w:p>
    <w:p>
      <w:pPr>
        <w:ind w:left="80"/>
        <w:spacing w:after="0"/>
        <w:rPr>
          <w:sz w:val="20"/>
          <w:szCs w:val="20"/>
          <w:color w:val="auto"/>
        </w:rPr>
      </w:pPr>
      <w:r>
        <w:rPr>
          <w:rFonts w:ascii="Verdana" w:cs="Verdana" w:eastAsia="Verdana" w:hAnsi="Verdana"/>
          <w:sz w:val="18"/>
          <w:szCs w:val="18"/>
          <w:b w:val="1"/>
          <w:bCs w:val="1"/>
          <w:color w:val="auto"/>
        </w:rPr>
        <w:t>1. Grant of RSUs</w:t>
      </w:r>
    </w:p>
    <w:p>
      <w:pPr>
        <w:spacing w:after="0" w:line="202" w:lineRule="exact"/>
        <w:rPr>
          <w:sz w:val="20"/>
          <w:szCs w:val="20"/>
          <w:color w:val="auto"/>
        </w:rPr>
      </w:pPr>
    </w:p>
    <w:p>
      <w:pPr>
        <w:jc w:val="both"/>
        <w:ind w:left="320" w:right="20"/>
        <w:spacing w:after="0" w:line="237" w:lineRule="auto"/>
        <w:rPr>
          <w:sz w:val="20"/>
          <w:szCs w:val="20"/>
          <w:color w:val="auto"/>
        </w:rPr>
      </w:pPr>
      <w:r>
        <w:rPr>
          <w:rFonts w:ascii="Verdana" w:cs="Verdana" w:eastAsia="Verdana" w:hAnsi="Verdana"/>
          <w:sz w:val="18"/>
          <w:szCs w:val="18"/>
          <w:color w:val="auto"/>
        </w:rPr>
        <w:t>Subject to the provisions of this Agreement and the provisions of the NRG Energy, Inc. 2020 Omnibus Incentive Plan (Legacy Vivint) (the “</w:t>
      </w:r>
      <w:r>
        <w:rPr>
          <w:rFonts w:ascii="Verdana" w:cs="Verdana" w:eastAsia="Verdana" w:hAnsi="Verdana"/>
          <w:sz w:val="18"/>
          <w:szCs w:val="18"/>
          <w:u w:val="single" w:color="auto"/>
          <w:color w:val="auto"/>
        </w:rPr>
        <w:t>Plan</w:t>
      </w:r>
      <w:r>
        <w:rPr>
          <w:rFonts w:ascii="Verdana" w:cs="Verdana" w:eastAsia="Verdana" w:hAnsi="Verdana"/>
          <w:sz w:val="18"/>
          <w:szCs w:val="18"/>
          <w:color w:val="auto"/>
        </w:rPr>
        <w:t>”), the Company hereby grants to the Participant the number of Restricted Stock Units (“</w:t>
      </w:r>
      <w:r>
        <w:rPr>
          <w:rFonts w:ascii="Verdana" w:cs="Verdana" w:eastAsia="Verdana" w:hAnsi="Verdana"/>
          <w:sz w:val="18"/>
          <w:szCs w:val="18"/>
          <w:u w:val="single" w:color="auto"/>
          <w:color w:val="auto"/>
        </w:rPr>
        <w:t>RSUs</w:t>
      </w:r>
      <w:r>
        <w:rPr>
          <w:rFonts w:ascii="Verdana" w:cs="Verdana" w:eastAsia="Verdana" w:hAnsi="Verdana"/>
          <w:sz w:val="18"/>
          <w:szCs w:val="18"/>
          <w:color w:val="auto"/>
        </w:rPr>
        <w:t>”) set forth in the Grant Notice.</w:t>
      </w:r>
    </w:p>
    <w:p>
      <w:pPr>
        <w:spacing w:after="0" w:line="194" w:lineRule="exact"/>
        <w:rPr>
          <w:sz w:val="20"/>
          <w:szCs w:val="20"/>
          <w:color w:val="auto"/>
        </w:rPr>
      </w:pPr>
    </w:p>
    <w:p>
      <w:pPr>
        <w:ind w:left="80"/>
        <w:spacing w:after="0"/>
        <w:rPr>
          <w:sz w:val="20"/>
          <w:szCs w:val="20"/>
          <w:color w:val="auto"/>
        </w:rPr>
      </w:pPr>
      <w:r>
        <w:rPr>
          <w:rFonts w:ascii="Verdana" w:cs="Verdana" w:eastAsia="Verdana" w:hAnsi="Verdana"/>
          <w:sz w:val="18"/>
          <w:szCs w:val="18"/>
          <w:b w:val="1"/>
          <w:bCs w:val="1"/>
          <w:color w:val="auto"/>
        </w:rPr>
        <w:t>2. Vesting Schedule</w:t>
      </w:r>
    </w:p>
    <w:p>
      <w:pPr>
        <w:spacing w:after="0" w:line="202" w:lineRule="exact"/>
        <w:rPr>
          <w:sz w:val="20"/>
          <w:szCs w:val="20"/>
          <w:color w:val="auto"/>
        </w:rPr>
      </w:pPr>
    </w:p>
    <w:p>
      <w:pPr>
        <w:jc w:val="both"/>
        <w:ind w:left="320"/>
        <w:spacing w:after="0" w:line="235" w:lineRule="auto"/>
        <w:rPr>
          <w:sz w:val="20"/>
          <w:szCs w:val="20"/>
          <w:color w:val="auto"/>
        </w:rPr>
      </w:pPr>
      <w:r>
        <w:rPr>
          <w:rFonts w:ascii="Verdana" w:cs="Verdana" w:eastAsia="Verdana" w:hAnsi="Verdana"/>
          <w:sz w:val="18"/>
          <w:szCs w:val="18"/>
          <w:color w:val="auto"/>
        </w:rPr>
        <w:t>Provided that you have been continuously employed by the Company during the vesting period, the RSUs will vest one-third each year beginning on the first anniversary of the Date of Grant. For the avoidance of doubt, the vesting period for the second and third portions of the RSUs begins when the previous one-third portion of the RSUs has completed vesting.</w:t>
      </w:r>
    </w:p>
    <w:p>
      <w:pPr>
        <w:spacing w:after="0" w:line="196" w:lineRule="exact"/>
        <w:rPr>
          <w:sz w:val="20"/>
          <w:szCs w:val="20"/>
          <w:color w:val="auto"/>
        </w:rPr>
      </w:pPr>
    </w:p>
    <w:p>
      <w:pPr>
        <w:ind w:left="80"/>
        <w:spacing w:after="0"/>
        <w:rPr>
          <w:sz w:val="20"/>
          <w:szCs w:val="20"/>
          <w:color w:val="auto"/>
        </w:rPr>
      </w:pPr>
      <w:r>
        <w:rPr>
          <w:rFonts w:ascii="Verdana" w:cs="Verdana" w:eastAsia="Verdana" w:hAnsi="Verdana"/>
          <w:sz w:val="18"/>
          <w:szCs w:val="18"/>
          <w:b w:val="1"/>
          <w:bCs w:val="1"/>
          <w:color w:val="auto"/>
        </w:rPr>
        <w:t>3. Conversion of RSUs and Issuance of Shares</w:t>
      </w:r>
    </w:p>
    <w:p>
      <w:pPr>
        <w:spacing w:after="0" w:line="215" w:lineRule="exact"/>
        <w:rPr>
          <w:sz w:val="20"/>
          <w:szCs w:val="20"/>
          <w:color w:val="auto"/>
        </w:rPr>
      </w:pPr>
    </w:p>
    <w:p>
      <w:pPr>
        <w:jc w:val="both"/>
        <w:ind w:left="320"/>
        <w:spacing w:after="0" w:line="259" w:lineRule="auto"/>
        <w:rPr>
          <w:sz w:val="20"/>
          <w:szCs w:val="20"/>
          <w:color w:val="auto"/>
        </w:rPr>
      </w:pPr>
      <w:r>
        <w:rPr>
          <w:rFonts w:ascii="Verdana" w:cs="Verdana" w:eastAsia="Verdana" w:hAnsi="Verdana"/>
          <w:sz w:val="16"/>
          <w:szCs w:val="16"/>
          <w:color w:val="auto"/>
        </w:rPr>
        <w:t xml:space="preserve">As soon as reasonably practicable following vesting of the RSUs, subject to satisfaction of applicable tax withholding obligations in accordance with </w:t>
      </w:r>
      <w:r>
        <w:rPr>
          <w:rFonts w:ascii="Verdana" w:cs="Verdana" w:eastAsia="Verdana" w:hAnsi="Verdana"/>
          <w:sz w:val="16"/>
          <w:szCs w:val="16"/>
          <w:u w:val="single" w:color="auto"/>
          <w:color w:val="auto"/>
        </w:rPr>
        <w:t>Section 12(g)</w:t>
      </w:r>
      <w:r>
        <w:rPr>
          <w:rFonts w:ascii="Verdana" w:cs="Verdana" w:eastAsia="Verdana" w:hAnsi="Verdana"/>
          <w:sz w:val="16"/>
          <w:szCs w:val="16"/>
          <w:color w:val="auto"/>
        </w:rPr>
        <w:t xml:space="preserve">, the Company shall cause to be paid to the Participant one (1) share of NRG Energy, Inc. Common Stock for each RSU that vests on such vesting date, </w:t>
      </w:r>
      <w:r>
        <w:rPr>
          <w:rFonts w:ascii="Verdana" w:cs="Verdana" w:eastAsia="Verdana" w:hAnsi="Verdana"/>
          <w:sz w:val="16"/>
          <w:szCs w:val="16"/>
          <w:u w:val="single" w:color="auto"/>
          <w:color w:val="auto"/>
        </w:rPr>
        <w:t>provided</w:t>
      </w:r>
      <w:r>
        <w:rPr>
          <w:rFonts w:ascii="Verdana" w:cs="Verdana" w:eastAsia="Verdana" w:hAnsi="Verdana"/>
          <w:sz w:val="16"/>
          <w:szCs w:val="16"/>
          <w:color w:val="auto"/>
        </w:rPr>
        <w:t xml:space="preserve">, </w:t>
      </w:r>
      <w:r>
        <w:rPr>
          <w:rFonts w:ascii="Verdana" w:cs="Verdana" w:eastAsia="Verdana" w:hAnsi="Verdana"/>
          <w:sz w:val="16"/>
          <w:szCs w:val="16"/>
          <w:u w:val="single" w:color="auto"/>
          <w:color w:val="auto"/>
        </w:rPr>
        <w:t>however</w:t>
      </w:r>
      <w:r>
        <w:rPr>
          <w:rFonts w:ascii="Verdana" w:cs="Verdana" w:eastAsia="Verdana" w:hAnsi="Verdana"/>
          <w:sz w:val="16"/>
          <w:szCs w:val="16"/>
          <w:color w:val="auto"/>
        </w:rPr>
        <w:t xml:space="preserve">, that if the Participant incurs a Termination of Service that qualifies for vesting as described in </w:t>
      </w:r>
      <w:r>
        <w:rPr>
          <w:rFonts w:ascii="Verdana" w:cs="Verdana" w:eastAsia="Verdana" w:hAnsi="Verdana"/>
          <w:sz w:val="16"/>
          <w:szCs w:val="16"/>
          <w:u w:val="single" w:color="auto"/>
          <w:color w:val="auto"/>
        </w:rPr>
        <w:t>Section 8</w:t>
      </w:r>
      <w:r>
        <w:rPr>
          <w:rFonts w:ascii="Verdana" w:cs="Verdana" w:eastAsia="Verdana" w:hAnsi="Verdana"/>
          <w:sz w:val="16"/>
          <w:szCs w:val="16"/>
          <w:color w:val="auto"/>
        </w:rPr>
        <w:t>, then such payment shall be made on the next administratively feasible regularly scheduled payroll date but at no time more than sixty</w:t>
      </w:r>
    </w:p>
    <w:p>
      <w:pPr>
        <w:spacing w:after="0" w:line="3" w:lineRule="exact"/>
        <w:rPr>
          <w:sz w:val="20"/>
          <w:szCs w:val="20"/>
          <w:color w:val="auto"/>
        </w:rPr>
      </w:pPr>
    </w:p>
    <w:p>
      <w:pPr>
        <w:ind w:left="320" w:firstLine="1"/>
        <w:spacing w:after="0" w:line="301" w:lineRule="auto"/>
        <w:tabs>
          <w:tab w:leader="none" w:pos="764" w:val="left"/>
        </w:tabs>
        <w:numPr>
          <w:ilvl w:val="0"/>
          <w:numId w:val="234"/>
        </w:numPr>
        <w:rPr>
          <w:rFonts w:ascii="Verdana" w:cs="Verdana" w:eastAsia="Verdana" w:hAnsi="Verdana"/>
          <w:sz w:val="16"/>
          <w:szCs w:val="16"/>
          <w:color w:val="auto"/>
        </w:rPr>
      </w:pPr>
      <w:r>
        <w:rPr>
          <w:rFonts w:ascii="Verdana" w:cs="Verdana" w:eastAsia="Verdana" w:hAnsi="Verdana"/>
          <w:sz w:val="16"/>
          <w:szCs w:val="16"/>
          <w:color w:val="auto"/>
        </w:rPr>
        <w:t xml:space="preserve">days after the vesting date described in the applicable subsection of </w:t>
      </w:r>
      <w:r>
        <w:rPr>
          <w:rFonts w:ascii="Verdana" w:cs="Verdana" w:eastAsia="Verdana" w:hAnsi="Verdana"/>
          <w:sz w:val="16"/>
          <w:szCs w:val="16"/>
          <w:u w:val="single" w:color="auto"/>
          <w:color w:val="auto"/>
        </w:rPr>
        <w:t>Section 8</w:t>
      </w:r>
      <w:r>
        <w:rPr>
          <w:rFonts w:ascii="Verdana" w:cs="Verdana" w:eastAsia="Verdana" w:hAnsi="Verdana"/>
          <w:sz w:val="16"/>
          <w:szCs w:val="16"/>
          <w:color w:val="auto"/>
        </w:rPr>
        <w:t xml:space="preserve">, and, in accordance with </w:t>
      </w:r>
      <w:r>
        <w:rPr>
          <w:rFonts w:ascii="Verdana" w:cs="Verdana" w:eastAsia="Verdana" w:hAnsi="Verdana"/>
          <w:sz w:val="16"/>
          <w:szCs w:val="16"/>
          <w:u w:val="single" w:color="auto"/>
          <w:color w:val="auto"/>
        </w:rPr>
        <w:t>Section</w:t>
      </w:r>
      <w:r>
        <w:rPr>
          <w:rFonts w:ascii="Verdana" w:cs="Verdana" w:eastAsia="Verdana" w:hAnsi="Verdana"/>
          <w:sz w:val="16"/>
          <w:szCs w:val="16"/>
          <w:color w:val="auto"/>
        </w:rPr>
        <w:t xml:space="preserve"> </w:t>
      </w:r>
      <w:r>
        <w:rPr>
          <w:rFonts w:ascii="Verdana" w:cs="Verdana" w:eastAsia="Verdana" w:hAnsi="Verdana"/>
          <w:sz w:val="16"/>
          <w:szCs w:val="16"/>
          <w:u w:val="single" w:color="auto"/>
          <w:color w:val="auto"/>
        </w:rPr>
        <w:t>12(g)</w:t>
      </w:r>
      <w:r>
        <w:rPr>
          <w:rFonts w:ascii="Verdana" w:cs="Verdana" w:eastAsia="Verdana" w:hAnsi="Verdana"/>
          <w:sz w:val="16"/>
          <w:szCs w:val="16"/>
          <w:color w:val="auto"/>
        </w:rPr>
        <w:t>, the Fair Market Value of the RSUs shall be determined as of such vesting date, less applicable taxes.</w:t>
      </w:r>
    </w:p>
    <w:p>
      <w:pPr>
        <w:spacing w:after="0" w:line="131" w:lineRule="exact"/>
        <w:rPr>
          <w:sz w:val="20"/>
          <w:szCs w:val="20"/>
          <w:color w:val="auto"/>
        </w:rPr>
      </w:pPr>
    </w:p>
    <w:p>
      <w:pPr>
        <w:jc w:val="both"/>
        <w:ind w:left="320"/>
        <w:spacing w:after="0" w:line="268" w:lineRule="auto"/>
        <w:rPr>
          <w:sz w:val="20"/>
          <w:szCs w:val="20"/>
          <w:color w:val="auto"/>
        </w:rPr>
      </w:pPr>
      <w:r>
        <w:rPr>
          <w:rFonts w:ascii="Verdana" w:cs="Verdana" w:eastAsia="Verdana" w:hAnsi="Verdana"/>
          <w:sz w:val="16"/>
          <w:szCs w:val="16"/>
          <w:color w:val="auto"/>
        </w:rPr>
        <w:t xml:space="preserve">Notwithstanding the foregoing provisions of this </w:t>
      </w:r>
      <w:r>
        <w:rPr>
          <w:rFonts w:ascii="Verdana" w:cs="Verdana" w:eastAsia="Verdana" w:hAnsi="Verdana"/>
          <w:sz w:val="16"/>
          <w:szCs w:val="16"/>
          <w:u w:val="single" w:color="auto"/>
          <w:color w:val="auto"/>
        </w:rPr>
        <w:t>Section 3</w:t>
      </w:r>
      <w:r>
        <w:rPr>
          <w:rFonts w:ascii="Verdana" w:cs="Verdana" w:eastAsia="Verdana" w:hAnsi="Verdana"/>
          <w:sz w:val="16"/>
          <w:szCs w:val="16"/>
          <w:color w:val="auto"/>
        </w:rPr>
        <w:t xml:space="preserve"> to the contrary, if at the time of the Participant’s separation from service within the meaning of Code Section 409A, the Participant is a “specified employee” within the meaning of Code Section 409A, any payment hereunder that constitutes a “deferral of compensation” under Code Section 409A and that would otherwise become due on account of such separation from service, shall be delayed, and payment shall be made in full upon the earlier of (a) a date during the thirty-day period commencing six (6) months and one (1) day following such separation from service and (b) the date of the Participant’s death.</w:t>
      </w:r>
    </w:p>
    <w:p>
      <w:pPr>
        <w:spacing w:after="0" w:line="184" w:lineRule="exact"/>
        <w:rPr>
          <w:sz w:val="20"/>
          <w:szCs w:val="20"/>
          <w:color w:val="auto"/>
        </w:rPr>
      </w:pPr>
    </w:p>
    <w:p>
      <w:pPr>
        <w:ind w:left="80"/>
        <w:spacing w:after="0"/>
        <w:rPr>
          <w:sz w:val="20"/>
          <w:szCs w:val="20"/>
          <w:color w:val="auto"/>
        </w:rPr>
      </w:pPr>
      <w:r>
        <w:rPr>
          <w:rFonts w:ascii="Verdana" w:cs="Verdana" w:eastAsia="Verdana" w:hAnsi="Verdana"/>
          <w:sz w:val="18"/>
          <w:szCs w:val="18"/>
          <w:b w:val="1"/>
          <w:bCs w:val="1"/>
          <w:color w:val="auto"/>
        </w:rPr>
        <w:t>4. Dividend Equivalent Rights</w:t>
      </w:r>
    </w:p>
    <w:p>
      <w:pPr>
        <w:spacing w:after="0" w:line="189" w:lineRule="exact"/>
        <w:rPr>
          <w:sz w:val="20"/>
          <w:szCs w:val="20"/>
          <w:color w:val="auto"/>
        </w:rPr>
      </w:pPr>
    </w:p>
    <w:p>
      <w:pPr>
        <w:jc w:val="both"/>
        <w:ind w:left="320"/>
        <w:spacing w:after="0" w:line="233" w:lineRule="auto"/>
        <w:rPr>
          <w:sz w:val="20"/>
          <w:szCs w:val="20"/>
          <w:color w:val="auto"/>
        </w:rPr>
      </w:pPr>
      <w:r>
        <w:rPr>
          <w:rFonts w:ascii="Verdana" w:cs="Verdana" w:eastAsia="Verdana" w:hAnsi="Verdana"/>
          <w:sz w:val="18"/>
          <w:szCs w:val="18"/>
          <w:color w:val="auto"/>
        </w:rPr>
        <w:t xml:space="preserve">Cash dividends on shares of Common Stock issuable hereunder shall be credited to a dividend book entry account on behalf of the Participant with respect to each RSU granted to the Participant; </w:t>
      </w:r>
      <w:r>
        <w:rPr>
          <w:rFonts w:ascii="Verdana" w:cs="Verdana" w:eastAsia="Verdana" w:hAnsi="Verdana"/>
          <w:sz w:val="18"/>
          <w:szCs w:val="18"/>
          <w:u w:val="single" w:color="auto"/>
          <w:color w:val="auto"/>
        </w:rPr>
        <w:t>provided</w:t>
      </w:r>
      <w:r>
        <w:rPr>
          <w:rFonts w:ascii="Verdana" w:cs="Verdana" w:eastAsia="Verdana" w:hAnsi="Verdana"/>
          <w:sz w:val="18"/>
          <w:szCs w:val="18"/>
          <w:color w:val="auto"/>
        </w:rPr>
        <w:t xml:space="preserve"> that such cash dividends shall be deemed to be reinvested in shares of Common Stock immediately following the time declared at the then Fair Market Value of the Common Stock and shall vest and be paid at the same time that the shares of Common Stock underlying the RSUs vest and are delivered to the Participant in accordance with the provisions hereof. Stock dividends on shares of Common Stock issuable hereunder shall be credited to a dividend book entry account on behalf of the Participant with respect to each RSU granted to the</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2"/>
          <w:szCs w:val="12"/>
          <w:color w:val="auto"/>
        </w:rPr>
        <w:t>LEGAL\74461649\3</w:t>
      </w:r>
    </w:p>
    <w:p>
      <w:pPr>
        <w:sectPr>
          <w:pgSz w:w="11900" w:h="16838" w:orient="portrait"/>
          <w:cols w:equalWidth="0" w:num="1">
            <w:col w:w="10620"/>
          </w:cols>
          <w:pgMar w:left="320" w:top="1369" w:right="959" w:bottom="1440" w:gutter="0" w:footer="0" w:header="0"/>
        </w:sectPr>
      </w:pPr>
    </w:p>
    <w:bookmarkStart w:id="255" w:name="page256"/>
    <w:bookmarkEnd w:id="255"/>
    <w:p>
      <w:pPr>
        <w:jc w:val="both"/>
        <w:ind w:left="280"/>
        <w:spacing w:after="0" w:line="266" w:lineRule="auto"/>
        <w:rPr>
          <w:sz w:val="20"/>
          <w:szCs w:val="20"/>
          <w:color w:val="auto"/>
        </w:rPr>
      </w:pPr>
      <w:r>
        <w:rPr>
          <w:rFonts w:ascii="Verdana" w:cs="Verdana" w:eastAsia="Verdana" w:hAnsi="Verdana"/>
          <w:sz w:val="16"/>
          <w:szCs w:val="16"/>
          <w:color w:val="auto"/>
        </w:rPr>
        <w:t xml:space="preserve">Participant; </w:t>
      </w:r>
      <w:r>
        <w:rPr>
          <w:rFonts w:ascii="Verdana" w:cs="Verdana" w:eastAsia="Verdana" w:hAnsi="Verdana"/>
          <w:sz w:val="16"/>
          <w:szCs w:val="16"/>
          <w:u w:val="single" w:color="auto"/>
          <w:color w:val="auto"/>
        </w:rPr>
        <w:t>provided</w:t>
      </w:r>
      <w:r>
        <w:rPr>
          <w:rFonts w:ascii="Verdana" w:cs="Verdana" w:eastAsia="Verdana" w:hAnsi="Verdana"/>
          <w:sz w:val="16"/>
          <w:szCs w:val="16"/>
          <w:color w:val="auto"/>
        </w:rPr>
        <w:t xml:space="preserve"> that such stock dividends shall vest and be paid at the same time that the shares of Common Stock underlying the RSUs vest and are delivered to the Participant in accordance with the provisions hereof. Notwithstanding the foregoing, in the event that there are insufficient shares of Common Stock available in the Plan to settle the accrued dividends in shares of Common Stock, such shares of Common Stock shall be settled in cash in an amount equal to the Fair Market Value of such shares of Common Stock at the time of settlement. Except as otherwise provided herein, the Participant shall have no rights as a stockholder with respect to any shares of Common Stock underlying any RSU unless and until the Participant has become the holder of record of such shares.</w:t>
      </w:r>
    </w:p>
    <w:p>
      <w:pPr>
        <w:spacing w:after="0" w:line="176" w:lineRule="exact"/>
        <w:rPr>
          <w:sz w:val="20"/>
          <w:szCs w:val="20"/>
          <w:color w:val="auto"/>
        </w:rPr>
      </w:pPr>
    </w:p>
    <w:p>
      <w:pPr>
        <w:ind w:left="40"/>
        <w:spacing w:after="0"/>
        <w:rPr>
          <w:sz w:val="20"/>
          <w:szCs w:val="20"/>
          <w:color w:val="auto"/>
        </w:rPr>
      </w:pPr>
      <w:r>
        <w:rPr>
          <w:rFonts w:ascii="Verdana" w:cs="Verdana" w:eastAsia="Verdana" w:hAnsi="Verdana"/>
          <w:sz w:val="18"/>
          <w:szCs w:val="18"/>
          <w:b w:val="1"/>
          <w:bCs w:val="1"/>
          <w:color w:val="auto"/>
        </w:rPr>
        <w:t>5. Transfer of RSUs</w:t>
      </w:r>
    </w:p>
    <w:p>
      <w:pPr>
        <w:spacing w:after="0" w:line="202" w:lineRule="exact"/>
        <w:rPr>
          <w:sz w:val="20"/>
          <w:szCs w:val="20"/>
          <w:color w:val="auto"/>
        </w:rPr>
      </w:pPr>
    </w:p>
    <w:p>
      <w:pPr>
        <w:jc w:val="both"/>
        <w:ind w:left="280"/>
        <w:spacing w:after="0" w:line="237" w:lineRule="auto"/>
        <w:rPr>
          <w:sz w:val="20"/>
          <w:szCs w:val="20"/>
          <w:color w:val="auto"/>
        </w:rPr>
      </w:pPr>
      <w:r>
        <w:rPr>
          <w:rFonts w:ascii="Verdana" w:cs="Verdana" w:eastAsia="Verdana" w:hAnsi="Verdana"/>
          <w:sz w:val="18"/>
          <w:szCs w:val="18"/>
          <w:color w:val="auto"/>
        </w:rPr>
        <w:t xml:space="preserve">Unless otherwise permitted by the Committee or </w:t>
      </w:r>
      <w:r>
        <w:rPr>
          <w:rFonts w:ascii="Verdana" w:cs="Verdana" w:eastAsia="Verdana" w:hAnsi="Verdana"/>
          <w:sz w:val="18"/>
          <w:szCs w:val="18"/>
          <w:u w:val="single" w:color="auto"/>
          <w:color w:val="auto"/>
        </w:rPr>
        <w:t>Section 13</w:t>
      </w:r>
      <w:r>
        <w:rPr>
          <w:rFonts w:ascii="Verdana" w:cs="Verdana" w:eastAsia="Verdana" w:hAnsi="Verdana"/>
          <w:sz w:val="18"/>
          <w:szCs w:val="18"/>
          <w:color w:val="auto"/>
        </w:rPr>
        <w:t xml:space="preserve"> of the Plan, the RSUs may not be sold, transferred, pledged, assigned or otherwise alienated or hypothecated, other than pursuant to a will or the laws of descent and distribution. Any attempted disposition in violation of this </w:t>
      </w:r>
      <w:r>
        <w:rPr>
          <w:rFonts w:ascii="Verdana" w:cs="Verdana" w:eastAsia="Verdana" w:hAnsi="Verdana"/>
          <w:sz w:val="18"/>
          <w:szCs w:val="18"/>
          <w:u w:val="single" w:color="auto"/>
          <w:color w:val="auto"/>
        </w:rPr>
        <w:t>Section 5</w:t>
      </w:r>
      <w:r>
        <w:rPr>
          <w:rFonts w:ascii="Verdana" w:cs="Verdana" w:eastAsia="Verdana" w:hAnsi="Verdana"/>
          <w:sz w:val="18"/>
          <w:szCs w:val="18"/>
          <w:color w:val="auto"/>
        </w:rPr>
        <w:t xml:space="preserve"> and </w:t>
      </w:r>
      <w:r>
        <w:rPr>
          <w:rFonts w:ascii="Verdana" w:cs="Verdana" w:eastAsia="Verdana" w:hAnsi="Verdana"/>
          <w:sz w:val="18"/>
          <w:szCs w:val="18"/>
          <w:u w:val="single" w:color="auto"/>
          <w:color w:val="auto"/>
        </w:rPr>
        <w:t>Section 13</w:t>
      </w:r>
      <w:r>
        <w:rPr>
          <w:rFonts w:ascii="Verdana" w:cs="Verdana" w:eastAsia="Verdana" w:hAnsi="Verdana"/>
          <w:sz w:val="18"/>
          <w:szCs w:val="18"/>
          <w:color w:val="auto"/>
        </w:rPr>
        <w:t xml:space="preserve"> of the Plan shall be void.</w:t>
      </w:r>
    </w:p>
    <w:p>
      <w:pPr>
        <w:spacing w:after="0" w:line="194" w:lineRule="exact"/>
        <w:rPr>
          <w:sz w:val="20"/>
          <w:szCs w:val="20"/>
          <w:color w:val="auto"/>
        </w:rPr>
      </w:pPr>
    </w:p>
    <w:p>
      <w:pPr>
        <w:ind w:left="40"/>
        <w:spacing w:after="0"/>
        <w:rPr>
          <w:sz w:val="20"/>
          <w:szCs w:val="20"/>
          <w:color w:val="auto"/>
        </w:rPr>
      </w:pPr>
      <w:r>
        <w:rPr>
          <w:rFonts w:ascii="Verdana" w:cs="Verdana" w:eastAsia="Verdana" w:hAnsi="Verdana"/>
          <w:sz w:val="18"/>
          <w:szCs w:val="18"/>
          <w:b w:val="1"/>
          <w:bCs w:val="1"/>
          <w:color w:val="auto"/>
        </w:rPr>
        <w:t>6. Status of Participant</w:t>
      </w:r>
    </w:p>
    <w:p>
      <w:pPr>
        <w:spacing w:after="0" w:line="202" w:lineRule="exact"/>
        <w:rPr>
          <w:sz w:val="20"/>
          <w:szCs w:val="20"/>
          <w:color w:val="auto"/>
        </w:rPr>
      </w:pPr>
    </w:p>
    <w:p>
      <w:pPr>
        <w:jc w:val="both"/>
        <w:ind w:left="280"/>
        <w:spacing w:after="0" w:line="234" w:lineRule="auto"/>
        <w:rPr>
          <w:sz w:val="20"/>
          <w:szCs w:val="20"/>
          <w:color w:val="auto"/>
        </w:rPr>
      </w:pPr>
      <w:r>
        <w:rPr>
          <w:rFonts w:ascii="Verdana" w:cs="Verdana" w:eastAsia="Verdana" w:hAnsi="Verdana"/>
          <w:sz w:val="18"/>
          <w:szCs w:val="18"/>
          <w:color w:val="auto"/>
        </w:rPr>
        <w:t>The Participant shall not be, and, except as otherwise provided herein, shall not have rights as, a stockholder of the Company with respect to any of the shares of Common Stock subject to this Award, unless the Award has vested and shares of Common Stock underlying the RSUs have been issued and delivered to the Participant. The Company shall not be required to issue or transfer any certificates for shares of Common Stock upon vesting of the Award until all applicable requirements of law have been complied with and such shares have been duly listed on any securities exchange on which the Common Stock may then be listed.</w:t>
      </w:r>
    </w:p>
    <w:p>
      <w:pPr>
        <w:spacing w:after="0" w:line="194" w:lineRule="exact"/>
        <w:rPr>
          <w:sz w:val="20"/>
          <w:szCs w:val="20"/>
          <w:color w:val="auto"/>
        </w:rPr>
      </w:pPr>
    </w:p>
    <w:p>
      <w:pPr>
        <w:ind w:left="40"/>
        <w:spacing w:after="0"/>
        <w:rPr>
          <w:sz w:val="20"/>
          <w:szCs w:val="20"/>
          <w:color w:val="auto"/>
        </w:rPr>
      </w:pPr>
      <w:r>
        <w:rPr>
          <w:rFonts w:ascii="Verdana" w:cs="Verdana" w:eastAsia="Verdana" w:hAnsi="Verdana"/>
          <w:sz w:val="18"/>
          <w:szCs w:val="18"/>
          <w:b w:val="1"/>
          <w:bCs w:val="1"/>
          <w:color w:val="auto"/>
        </w:rPr>
        <w:t>7. No Effect on Capital Structure</w:t>
      </w:r>
    </w:p>
    <w:p>
      <w:pPr>
        <w:spacing w:after="0" w:line="189" w:lineRule="exact"/>
        <w:rPr>
          <w:sz w:val="20"/>
          <w:szCs w:val="20"/>
          <w:color w:val="auto"/>
        </w:rPr>
      </w:pPr>
    </w:p>
    <w:p>
      <w:pPr>
        <w:jc w:val="both"/>
        <w:ind w:left="280" w:right="20"/>
        <w:spacing w:after="0" w:line="237" w:lineRule="auto"/>
        <w:rPr>
          <w:sz w:val="20"/>
          <w:szCs w:val="20"/>
          <w:color w:val="auto"/>
        </w:rPr>
      </w:pPr>
      <w:r>
        <w:rPr>
          <w:rFonts w:ascii="Verdana" w:cs="Verdana" w:eastAsia="Verdana" w:hAnsi="Verdana"/>
          <w:sz w:val="18"/>
          <w:szCs w:val="18"/>
          <w:color w:val="auto"/>
        </w:rPr>
        <w:t>This Award shall not affect the right of the Company or any Subsidiary to reclassify, recapitalize or otherwise change its capital or debt structure or to merge, consolidate, convey any or all of its assets, dissolve, liquidate, windup, or otherwise reorganize.</w:t>
      </w:r>
    </w:p>
    <w:p>
      <w:pPr>
        <w:spacing w:after="0" w:line="207" w:lineRule="exact"/>
        <w:rPr>
          <w:sz w:val="20"/>
          <w:szCs w:val="20"/>
          <w:color w:val="auto"/>
        </w:rPr>
      </w:pPr>
    </w:p>
    <w:p>
      <w:pPr>
        <w:ind w:left="40"/>
        <w:spacing w:after="0"/>
        <w:rPr>
          <w:sz w:val="20"/>
          <w:szCs w:val="20"/>
          <w:color w:val="auto"/>
        </w:rPr>
      </w:pPr>
      <w:r>
        <w:rPr>
          <w:rFonts w:ascii="Verdana" w:cs="Verdana" w:eastAsia="Verdana" w:hAnsi="Verdana"/>
          <w:sz w:val="18"/>
          <w:szCs w:val="18"/>
          <w:b w:val="1"/>
          <w:bCs w:val="1"/>
          <w:color w:val="auto"/>
        </w:rPr>
        <w:t>8. Expiration and Forfeiture of Award</w:t>
      </w:r>
    </w:p>
    <w:p>
      <w:pPr>
        <w:spacing w:after="0" w:line="202" w:lineRule="exact"/>
        <w:rPr>
          <w:sz w:val="20"/>
          <w:szCs w:val="20"/>
          <w:color w:val="auto"/>
        </w:rPr>
      </w:pPr>
    </w:p>
    <w:p>
      <w:pPr>
        <w:jc w:val="both"/>
        <w:ind w:left="280"/>
        <w:spacing w:after="0" w:line="237" w:lineRule="auto"/>
        <w:rPr>
          <w:sz w:val="20"/>
          <w:szCs w:val="20"/>
          <w:color w:val="auto"/>
        </w:rPr>
      </w:pPr>
      <w:r>
        <w:rPr>
          <w:rFonts w:ascii="Verdana" w:cs="Verdana" w:eastAsia="Verdana" w:hAnsi="Verdana"/>
          <w:sz w:val="18"/>
          <w:szCs w:val="18"/>
          <w:color w:val="auto"/>
        </w:rPr>
        <w:t xml:space="preserve">This Award shall vest and/or expire in the circumstances described in this </w:t>
      </w:r>
      <w:r>
        <w:rPr>
          <w:rFonts w:ascii="Verdana" w:cs="Verdana" w:eastAsia="Verdana" w:hAnsi="Verdana"/>
          <w:sz w:val="18"/>
          <w:szCs w:val="18"/>
          <w:u w:val="single" w:color="auto"/>
          <w:color w:val="auto"/>
        </w:rPr>
        <w:t>Section 8</w:t>
      </w:r>
      <w:r>
        <w:rPr>
          <w:rFonts w:ascii="Verdana" w:cs="Verdana" w:eastAsia="Verdana" w:hAnsi="Verdana"/>
          <w:sz w:val="18"/>
          <w:szCs w:val="18"/>
          <w:color w:val="auto"/>
        </w:rPr>
        <w:t>. As used herein, “</w:t>
      </w:r>
      <w:r>
        <w:rPr>
          <w:rFonts w:ascii="Verdana" w:cs="Verdana" w:eastAsia="Verdana" w:hAnsi="Verdana"/>
          <w:sz w:val="18"/>
          <w:szCs w:val="18"/>
          <w:u w:val="single" w:color="auto"/>
          <w:color w:val="auto"/>
        </w:rPr>
        <w:t>Termination of</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auto"/>
        </w:rPr>
        <w:t>Service</w:t>
      </w:r>
      <w:r>
        <w:rPr>
          <w:rFonts w:ascii="Verdana" w:cs="Verdana" w:eastAsia="Verdana" w:hAnsi="Verdana"/>
          <w:sz w:val="18"/>
          <w:szCs w:val="18"/>
          <w:color w:val="auto"/>
        </w:rPr>
        <w:t>” means termination of a Participant’s employment by, or service to, the Company, including any of its Subsidiaries.</w:t>
      </w:r>
    </w:p>
    <w:p>
      <w:pPr>
        <w:spacing w:after="0" w:line="194" w:lineRule="exact"/>
        <w:rPr>
          <w:sz w:val="20"/>
          <w:szCs w:val="20"/>
          <w:color w:val="auto"/>
        </w:rPr>
      </w:pPr>
    </w:p>
    <w:p>
      <w:pPr>
        <w:ind w:left="280"/>
        <w:spacing w:after="0"/>
        <w:rPr>
          <w:sz w:val="20"/>
          <w:szCs w:val="20"/>
          <w:color w:val="auto"/>
        </w:rPr>
      </w:pPr>
      <w:r>
        <w:rPr>
          <w:rFonts w:ascii="Verdana" w:cs="Verdana" w:eastAsia="Verdana" w:hAnsi="Verdana"/>
          <w:sz w:val="18"/>
          <w:szCs w:val="18"/>
          <w:b w:val="1"/>
          <w:bCs w:val="1"/>
          <w:color w:val="auto"/>
        </w:rPr>
        <w:t>(a) Death</w:t>
      </w:r>
    </w:p>
    <w:p>
      <w:pPr>
        <w:spacing w:after="0" w:line="202" w:lineRule="exact"/>
        <w:rPr>
          <w:sz w:val="20"/>
          <w:szCs w:val="20"/>
          <w:color w:val="auto"/>
        </w:rPr>
      </w:pPr>
    </w:p>
    <w:p>
      <w:pPr>
        <w:jc w:val="both"/>
        <w:ind w:left="280" w:right="20"/>
        <w:spacing w:after="0" w:line="237" w:lineRule="auto"/>
        <w:rPr>
          <w:sz w:val="20"/>
          <w:szCs w:val="20"/>
          <w:color w:val="auto"/>
        </w:rPr>
      </w:pPr>
      <w:r>
        <w:rPr>
          <w:rFonts w:ascii="Verdana" w:cs="Verdana" w:eastAsia="Verdana" w:hAnsi="Verdana"/>
          <w:sz w:val="18"/>
          <w:szCs w:val="18"/>
          <w:color w:val="auto"/>
        </w:rPr>
        <w:t xml:space="preserve">Upon a Termination of Service by reason of death, the Award shall vest in full and the Common Stock underlying the RSUs shall be issued and delivered to the Participant's legal representatives, heirs, legatees, or distributees in accordance with </w:t>
      </w:r>
      <w:r>
        <w:rPr>
          <w:rFonts w:ascii="Verdana" w:cs="Verdana" w:eastAsia="Verdana" w:hAnsi="Verdana"/>
          <w:sz w:val="18"/>
          <w:szCs w:val="18"/>
          <w:u w:val="single" w:color="auto"/>
          <w:color w:val="auto"/>
        </w:rPr>
        <w:t>Section 3</w:t>
      </w:r>
      <w:r>
        <w:rPr>
          <w:rFonts w:ascii="Verdana" w:cs="Verdana" w:eastAsia="Verdana" w:hAnsi="Verdana"/>
          <w:sz w:val="18"/>
          <w:szCs w:val="18"/>
          <w:color w:val="auto"/>
        </w:rPr>
        <w:t>.</w:t>
      </w:r>
    </w:p>
    <w:p>
      <w:pPr>
        <w:spacing w:after="0" w:line="194" w:lineRule="exact"/>
        <w:rPr>
          <w:sz w:val="20"/>
          <w:szCs w:val="20"/>
          <w:color w:val="auto"/>
        </w:rPr>
      </w:pPr>
    </w:p>
    <w:p>
      <w:pPr>
        <w:ind w:left="280"/>
        <w:spacing w:after="0"/>
        <w:rPr>
          <w:sz w:val="20"/>
          <w:szCs w:val="20"/>
          <w:color w:val="auto"/>
        </w:rPr>
      </w:pPr>
      <w:r>
        <w:rPr>
          <w:rFonts w:ascii="Verdana" w:cs="Verdana" w:eastAsia="Verdana" w:hAnsi="Verdana"/>
          <w:sz w:val="18"/>
          <w:szCs w:val="18"/>
          <w:b w:val="1"/>
          <w:bCs w:val="1"/>
          <w:color w:val="auto"/>
        </w:rPr>
        <w:t>(b) Retirement</w:t>
      </w:r>
    </w:p>
    <w:p>
      <w:pPr>
        <w:spacing w:after="0" w:line="202" w:lineRule="exact"/>
        <w:rPr>
          <w:sz w:val="20"/>
          <w:szCs w:val="20"/>
          <w:color w:val="auto"/>
        </w:rPr>
      </w:pPr>
    </w:p>
    <w:p>
      <w:pPr>
        <w:jc w:val="both"/>
        <w:ind w:left="280"/>
        <w:spacing w:after="0" w:line="235" w:lineRule="auto"/>
        <w:rPr>
          <w:sz w:val="20"/>
          <w:szCs w:val="20"/>
          <w:color w:val="auto"/>
        </w:rPr>
      </w:pPr>
      <w:r>
        <w:rPr>
          <w:rFonts w:ascii="Verdana" w:cs="Verdana" w:eastAsia="Verdana" w:hAnsi="Verdana"/>
          <w:sz w:val="18"/>
          <w:szCs w:val="18"/>
          <w:color w:val="auto"/>
        </w:rPr>
        <w:t xml:space="preserve">Retirement means (i) for any non-director, unless otherwise determined by the Committee, means (A) termination of service as a non-director after at least 10 years of service by such non- director </w:t>
      </w:r>
      <w:r>
        <w:rPr>
          <w:rFonts w:ascii="Verdana" w:cs="Verdana" w:eastAsia="Verdana" w:hAnsi="Verdana"/>
          <w:sz w:val="18"/>
          <w:szCs w:val="18"/>
          <w:u w:val="single" w:color="auto"/>
          <w:color w:val="auto"/>
        </w:rPr>
        <w:t>and</w:t>
      </w:r>
      <w:r>
        <w:rPr>
          <w:rFonts w:ascii="Verdana" w:cs="Verdana" w:eastAsia="Verdana" w:hAnsi="Verdana"/>
          <w:sz w:val="18"/>
          <w:szCs w:val="18"/>
          <w:color w:val="auto"/>
        </w:rPr>
        <w:t xml:space="preserve"> (B) attaining at least 55 years of age, and (ii) for any director, unless otherwise determined by the Committee, means termination of service as a director after at least five years of Board service by such director.</w:t>
      </w:r>
    </w:p>
    <w:p>
      <w:pPr>
        <w:spacing w:after="0" w:line="196" w:lineRule="exact"/>
        <w:rPr>
          <w:sz w:val="20"/>
          <w:szCs w:val="20"/>
          <w:color w:val="auto"/>
        </w:rPr>
      </w:pPr>
    </w:p>
    <w:p>
      <w:pPr>
        <w:jc w:val="both"/>
        <w:ind w:left="280"/>
        <w:spacing w:after="0" w:line="241" w:lineRule="auto"/>
        <w:rPr>
          <w:sz w:val="20"/>
          <w:szCs w:val="20"/>
          <w:color w:val="auto"/>
        </w:rPr>
      </w:pPr>
      <w:r>
        <w:rPr>
          <w:rFonts w:ascii="Verdana" w:cs="Verdana" w:eastAsia="Verdana" w:hAnsi="Verdana"/>
          <w:sz w:val="18"/>
          <w:szCs w:val="18"/>
          <w:color w:val="auto"/>
        </w:rPr>
        <w:t xml:space="preserve">Upon a Termination of Service in the event of Retirement, the Award shall continue to vest according to the vesting schedule; </w:t>
      </w:r>
      <w:r>
        <w:rPr>
          <w:rFonts w:ascii="Verdana" w:cs="Verdana" w:eastAsia="Verdana" w:hAnsi="Verdana"/>
          <w:sz w:val="18"/>
          <w:szCs w:val="18"/>
          <w:u w:val="single" w:color="auto"/>
          <w:color w:val="auto"/>
        </w:rPr>
        <w:t>provided</w:t>
      </w:r>
      <w:r>
        <w:rPr>
          <w:rFonts w:ascii="Verdana" w:cs="Verdana" w:eastAsia="Verdana" w:hAnsi="Verdana"/>
          <w:sz w:val="18"/>
          <w:szCs w:val="18"/>
          <w:color w:val="auto"/>
        </w:rPr>
        <w:t xml:space="preserve"> that Retirement occurs more than twelve (12)</w:t>
      </w:r>
    </w:p>
    <w:p>
      <w:pPr>
        <w:spacing w:after="0" w:line="377" w:lineRule="exact"/>
        <w:rPr>
          <w:sz w:val="20"/>
          <w:szCs w:val="20"/>
          <w:color w:val="auto"/>
        </w:rPr>
      </w:pPr>
    </w:p>
    <w:p>
      <w:pPr>
        <w:spacing w:after="0"/>
        <w:rPr>
          <w:sz w:val="20"/>
          <w:szCs w:val="20"/>
          <w:color w:val="auto"/>
        </w:rPr>
      </w:pPr>
      <w:r>
        <w:rPr>
          <w:rFonts w:ascii="Arial" w:cs="Arial" w:eastAsia="Arial" w:hAnsi="Arial"/>
          <w:sz w:val="12"/>
          <w:szCs w:val="12"/>
          <w:color w:val="auto"/>
        </w:rPr>
        <w:t>LEGAL\74461649\3</w:t>
      </w:r>
    </w:p>
    <w:p>
      <w:pPr>
        <w:sectPr>
          <w:pgSz w:w="11900" w:h="16838" w:orient="portrait"/>
          <w:cols w:equalWidth="0" w:num="1">
            <w:col w:w="10580"/>
          </w:cols>
          <w:pgMar w:left="360" w:top="1121" w:right="959" w:bottom="1440" w:gutter="0" w:footer="0" w:header="0"/>
        </w:sectPr>
      </w:pPr>
    </w:p>
    <w:bookmarkStart w:id="256" w:name="page257"/>
    <w:bookmarkEnd w:id="256"/>
    <w:p>
      <w:pPr>
        <w:ind w:left="280"/>
        <w:spacing w:after="0" w:line="241" w:lineRule="auto"/>
        <w:rPr>
          <w:sz w:val="20"/>
          <w:szCs w:val="20"/>
          <w:color w:val="auto"/>
        </w:rPr>
      </w:pPr>
      <w:r>
        <w:rPr>
          <w:rFonts w:ascii="Verdana" w:cs="Verdana" w:eastAsia="Verdana" w:hAnsi="Verdana"/>
          <w:sz w:val="18"/>
          <w:szCs w:val="18"/>
          <w:color w:val="auto"/>
        </w:rPr>
        <w:t xml:space="preserve">months following the Date of Grant. Upon vesting, the Award shall be issued and delivered to the Participant in accordance with </w:t>
      </w:r>
      <w:r>
        <w:rPr>
          <w:rFonts w:ascii="Verdana" w:cs="Verdana" w:eastAsia="Verdana" w:hAnsi="Verdana"/>
          <w:sz w:val="18"/>
          <w:szCs w:val="18"/>
          <w:u w:val="single" w:color="auto"/>
          <w:color w:val="auto"/>
        </w:rPr>
        <w:t>Section 3</w:t>
      </w:r>
      <w:r>
        <w:rPr>
          <w:rFonts w:ascii="Verdana" w:cs="Verdana" w:eastAsia="Verdana" w:hAnsi="Verdana"/>
          <w:sz w:val="18"/>
          <w:szCs w:val="18"/>
          <w:color w:val="auto"/>
        </w:rPr>
        <w:t>.</w:t>
      </w:r>
    </w:p>
    <w:p>
      <w:pPr>
        <w:spacing w:after="0" w:line="192" w:lineRule="exact"/>
        <w:rPr>
          <w:sz w:val="20"/>
          <w:szCs w:val="20"/>
          <w:color w:val="auto"/>
        </w:rPr>
      </w:pPr>
    </w:p>
    <w:p>
      <w:pPr>
        <w:ind w:left="280"/>
        <w:spacing w:after="0"/>
        <w:rPr>
          <w:sz w:val="20"/>
          <w:szCs w:val="20"/>
          <w:color w:val="auto"/>
        </w:rPr>
      </w:pPr>
      <w:r>
        <w:rPr>
          <w:rFonts w:ascii="Verdana" w:cs="Verdana" w:eastAsia="Verdana" w:hAnsi="Verdana"/>
          <w:sz w:val="18"/>
          <w:szCs w:val="18"/>
          <w:b w:val="1"/>
          <w:bCs w:val="1"/>
          <w:color w:val="auto"/>
        </w:rPr>
        <w:t>(c) Disability</w:t>
      </w:r>
    </w:p>
    <w:p>
      <w:pPr>
        <w:spacing w:after="0" w:line="202" w:lineRule="exact"/>
        <w:rPr>
          <w:sz w:val="20"/>
          <w:szCs w:val="20"/>
          <w:color w:val="auto"/>
        </w:rPr>
      </w:pPr>
    </w:p>
    <w:p>
      <w:pPr>
        <w:jc w:val="both"/>
        <w:ind w:left="280" w:right="600"/>
        <w:spacing w:after="0" w:line="235" w:lineRule="auto"/>
        <w:rPr>
          <w:sz w:val="20"/>
          <w:szCs w:val="20"/>
          <w:color w:val="auto"/>
        </w:rPr>
      </w:pPr>
      <w:r>
        <w:rPr>
          <w:rFonts w:ascii="Verdana" w:cs="Verdana" w:eastAsia="Verdana" w:hAnsi="Verdana"/>
          <w:sz w:val="18"/>
          <w:szCs w:val="18"/>
          <w:color w:val="auto"/>
        </w:rPr>
        <w:t xml:space="preserve">Upon a Termination of Service as a result of Disability, the Award shall vest in full, and the Common Stock underlying the RSUs shall be issued and delivered to the Participant in accordance with </w:t>
      </w:r>
      <w:r>
        <w:rPr>
          <w:rFonts w:ascii="Verdana" w:cs="Verdana" w:eastAsia="Verdana" w:hAnsi="Verdana"/>
          <w:sz w:val="18"/>
          <w:szCs w:val="18"/>
          <w:u w:val="single" w:color="auto"/>
          <w:color w:val="auto"/>
        </w:rPr>
        <w:t>Section 3</w:t>
      </w:r>
      <w:r>
        <w:rPr>
          <w:rFonts w:ascii="Verdana" w:cs="Verdana" w:eastAsia="Verdana" w:hAnsi="Verdana"/>
          <w:sz w:val="18"/>
          <w:szCs w:val="18"/>
          <w:color w:val="auto"/>
        </w:rPr>
        <w:t>. For purposes of this Agreement, “Disability” means a disability that would entitle an eligible Participant to payment of monthly disability payments under any Company long-term disability plan or as otherwise determined by the Committee.</w:t>
      </w:r>
    </w:p>
    <w:p>
      <w:pPr>
        <w:spacing w:after="0" w:line="183" w:lineRule="exact"/>
        <w:rPr>
          <w:sz w:val="20"/>
          <w:szCs w:val="20"/>
          <w:color w:val="auto"/>
        </w:rPr>
      </w:pPr>
    </w:p>
    <w:p>
      <w:pPr>
        <w:ind w:left="280"/>
        <w:spacing w:after="0"/>
        <w:rPr>
          <w:sz w:val="20"/>
          <w:szCs w:val="20"/>
          <w:color w:val="auto"/>
        </w:rPr>
      </w:pPr>
      <w:r>
        <w:rPr>
          <w:rFonts w:ascii="Verdana" w:cs="Verdana" w:eastAsia="Verdana" w:hAnsi="Verdana"/>
          <w:sz w:val="18"/>
          <w:szCs w:val="18"/>
          <w:b w:val="1"/>
          <w:bCs w:val="1"/>
          <w:color w:val="auto"/>
        </w:rPr>
        <w:t>(d) Change in Control</w:t>
      </w:r>
    </w:p>
    <w:p>
      <w:pPr>
        <w:spacing w:after="0" w:line="215" w:lineRule="exact"/>
        <w:rPr>
          <w:sz w:val="20"/>
          <w:szCs w:val="20"/>
          <w:color w:val="auto"/>
        </w:rPr>
      </w:pPr>
    </w:p>
    <w:p>
      <w:pPr>
        <w:jc w:val="both"/>
        <w:ind w:left="280" w:right="580"/>
        <w:spacing w:after="0" w:line="233" w:lineRule="auto"/>
        <w:rPr>
          <w:sz w:val="20"/>
          <w:szCs w:val="20"/>
          <w:color w:val="auto"/>
        </w:rPr>
      </w:pPr>
      <w:r>
        <w:rPr>
          <w:rFonts w:ascii="Verdana" w:cs="Verdana" w:eastAsia="Verdana" w:hAnsi="Verdana"/>
          <w:sz w:val="18"/>
          <w:szCs w:val="18"/>
          <w:color w:val="auto"/>
        </w:rPr>
        <w:t xml:space="preserve">Notwithstanding anything in this </w:t>
      </w:r>
      <w:r>
        <w:rPr>
          <w:rFonts w:ascii="Verdana" w:cs="Verdana" w:eastAsia="Verdana" w:hAnsi="Verdana"/>
          <w:sz w:val="18"/>
          <w:szCs w:val="18"/>
          <w:u w:val="single" w:color="auto"/>
          <w:color w:val="auto"/>
        </w:rPr>
        <w:t>Section 8</w:t>
      </w:r>
      <w:r>
        <w:rPr>
          <w:rFonts w:ascii="Verdana" w:cs="Verdana" w:eastAsia="Verdana" w:hAnsi="Verdana"/>
          <w:sz w:val="18"/>
          <w:szCs w:val="18"/>
          <w:color w:val="auto"/>
        </w:rPr>
        <w:t xml:space="preserve"> to the contrary, if the Company terminates the Participant’s employment without Cause in connection with a Change in Control, the RSUs shall vest in full immediately upon the later of such Change in Control or such termination of employment. Upon vesting, the Award shall be issued and delivered to the Participant in accordance with </w:t>
      </w:r>
      <w:r>
        <w:rPr>
          <w:rFonts w:ascii="Verdana" w:cs="Verdana" w:eastAsia="Verdana" w:hAnsi="Verdana"/>
          <w:sz w:val="18"/>
          <w:szCs w:val="18"/>
          <w:u w:val="single" w:color="auto"/>
          <w:color w:val="auto"/>
        </w:rPr>
        <w:t>Section 3</w:t>
      </w:r>
      <w:r>
        <w:rPr>
          <w:rFonts w:ascii="Verdana" w:cs="Verdana" w:eastAsia="Verdana" w:hAnsi="Verdana"/>
          <w:sz w:val="18"/>
          <w:szCs w:val="18"/>
          <w:color w:val="auto"/>
        </w:rPr>
        <w:t>. The Company’s termination of the Participant’s employment may be treated as being in connection with a Change in Control only if such termination occurs during the period beginning six (6) months prior to the Change in Control and ending twenty-four (24) months following the Change in Control. The Committee shall determine, in its sole and absolute discretion, whether the Participant’s employment was terminated without Cause in connection with a Change in Control.</w:t>
      </w:r>
    </w:p>
    <w:p>
      <w:pPr>
        <w:spacing w:after="0" w:line="183" w:lineRule="exact"/>
        <w:rPr>
          <w:sz w:val="20"/>
          <w:szCs w:val="20"/>
          <w:color w:val="auto"/>
        </w:rPr>
      </w:pPr>
    </w:p>
    <w:p>
      <w:pPr>
        <w:ind w:left="280"/>
        <w:spacing w:after="0"/>
        <w:rPr>
          <w:sz w:val="20"/>
          <w:szCs w:val="20"/>
          <w:color w:val="auto"/>
        </w:rPr>
      </w:pPr>
      <w:r>
        <w:rPr>
          <w:rFonts w:ascii="Verdana" w:cs="Verdana" w:eastAsia="Verdana" w:hAnsi="Verdana"/>
          <w:sz w:val="18"/>
          <w:szCs w:val="18"/>
          <w:b w:val="1"/>
          <w:bCs w:val="1"/>
          <w:color w:val="auto"/>
        </w:rPr>
        <w:t>(e) Eligible Termination</w:t>
      </w:r>
    </w:p>
    <w:p>
      <w:pPr>
        <w:spacing w:after="0" w:line="215" w:lineRule="exact"/>
        <w:rPr>
          <w:sz w:val="20"/>
          <w:szCs w:val="20"/>
          <w:color w:val="auto"/>
        </w:rPr>
      </w:pPr>
    </w:p>
    <w:p>
      <w:pPr>
        <w:jc w:val="both"/>
        <w:ind w:left="280" w:right="580"/>
        <w:spacing w:after="0" w:line="232" w:lineRule="auto"/>
        <w:rPr>
          <w:sz w:val="20"/>
          <w:szCs w:val="20"/>
          <w:color w:val="auto"/>
        </w:rPr>
      </w:pPr>
      <w:r>
        <w:rPr>
          <w:rFonts w:ascii="Verdana" w:cs="Verdana" w:eastAsia="Verdana" w:hAnsi="Verdana"/>
          <w:sz w:val="18"/>
          <w:szCs w:val="18"/>
          <w:color w:val="auto"/>
        </w:rPr>
        <w:t>Upon a Termination of Service by reason of an Eligible Termination (as defined below), the number of RSUs that shall vest and be delivered to the Participant shall be the pro-rated percentage of the total number of RSUs awarded that is equal to the percentage of time during the aggregate vesting period for all RSUs awarded that the Participant was actually continuously employed by the Company (the “</w:t>
      </w:r>
      <w:r>
        <w:rPr>
          <w:rFonts w:ascii="Verdana" w:cs="Verdana" w:eastAsia="Verdana" w:hAnsi="Verdana"/>
          <w:sz w:val="18"/>
          <w:szCs w:val="18"/>
          <w:u w:val="single" w:color="auto"/>
          <w:color w:val="auto"/>
        </w:rPr>
        <w:t>Pro-Rated Award</w:t>
      </w:r>
      <w:r>
        <w:rPr>
          <w:rFonts w:ascii="Verdana" w:cs="Verdana" w:eastAsia="Verdana" w:hAnsi="Verdana"/>
          <w:sz w:val="18"/>
          <w:szCs w:val="18"/>
          <w:color w:val="auto"/>
        </w:rPr>
        <w:t xml:space="preserve">”). The Pro-Rated Award shall vest on the fifteenth (15th) day of the month that follows the month in which the Release (as defined below) becomes irrevocable; </w:t>
      </w:r>
      <w:r>
        <w:rPr>
          <w:rFonts w:ascii="Verdana" w:cs="Verdana" w:eastAsia="Verdana" w:hAnsi="Verdana"/>
          <w:sz w:val="18"/>
          <w:szCs w:val="18"/>
          <w:u w:val="single" w:color="auto"/>
          <w:color w:val="auto"/>
        </w:rPr>
        <w:t>provided</w:t>
      </w:r>
      <w:r>
        <w:rPr>
          <w:rFonts w:ascii="Verdana" w:cs="Verdana" w:eastAsia="Verdana" w:hAnsi="Verdana"/>
          <w:sz w:val="18"/>
          <w:szCs w:val="18"/>
          <w:color w:val="auto"/>
        </w:rPr>
        <w:t xml:space="preserve">, that (i) in the event the aggregate consideration and revocation period applicable to the Release ends after December 15 or spans two (2) calendar years, vesting of the Pro-Rated Award shall occur in the second calendar year; and (ii) in the event the aggregate consideration and revocation period applicable to the Release ends on or before December 15, the Pro-Rated Award shall vest on December 20. Upon vesting, the Pro-Rated Award shall be issued and delivered to the Participant in accordance with </w:t>
      </w:r>
      <w:r>
        <w:rPr>
          <w:rFonts w:ascii="Verdana" w:cs="Verdana" w:eastAsia="Verdana" w:hAnsi="Verdana"/>
          <w:sz w:val="18"/>
          <w:szCs w:val="18"/>
          <w:u w:val="single" w:color="auto"/>
          <w:color w:val="auto"/>
        </w:rPr>
        <w:t>Section 3</w:t>
      </w:r>
      <w:r>
        <w:rPr>
          <w:rFonts w:ascii="Verdana" w:cs="Verdana" w:eastAsia="Verdana" w:hAnsi="Verdana"/>
          <w:sz w:val="18"/>
          <w:szCs w:val="18"/>
          <w:color w:val="auto"/>
        </w:rPr>
        <w:t>, provided, for the avoidance of doubt, that any payment pursuant to Section 3 with respect to a Pro-Rated Award shall be made within two and one-half months of the end of such calendar year.</w:t>
      </w:r>
    </w:p>
    <w:p>
      <w:pPr>
        <w:spacing w:after="0" w:line="199" w:lineRule="exact"/>
        <w:rPr>
          <w:sz w:val="20"/>
          <w:szCs w:val="20"/>
          <w:color w:val="auto"/>
        </w:rPr>
      </w:pPr>
    </w:p>
    <w:p>
      <w:pPr>
        <w:ind w:left="280" w:right="700"/>
        <w:spacing w:after="0" w:line="232" w:lineRule="auto"/>
        <w:rPr>
          <w:sz w:val="20"/>
          <w:szCs w:val="20"/>
          <w:color w:val="auto"/>
        </w:rPr>
      </w:pPr>
      <w:r>
        <w:rPr>
          <w:rFonts w:ascii="Verdana" w:cs="Verdana" w:eastAsia="Verdana" w:hAnsi="Verdana"/>
          <w:sz w:val="18"/>
          <w:szCs w:val="18"/>
          <w:color w:val="auto"/>
        </w:rPr>
        <w:t xml:space="preserve">For purposes of this </w:t>
      </w:r>
      <w:r>
        <w:rPr>
          <w:rFonts w:ascii="Verdana" w:cs="Verdana" w:eastAsia="Verdana" w:hAnsi="Verdana"/>
          <w:sz w:val="18"/>
          <w:szCs w:val="18"/>
          <w:u w:val="single" w:color="auto"/>
          <w:color w:val="auto"/>
        </w:rPr>
        <w:t>Section 8(e)</w:t>
      </w:r>
      <w:r>
        <w:rPr>
          <w:rFonts w:ascii="Verdana" w:cs="Verdana" w:eastAsia="Verdana" w:hAnsi="Verdana"/>
          <w:sz w:val="18"/>
          <w:szCs w:val="18"/>
          <w:color w:val="auto"/>
        </w:rPr>
        <w:t>, “</w:t>
      </w:r>
      <w:r>
        <w:rPr>
          <w:rFonts w:ascii="Verdana" w:cs="Verdana" w:eastAsia="Verdana" w:hAnsi="Verdana"/>
          <w:sz w:val="18"/>
          <w:szCs w:val="18"/>
          <w:u w:val="single" w:color="auto"/>
          <w:color w:val="auto"/>
        </w:rPr>
        <w:t>Eligible Termination</w:t>
      </w:r>
      <w:r>
        <w:rPr>
          <w:rFonts w:ascii="Verdana" w:cs="Verdana" w:eastAsia="Verdana" w:hAnsi="Verdana"/>
          <w:sz w:val="18"/>
          <w:szCs w:val="18"/>
          <w:color w:val="auto"/>
        </w:rPr>
        <w:t>” means an involuntary Termination of Service in connection with the sale of a business segment, restructuring or reduction in workforce. In order to be deemed an Eligible Termination, the Participant must execute and not revoke a general release of claims in favor of the Company in a form and with terms and conditions drafted by and acceptable to the Company, which is executed, and not revoked, by the Participant as a condition to receiving the benefit described herein (the “</w:t>
      </w:r>
      <w:r>
        <w:rPr>
          <w:rFonts w:ascii="Verdana" w:cs="Verdana" w:eastAsia="Verdana" w:hAnsi="Verdana"/>
          <w:sz w:val="18"/>
          <w:szCs w:val="18"/>
          <w:u w:val="single" w:color="auto"/>
          <w:color w:val="auto"/>
        </w:rPr>
        <w:t>Release</w:t>
      </w:r>
      <w:r>
        <w:rPr>
          <w:rFonts w:ascii="Verdana" w:cs="Verdana" w:eastAsia="Verdana" w:hAnsi="Verdana"/>
          <w:sz w:val="18"/>
          <w:szCs w:val="18"/>
          <w:color w:val="auto"/>
        </w:rPr>
        <w:t xml:space="preserve">”). For the avoidance of doubt: (i) an involuntary Termination of Service by reason of a Change in Control, Cause, death, or Disability is not an Eligible Termination and (ii) in the event an Eligible Termination occurs and the Participant also meets the requirements for Retirement, the Award shall vest in accordance with </w:t>
      </w:r>
      <w:r>
        <w:rPr>
          <w:rFonts w:ascii="Verdana" w:cs="Verdana" w:eastAsia="Verdana" w:hAnsi="Verdana"/>
          <w:sz w:val="18"/>
          <w:szCs w:val="18"/>
          <w:u w:val="single" w:color="auto"/>
          <w:color w:val="auto"/>
        </w:rPr>
        <w:t>Section 8(b)</w:t>
      </w:r>
      <w:r>
        <w:rPr>
          <w:rFonts w:ascii="Verdana" w:cs="Verdana" w:eastAsia="Verdana" w:hAnsi="Verdana"/>
          <w:sz w:val="18"/>
          <w:szCs w:val="18"/>
          <w:color w:val="auto"/>
        </w:rPr>
        <w:t>. The Committee shall determine, in its sole and absolute discretion, whether a Termination of Service was by reason of an Eligible Termination.</w:t>
      </w:r>
    </w:p>
    <w:p>
      <w:pPr>
        <w:spacing w:after="0" w:line="399" w:lineRule="exact"/>
        <w:rPr>
          <w:sz w:val="20"/>
          <w:szCs w:val="20"/>
          <w:color w:val="auto"/>
        </w:rPr>
      </w:pPr>
    </w:p>
    <w:p>
      <w:pPr>
        <w:spacing w:after="0"/>
        <w:rPr>
          <w:sz w:val="20"/>
          <w:szCs w:val="20"/>
          <w:color w:val="auto"/>
        </w:rPr>
      </w:pPr>
      <w:r>
        <w:rPr>
          <w:rFonts w:ascii="Arial" w:cs="Arial" w:eastAsia="Arial" w:hAnsi="Arial"/>
          <w:sz w:val="12"/>
          <w:szCs w:val="12"/>
          <w:color w:val="auto"/>
        </w:rPr>
        <w:t>LEGAL\74461649\3</w:t>
      </w:r>
    </w:p>
    <w:p>
      <w:pPr>
        <w:sectPr>
          <w:pgSz w:w="11900" w:h="16838" w:orient="portrait"/>
          <w:cols w:equalWidth="0" w:num="1">
            <w:col w:w="11160"/>
          </w:cols>
          <w:pgMar w:left="360" w:top="1358" w:right="379" w:bottom="1440" w:gutter="0" w:footer="0" w:header="0"/>
        </w:sectPr>
      </w:pPr>
    </w:p>
    <w:bookmarkStart w:id="257" w:name="page258"/>
    <w:bookmarkEnd w:id="257"/>
    <w:p>
      <w:pPr>
        <w:ind w:left="680" w:right="180" w:hanging="400"/>
        <w:spacing w:after="0" w:line="241" w:lineRule="auto"/>
        <w:tabs>
          <w:tab w:leader="none" w:pos="671" w:val="left"/>
        </w:tabs>
        <w:numPr>
          <w:ilvl w:val="0"/>
          <w:numId w:val="235"/>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Termination of Service other than as a result of Death, Retirement, Disability, Change in Control or Eligible Termination</w:t>
      </w:r>
    </w:p>
    <w:p>
      <w:pPr>
        <w:spacing w:after="0" w:line="192" w:lineRule="exact"/>
        <w:rPr>
          <w:sz w:val="20"/>
          <w:szCs w:val="20"/>
          <w:color w:val="auto"/>
        </w:rPr>
      </w:pPr>
    </w:p>
    <w:p>
      <w:pPr>
        <w:jc w:val="both"/>
        <w:ind w:left="280" w:right="20"/>
        <w:spacing w:after="0" w:line="234" w:lineRule="auto"/>
        <w:rPr>
          <w:sz w:val="20"/>
          <w:szCs w:val="20"/>
          <w:color w:val="auto"/>
        </w:rPr>
      </w:pPr>
      <w:r>
        <w:rPr>
          <w:rFonts w:ascii="Verdana" w:cs="Verdana" w:eastAsia="Verdana" w:hAnsi="Verdana"/>
          <w:sz w:val="18"/>
          <w:szCs w:val="18"/>
          <w:color w:val="auto"/>
        </w:rPr>
        <w:t>Upon a Termination of Service by any reason other than death, Retirement, Disability, Eligible Termination or without Cause in connection with a Change in Control, including, without limitation, as a result of retirement or disability that does not meet the requirements set forth in the definitions of such terms in the Plan or this Agreement, voluntary resignation or termination for Cause, any unvested portion of this Award shall expire and be forfeited to the Company.</w:t>
      </w:r>
    </w:p>
    <w:p>
      <w:pPr>
        <w:spacing w:after="0" w:line="197" w:lineRule="exact"/>
        <w:rPr>
          <w:sz w:val="20"/>
          <w:szCs w:val="20"/>
          <w:color w:val="auto"/>
        </w:rPr>
      </w:pPr>
    </w:p>
    <w:p>
      <w:pPr>
        <w:ind w:left="280"/>
        <w:spacing w:after="0"/>
        <w:rPr>
          <w:sz w:val="20"/>
          <w:szCs w:val="20"/>
          <w:color w:val="auto"/>
        </w:rPr>
      </w:pPr>
      <w:r>
        <w:rPr>
          <w:rFonts w:ascii="Verdana" w:cs="Verdana" w:eastAsia="Verdana" w:hAnsi="Verdana"/>
          <w:sz w:val="18"/>
          <w:szCs w:val="18"/>
          <w:b w:val="1"/>
          <w:bCs w:val="1"/>
          <w:color w:val="auto"/>
        </w:rPr>
        <w:t>(g) Clawback/Repayment</w:t>
      </w:r>
    </w:p>
    <w:p>
      <w:pPr>
        <w:spacing w:after="0" w:line="189" w:lineRule="exact"/>
        <w:rPr>
          <w:sz w:val="20"/>
          <w:szCs w:val="20"/>
          <w:color w:val="auto"/>
        </w:rPr>
      </w:pPr>
    </w:p>
    <w:p>
      <w:pPr>
        <w:ind w:left="280" w:right="320"/>
        <w:spacing w:after="0" w:line="233" w:lineRule="auto"/>
        <w:rPr>
          <w:sz w:val="20"/>
          <w:szCs w:val="20"/>
          <w:color w:val="auto"/>
        </w:rPr>
      </w:pPr>
      <w:r>
        <w:rPr>
          <w:rFonts w:ascii="Verdana" w:cs="Verdana" w:eastAsia="Verdana" w:hAnsi="Verdana"/>
          <w:sz w:val="18"/>
          <w:szCs w:val="18"/>
          <w:color w:val="auto"/>
        </w:rPr>
        <w:t>All RSUs shall be subject to reduction, cancellation, forfeiture, or recoupment to the extent necessary to comply with (i) any clawback, forfeiture, or other similar policy adopted by the Board or the Committee and is in effect from time to time and (ii) applicable law. Further, unless otherwise determined by the Committee, to the extent that the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shall be required to repay any such excess amount to the Company.</w:t>
      </w:r>
    </w:p>
    <w:p>
      <w:pPr>
        <w:spacing w:after="0" w:line="200" w:lineRule="exact"/>
        <w:rPr>
          <w:sz w:val="20"/>
          <w:szCs w:val="20"/>
          <w:color w:val="auto"/>
        </w:rPr>
      </w:pPr>
    </w:p>
    <w:p>
      <w:pPr>
        <w:spacing w:after="0" w:line="248" w:lineRule="exact"/>
        <w:rPr>
          <w:sz w:val="20"/>
          <w:szCs w:val="20"/>
          <w:color w:val="auto"/>
        </w:rPr>
      </w:pPr>
    </w:p>
    <w:p>
      <w:pPr>
        <w:ind w:left="280"/>
        <w:spacing w:after="0"/>
        <w:rPr>
          <w:sz w:val="20"/>
          <w:szCs w:val="20"/>
          <w:color w:val="auto"/>
        </w:rPr>
      </w:pPr>
      <w:r>
        <w:rPr>
          <w:rFonts w:ascii="Verdana" w:cs="Verdana" w:eastAsia="Verdana" w:hAnsi="Verdana"/>
          <w:sz w:val="18"/>
          <w:szCs w:val="18"/>
          <w:b w:val="1"/>
          <w:bCs w:val="1"/>
          <w:color w:val="auto"/>
        </w:rPr>
        <w:t>(h) Detrimental Activity</w:t>
      </w:r>
    </w:p>
    <w:p>
      <w:pPr>
        <w:spacing w:after="0" w:line="97" w:lineRule="exact"/>
        <w:rPr>
          <w:sz w:val="20"/>
          <w:szCs w:val="20"/>
          <w:color w:val="auto"/>
        </w:rPr>
      </w:pPr>
    </w:p>
    <w:p>
      <w:pPr>
        <w:ind w:left="280" w:right="80"/>
        <w:spacing w:after="0" w:line="230" w:lineRule="auto"/>
        <w:rPr>
          <w:sz w:val="20"/>
          <w:szCs w:val="20"/>
          <w:color w:val="auto"/>
        </w:rPr>
      </w:pPr>
      <w:r>
        <w:rPr>
          <w:rFonts w:ascii="Verdana" w:cs="Verdana" w:eastAsia="Verdana" w:hAnsi="Verdana"/>
          <w:sz w:val="18"/>
          <w:szCs w:val="18"/>
          <w:color w:val="auto"/>
        </w:rPr>
        <w:t>Notwithstanding anything to the contrary contained herein, if a Participant has engaged in any Detrimental Activity, as determined by the Committee, the Committee may, in its sole discretion, provide for one or more of the following: (i) cancellation of any or all of such</w:t>
      </w:r>
    </w:p>
    <w:p>
      <w:pPr>
        <w:spacing w:after="0" w:line="3" w:lineRule="exact"/>
        <w:rPr>
          <w:sz w:val="20"/>
          <w:szCs w:val="20"/>
          <w:color w:val="auto"/>
        </w:rPr>
      </w:pPr>
    </w:p>
    <w:p>
      <w:pPr>
        <w:ind w:left="280" w:right="180"/>
        <w:spacing w:after="0" w:line="265" w:lineRule="auto"/>
        <w:rPr>
          <w:sz w:val="20"/>
          <w:szCs w:val="20"/>
          <w:color w:val="auto"/>
        </w:rPr>
      </w:pPr>
      <w:r>
        <w:rPr>
          <w:rFonts w:ascii="Verdana" w:cs="Verdana" w:eastAsia="Verdana" w:hAnsi="Verdana"/>
          <w:sz w:val="16"/>
          <w:szCs w:val="16"/>
          <w:color w:val="auto"/>
        </w:rPr>
        <w:t>Participant’s outstanding Awards; or (ii) forfeiture by the Participant of any gain realized on the vesting of the Award, and repayment of any such gain promptly to the Company. For purposes of this Agreement “Detrimental Activity” means any of the following: (i) unauthorized disclosure of any confidential or proprietary information of the Company or any Subsidiary; (ii) any activity that would be grounds to terminate the Participant’s employment with the Company or any Subsidiary for Cause; (iii) the Participant having engaged in a violation of any provisions of any agreement with the Company or a Subsidiary, containing covenants regarding non- competition, non-solicitation, non-disparagement and/or non-disclosure obligations; or (iv) fraud or conduct contributing to any financial restatements or irregularities, as determined by the Committee in its sole discretion.</w:t>
      </w:r>
    </w:p>
    <w:p>
      <w:pPr>
        <w:spacing w:after="0" w:line="200" w:lineRule="exact"/>
        <w:rPr>
          <w:sz w:val="20"/>
          <w:szCs w:val="20"/>
          <w:color w:val="auto"/>
        </w:rPr>
      </w:pPr>
    </w:p>
    <w:p>
      <w:pPr>
        <w:spacing w:after="0" w:line="214" w:lineRule="exact"/>
        <w:rPr>
          <w:sz w:val="20"/>
          <w:szCs w:val="20"/>
          <w:color w:val="auto"/>
        </w:rPr>
      </w:pPr>
    </w:p>
    <w:p>
      <w:pPr>
        <w:ind w:left="720" w:hanging="439"/>
        <w:spacing w:after="0"/>
        <w:tabs>
          <w:tab w:leader="none" w:pos="720" w:val="left"/>
        </w:tabs>
        <w:numPr>
          <w:ilvl w:val="0"/>
          <w:numId w:val="236"/>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Definition of Cause</w:t>
      </w:r>
    </w:p>
    <w:p>
      <w:pPr>
        <w:spacing w:after="0" w:line="202" w:lineRule="exact"/>
        <w:rPr>
          <w:sz w:val="20"/>
          <w:szCs w:val="20"/>
          <w:color w:val="auto"/>
        </w:rPr>
      </w:pPr>
    </w:p>
    <w:p>
      <w:pPr>
        <w:jc w:val="both"/>
        <w:ind w:left="280"/>
        <w:spacing w:after="0" w:line="230" w:lineRule="auto"/>
        <w:rPr>
          <w:sz w:val="20"/>
          <w:szCs w:val="20"/>
          <w:color w:val="auto"/>
        </w:rPr>
      </w:pPr>
      <w:r>
        <w:rPr>
          <w:rFonts w:ascii="Verdana" w:cs="Verdana" w:eastAsia="Verdana" w:hAnsi="Verdana"/>
          <w:sz w:val="18"/>
          <w:szCs w:val="18"/>
          <w:color w:val="auto"/>
        </w:rPr>
        <w:t>For purposes of this Agreement “Cause”, unless otherwise defined in a Participant’s written employment arrangement with the Company or any of its Subsidiaries in effect on the date of grant (as amended from time to time thereafter), means the occurrence of one or more of the following events: (i) conviction of, or agreement to a plea of nolo contendere to, a felony, or any crime or offense lesser than a felony involving the property of the Company or a Subsidiary; (ii) conduct that has caused demonstrable and serious injury to the Company or a Subsidiary, monetary or otherwise; (iii) willful refusal to perform or substantial disregard of duties properly assigned, as determined by the Company; (iv) breach of duty of loyalty to the Company or a Subsidiary or other act of fraud or dishonesty with respect to the Company or a Subsidiary; or</w:t>
      </w:r>
    </w:p>
    <w:p>
      <w:pPr>
        <w:spacing w:after="0" w:line="7" w:lineRule="exact"/>
        <w:rPr>
          <w:sz w:val="20"/>
          <w:szCs w:val="20"/>
          <w:color w:val="auto"/>
        </w:rPr>
      </w:pPr>
    </w:p>
    <w:p>
      <w:pPr>
        <w:ind w:left="600" w:hanging="319"/>
        <w:spacing w:after="0"/>
        <w:tabs>
          <w:tab w:leader="none" w:pos="600" w:val="left"/>
        </w:tabs>
        <w:numPr>
          <w:ilvl w:val="1"/>
          <w:numId w:val="237"/>
        </w:numPr>
        <w:rPr>
          <w:rFonts w:ascii="Verdana" w:cs="Verdana" w:eastAsia="Verdana" w:hAnsi="Verdana"/>
          <w:sz w:val="18"/>
          <w:szCs w:val="18"/>
          <w:color w:val="auto"/>
        </w:rPr>
      </w:pPr>
      <w:r>
        <w:rPr>
          <w:rFonts w:ascii="Verdana" w:cs="Verdana" w:eastAsia="Verdana" w:hAnsi="Verdana"/>
          <w:sz w:val="18"/>
          <w:szCs w:val="18"/>
          <w:color w:val="auto"/>
        </w:rPr>
        <w:t>violation of the Company’s code of conduct.</w:t>
      </w:r>
    </w:p>
    <w:p>
      <w:pPr>
        <w:spacing w:after="0" w:line="200" w:lineRule="exact"/>
        <w:rPr>
          <w:rFonts w:ascii="Verdana" w:cs="Verdana" w:eastAsia="Verdana" w:hAnsi="Verdana"/>
          <w:sz w:val="18"/>
          <w:szCs w:val="18"/>
          <w:color w:val="auto"/>
        </w:rPr>
      </w:pPr>
    </w:p>
    <w:p>
      <w:pPr>
        <w:spacing w:after="0" w:line="239" w:lineRule="exact"/>
        <w:rPr>
          <w:rFonts w:ascii="Verdana" w:cs="Verdana" w:eastAsia="Verdana" w:hAnsi="Verdana"/>
          <w:sz w:val="18"/>
          <w:szCs w:val="18"/>
          <w:color w:val="auto"/>
        </w:rPr>
      </w:pPr>
    </w:p>
    <w:p>
      <w:pPr>
        <w:ind w:left="360" w:hanging="315"/>
        <w:spacing w:after="0"/>
        <w:tabs>
          <w:tab w:leader="none" w:pos="360" w:val="left"/>
        </w:tabs>
        <w:numPr>
          <w:ilvl w:val="0"/>
          <w:numId w:val="238"/>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Committee Authority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LEGAL\74461649\3</w:t>
      </w:r>
    </w:p>
    <w:p>
      <w:pPr>
        <w:sectPr>
          <w:pgSz w:w="11900" w:h="16838" w:orient="portrait"/>
          <w:cols w:equalWidth="0" w:num="1">
            <w:col w:w="10580"/>
          </w:cols>
          <w:pgMar w:left="360" w:top="1358" w:right="959" w:bottom="1440" w:gutter="0" w:footer="0" w:header="0"/>
        </w:sectPr>
      </w:pPr>
    </w:p>
    <w:bookmarkStart w:id="258" w:name="page259"/>
    <w:bookmarkEnd w:id="258"/>
    <w:p>
      <w:pPr>
        <w:ind w:left="280" w:right="19"/>
        <w:spacing w:after="0" w:line="241" w:lineRule="auto"/>
        <w:rPr>
          <w:sz w:val="20"/>
          <w:szCs w:val="20"/>
          <w:color w:val="auto"/>
        </w:rPr>
      </w:pPr>
      <w:r>
        <w:rPr>
          <w:rFonts w:ascii="Verdana" w:cs="Verdana" w:eastAsia="Verdana" w:hAnsi="Verdana"/>
          <w:sz w:val="18"/>
          <w:szCs w:val="18"/>
          <w:color w:val="auto"/>
        </w:rPr>
        <w:t>Any question concerning the interpretation of this Agreement, any adjustments required to be made under the Plan, and any controversy that may arise under the Plan or this Agreement shall</w:t>
      </w:r>
    </w:p>
    <w:p>
      <w:pPr>
        <w:spacing w:after="0" w:line="390" w:lineRule="exact"/>
        <w:rPr>
          <w:sz w:val="20"/>
          <w:szCs w:val="20"/>
          <w:color w:val="auto"/>
        </w:rPr>
      </w:pPr>
    </w:p>
    <w:p>
      <w:pPr>
        <w:spacing w:after="0"/>
        <w:rPr>
          <w:sz w:val="20"/>
          <w:szCs w:val="20"/>
          <w:color w:val="auto"/>
        </w:rPr>
      </w:pPr>
      <w:r>
        <w:rPr>
          <w:rFonts w:ascii="Arial" w:cs="Arial" w:eastAsia="Arial" w:hAnsi="Arial"/>
          <w:sz w:val="12"/>
          <w:szCs w:val="12"/>
          <w:color w:val="auto"/>
        </w:rPr>
        <w:t>LEGAL\74461649\3</w:t>
      </w:r>
    </w:p>
    <w:p>
      <w:pPr>
        <w:sectPr>
          <w:pgSz w:w="11900" w:h="16838" w:orient="portrait"/>
          <w:cols w:equalWidth="0" w:num="1">
            <w:col w:w="10099"/>
          </w:cols>
          <w:pgMar w:left="360" w:top="1253" w:right="1440" w:bottom="1440" w:gutter="0" w:footer="0" w:header="0"/>
        </w:sectPr>
      </w:pPr>
    </w:p>
    <w:bookmarkStart w:id="259" w:name="page260"/>
    <w:bookmarkEnd w:id="259"/>
    <w:p>
      <w:pPr>
        <w:jc w:val="both"/>
        <w:ind w:left="280" w:right="20"/>
        <w:spacing w:after="0" w:line="241" w:lineRule="auto"/>
        <w:rPr>
          <w:sz w:val="20"/>
          <w:szCs w:val="20"/>
          <w:color w:val="auto"/>
        </w:rPr>
      </w:pPr>
      <w:r>
        <w:rPr>
          <w:rFonts w:ascii="Verdana" w:cs="Verdana" w:eastAsia="Verdana" w:hAnsi="Verdana"/>
          <w:sz w:val="18"/>
          <w:szCs w:val="18"/>
          <w:color w:val="auto"/>
        </w:rPr>
        <w:t>be determined by the Committee in its sole discretion. Any decisions by the Committee regarding the Plan or this Agreement shall be final and binding.</w:t>
      </w:r>
    </w:p>
    <w:p>
      <w:pPr>
        <w:spacing w:after="0" w:line="192" w:lineRule="exact"/>
        <w:rPr>
          <w:sz w:val="20"/>
          <w:szCs w:val="20"/>
          <w:color w:val="auto"/>
        </w:rPr>
      </w:pPr>
    </w:p>
    <w:p>
      <w:pPr>
        <w:ind w:left="40"/>
        <w:spacing w:after="0"/>
        <w:rPr>
          <w:sz w:val="20"/>
          <w:szCs w:val="20"/>
          <w:color w:val="auto"/>
        </w:rPr>
      </w:pPr>
      <w:r>
        <w:rPr>
          <w:rFonts w:ascii="Verdana" w:cs="Verdana" w:eastAsia="Verdana" w:hAnsi="Verdana"/>
          <w:sz w:val="18"/>
          <w:szCs w:val="18"/>
          <w:b w:val="1"/>
          <w:bCs w:val="1"/>
          <w:color w:val="auto"/>
        </w:rPr>
        <w:t>10. Plan Controls</w:t>
      </w:r>
    </w:p>
    <w:p>
      <w:pPr>
        <w:spacing w:after="0" w:line="202" w:lineRule="exact"/>
        <w:rPr>
          <w:sz w:val="20"/>
          <w:szCs w:val="20"/>
          <w:color w:val="auto"/>
        </w:rPr>
      </w:pPr>
    </w:p>
    <w:p>
      <w:pPr>
        <w:jc w:val="both"/>
        <w:ind w:left="280"/>
        <w:spacing w:after="0" w:line="235" w:lineRule="auto"/>
        <w:rPr>
          <w:sz w:val="20"/>
          <w:szCs w:val="20"/>
          <w:color w:val="auto"/>
        </w:rPr>
      </w:pPr>
      <w:r>
        <w:rPr>
          <w:rFonts w:ascii="Verdana" w:cs="Verdana" w:eastAsia="Verdana" w:hAnsi="Verdana"/>
          <w:sz w:val="18"/>
          <w:szCs w:val="18"/>
          <w:color w:val="auto"/>
        </w:rPr>
        <w:t>The terms of this Agreement are governed by the terms of the Plan, as it exists on the Date of Grant and as the Plan may be amended from time to time thereafter. In the event of any conflict between the provisions of this Agreement and the provisions of the Plan, the terms of the Plan shall control. Capitalized terms used but not defined in this Agreement shall have the meaning assigned to them in the Plan.</w:t>
      </w:r>
    </w:p>
    <w:p>
      <w:pPr>
        <w:spacing w:after="0" w:line="183" w:lineRule="exact"/>
        <w:rPr>
          <w:sz w:val="20"/>
          <w:szCs w:val="20"/>
          <w:color w:val="auto"/>
        </w:rPr>
      </w:pPr>
    </w:p>
    <w:p>
      <w:pPr>
        <w:ind w:left="40"/>
        <w:spacing w:after="0"/>
        <w:rPr>
          <w:sz w:val="20"/>
          <w:szCs w:val="20"/>
          <w:color w:val="auto"/>
        </w:rPr>
      </w:pPr>
      <w:r>
        <w:rPr>
          <w:rFonts w:ascii="Verdana" w:cs="Verdana" w:eastAsia="Verdana" w:hAnsi="Verdana"/>
          <w:sz w:val="18"/>
          <w:szCs w:val="18"/>
          <w:b w:val="1"/>
          <w:bCs w:val="1"/>
          <w:color w:val="auto"/>
        </w:rPr>
        <w:t>11. Limitation on Rights; No Right to Future Grants</w:t>
      </w:r>
    </w:p>
    <w:p>
      <w:pPr>
        <w:spacing w:after="0" w:line="207" w:lineRule="exact"/>
        <w:rPr>
          <w:sz w:val="20"/>
          <w:szCs w:val="20"/>
          <w:color w:val="auto"/>
        </w:rPr>
      </w:pPr>
    </w:p>
    <w:p>
      <w:pPr>
        <w:ind w:left="280"/>
        <w:spacing w:after="0"/>
        <w:rPr>
          <w:sz w:val="20"/>
          <w:szCs w:val="20"/>
          <w:color w:val="auto"/>
        </w:rPr>
      </w:pPr>
      <w:r>
        <w:rPr>
          <w:rFonts w:ascii="Verdana" w:cs="Verdana" w:eastAsia="Verdana" w:hAnsi="Verdana"/>
          <w:sz w:val="18"/>
          <w:szCs w:val="18"/>
          <w:color w:val="auto"/>
        </w:rPr>
        <w:t>By entering into this Agreement and accepting this Award, the Participant acknowledges that:</w:t>
      </w:r>
    </w:p>
    <w:p>
      <w:pPr>
        <w:jc w:val="both"/>
        <w:ind w:left="280" w:firstLine="1"/>
        <w:spacing w:after="0" w:line="230" w:lineRule="auto"/>
        <w:tabs>
          <w:tab w:leader="none" w:pos="644" w:val="left"/>
        </w:tabs>
        <w:numPr>
          <w:ilvl w:val="1"/>
          <w:numId w:val="239"/>
        </w:numPr>
        <w:rPr>
          <w:rFonts w:ascii="Verdana" w:cs="Verdana" w:eastAsia="Verdana" w:hAnsi="Verdana"/>
          <w:sz w:val="18"/>
          <w:szCs w:val="18"/>
          <w:color w:val="auto"/>
        </w:rPr>
      </w:pPr>
      <w:r>
        <w:rPr>
          <w:rFonts w:ascii="Verdana" w:cs="Verdana" w:eastAsia="Verdana" w:hAnsi="Verdana"/>
          <w:sz w:val="18"/>
          <w:szCs w:val="18"/>
          <w:color w:val="auto"/>
        </w:rPr>
        <w:t xml:space="preserve">the Plan is discretionary and may be modified, suspended or terminated by the Company at any time, as provided in the Plan; </w:t>
      </w:r>
      <w:r>
        <w:rPr>
          <w:rFonts w:ascii="Verdana" w:cs="Verdana" w:eastAsia="Verdana" w:hAnsi="Verdana"/>
          <w:sz w:val="18"/>
          <w:szCs w:val="18"/>
          <w:u w:val="single" w:color="auto"/>
          <w:color w:val="auto"/>
        </w:rPr>
        <w:t>provided</w:t>
      </w:r>
      <w:r>
        <w:rPr>
          <w:rFonts w:ascii="Verdana" w:cs="Verdana" w:eastAsia="Verdana" w:hAnsi="Verdana"/>
          <w:sz w:val="18"/>
          <w:szCs w:val="18"/>
          <w:color w:val="auto"/>
        </w:rPr>
        <w:t xml:space="preserve"> that, except as provided in </w:t>
      </w:r>
      <w:r>
        <w:rPr>
          <w:rFonts w:ascii="Verdana" w:cs="Verdana" w:eastAsia="Verdana" w:hAnsi="Verdana"/>
          <w:sz w:val="18"/>
          <w:szCs w:val="18"/>
          <w:u w:val="single" w:color="auto"/>
          <w:color w:val="auto"/>
        </w:rPr>
        <w:t>Section 12</w:t>
      </w:r>
      <w:r>
        <w:rPr>
          <w:rFonts w:ascii="Verdana" w:cs="Verdana" w:eastAsia="Verdana" w:hAnsi="Verdana"/>
          <w:sz w:val="18"/>
          <w:szCs w:val="18"/>
          <w:color w:val="auto"/>
        </w:rPr>
        <w:t xml:space="preserve"> of the Plan, no amendment to this Agreement shall adversely affect in a material manner the Participant’s rights under this Agreement without his or her written consent; (b) the grant of this Award is a one- time benefit and does not create any contractual or other right to receive future grants of awards or benefits in lieu of awards; (c) all determinations with respect to any such future grants, including, but not limited to, the times when awards will be granted, the number of shares subject to each award, the award price, if any, and the time or times when each award will be settled, will be at the sole discretion of the Company; (d) participation in the Plan is voluntary; (e) the value of this Award is an extraordinary item that is outside the scope of the Participant's employment contract, if any, unless expressly provided for in any such employment contract;</w:t>
      </w:r>
    </w:p>
    <w:p>
      <w:pPr>
        <w:spacing w:after="0" w:line="8" w:lineRule="exact"/>
        <w:rPr>
          <w:rFonts w:ascii="Verdana" w:cs="Verdana" w:eastAsia="Verdana" w:hAnsi="Verdana"/>
          <w:sz w:val="18"/>
          <w:szCs w:val="18"/>
          <w:color w:val="auto"/>
        </w:rPr>
      </w:pPr>
    </w:p>
    <w:p>
      <w:pPr>
        <w:jc w:val="both"/>
        <w:ind w:left="280" w:firstLine="1"/>
        <w:spacing w:after="0" w:line="259" w:lineRule="auto"/>
        <w:tabs>
          <w:tab w:leader="none" w:pos="594" w:val="left"/>
        </w:tabs>
        <w:numPr>
          <w:ilvl w:val="1"/>
          <w:numId w:val="240"/>
        </w:numPr>
        <w:rPr>
          <w:rFonts w:ascii="Verdana" w:cs="Verdana" w:eastAsia="Verdana" w:hAnsi="Verdana"/>
          <w:sz w:val="16"/>
          <w:szCs w:val="16"/>
          <w:color w:val="auto"/>
        </w:rPr>
      </w:pPr>
      <w:r>
        <w:rPr>
          <w:rFonts w:ascii="Verdana" w:cs="Verdana" w:eastAsia="Verdana" w:hAnsi="Verdana"/>
          <w:sz w:val="16"/>
          <w:szCs w:val="16"/>
          <w:color w:val="auto"/>
        </w:rPr>
        <w:t xml:space="preserve">this Award is not part of normal or expected compensation for any purpose, including, without limitation, for calculating any benefits, severance, resignation, termination, redundancy, end of service payments, bonuses, long-service awards, pension or retirement benefits or similar payments, and the Participant will have no entitlement to compensation or damages as a consequence of any forfeiture of any portion of this Award pursuant to </w:t>
      </w:r>
      <w:r>
        <w:rPr>
          <w:rFonts w:ascii="Verdana" w:cs="Verdana" w:eastAsia="Verdana" w:hAnsi="Verdana"/>
          <w:sz w:val="16"/>
          <w:szCs w:val="16"/>
          <w:u w:val="single" w:color="auto"/>
          <w:color w:val="auto"/>
        </w:rPr>
        <w:t>Section 8</w:t>
      </w:r>
      <w:r>
        <w:rPr>
          <w:rFonts w:ascii="Verdana" w:cs="Verdana" w:eastAsia="Verdana" w:hAnsi="Verdana"/>
          <w:sz w:val="16"/>
          <w:szCs w:val="16"/>
          <w:color w:val="auto"/>
        </w:rPr>
        <w:t>;</w:t>
      </w:r>
    </w:p>
    <w:p>
      <w:pPr>
        <w:spacing w:after="0" w:line="2" w:lineRule="exact"/>
        <w:rPr>
          <w:rFonts w:ascii="Verdana" w:cs="Verdana" w:eastAsia="Verdana" w:hAnsi="Verdana"/>
          <w:sz w:val="16"/>
          <w:szCs w:val="16"/>
          <w:color w:val="auto"/>
        </w:rPr>
      </w:pPr>
    </w:p>
    <w:p>
      <w:pPr>
        <w:ind w:left="620" w:hanging="339"/>
        <w:spacing w:after="0"/>
        <w:tabs>
          <w:tab w:leader="none" w:pos="620" w:val="left"/>
        </w:tabs>
        <w:numPr>
          <w:ilvl w:val="1"/>
          <w:numId w:val="240"/>
        </w:numPr>
        <w:rPr>
          <w:rFonts w:ascii="Verdana" w:cs="Verdana" w:eastAsia="Verdana" w:hAnsi="Verdana"/>
          <w:sz w:val="16"/>
          <w:szCs w:val="16"/>
          <w:color w:val="auto"/>
        </w:rPr>
      </w:pPr>
      <w:r>
        <w:rPr>
          <w:rFonts w:ascii="Verdana" w:cs="Verdana" w:eastAsia="Verdana" w:hAnsi="Verdana"/>
          <w:sz w:val="16"/>
          <w:szCs w:val="16"/>
          <w:color w:val="auto"/>
        </w:rPr>
        <w:t>the future value of the Common Stock subject to this Award is unknown and cannot be predicted with certainty,</w:t>
      </w:r>
    </w:p>
    <w:p>
      <w:pPr>
        <w:spacing w:after="0" w:line="16" w:lineRule="exact"/>
        <w:rPr>
          <w:rFonts w:ascii="Verdana" w:cs="Verdana" w:eastAsia="Verdana" w:hAnsi="Verdana"/>
          <w:sz w:val="16"/>
          <w:szCs w:val="16"/>
          <w:color w:val="auto"/>
        </w:rPr>
      </w:pPr>
    </w:p>
    <w:p>
      <w:pPr>
        <w:jc w:val="both"/>
        <w:ind w:left="280" w:firstLine="1"/>
        <w:spacing w:after="0" w:line="234" w:lineRule="auto"/>
        <w:tabs>
          <w:tab w:leader="none" w:pos="637" w:val="left"/>
        </w:tabs>
        <w:numPr>
          <w:ilvl w:val="1"/>
          <w:numId w:val="240"/>
        </w:numPr>
        <w:rPr>
          <w:rFonts w:ascii="Verdana" w:cs="Verdana" w:eastAsia="Verdana" w:hAnsi="Verdana"/>
          <w:sz w:val="18"/>
          <w:szCs w:val="18"/>
          <w:color w:val="auto"/>
        </w:rPr>
      </w:pPr>
      <w:r>
        <w:rPr>
          <w:rFonts w:ascii="Verdana" w:cs="Verdana" w:eastAsia="Verdana" w:hAnsi="Verdana"/>
          <w:sz w:val="18"/>
          <w:szCs w:val="18"/>
          <w:color w:val="auto"/>
        </w:rPr>
        <w:t>neither the Plan, this Award nor the issuance of the shares of Common Stock underlying this Award confers upon the Participant any right to continue in the employ or service of (or any other relationship with) the Company or any Subsidiary, nor do they limit in any respect the right of the Company or any Subsidiary to terminate the Participant’s employment or other relationship with the Company or any Subsidiary, as the case may be, at any time with or without Cause, and (i) the grant of this Award will not be interpreted to form an employment relationship or contract with the Company or any Subsidiary.</w:t>
      </w:r>
    </w:p>
    <w:p>
      <w:pPr>
        <w:spacing w:after="0" w:line="194" w:lineRule="exact"/>
        <w:rPr>
          <w:rFonts w:ascii="Verdana" w:cs="Verdana" w:eastAsia="Verdana" w:hAnsi="Verdana"/>
          <w:sz w:val="18"/>
          <w:szCs w:val="18"/>
          <w:color w:val="auto"/>
        </w:rPr>
      </w:pPr>
    </w:p>
    <w:p>
      <w:pPr>
        <w:ind w:left="480" w:hanging="439"/>
        <w:spacing w:after="0"/>
        <w:tabs>
          <w:tab w:leader="none" w:pos="480" w:val="left"/>
        </w:tabs>
        <w:numPr>
          <w:ilvl w:val="0"/>
          <w:numId w:val="241"/>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General Provisions</w:t>
      </w:r>
    </w:p>
    <w:p>
      <w:pPr>
        <w:spacing w:after="0" w:line="202" w:lineRule="exact"/>
        <w:rPr>
          <w:rFonts w:ascii="Verdana" w:cs="Verdana" w:eastAsia="Verdana" w:hAnsi="Verdana"/>
          <w:sz w:val="18"/>
          <w:szCs w:val="18"/>
          <w:b w:val="1"/>
          <w:bCs w:val="1"/>
          <w:color w:val="auto"/>
        </w:rPr>
      </w:pPr>
    </w:p>
    <w:p>
      <w:pPr>
        <w:ind w:left="660" w:hanging="379"/>
        <w:spacing w:after="0"/>
        <w:tabs>
          <w:tab w:leader="none" w:pos="660" w:val="left"/>
        </w:tabs>
        <w:numPr>
          <w:ilvl w:val="1"/>
          <w:numId w:val="241"/>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Notice</w:t>
      </w:r>
    </w:p>
    <w:p>
      <w:pPr>
        <w:spacing w:after="0" w:line="202" w:lineRule="exact"/>
        <w:rPr>
          <w:sz w:val="20"/>
          <w:szCs w:val="20"/>
          <w:color w:val="auto"/>
        </w:rPr>
      </w:pPr>
    </w:p>
    <w:p>
      <w:pPr>
        <w:jc w:val="both"/>
        <w:ind w:left="280"/>
        <w:spacing w:after="0" w:line="233" w:lineRule="auto"/>
        <w:rPr>
          <w:sz w:val="20"/>
          <w:szCs w:val="20"/>
          <w:color w:val="auto"/>
        </w:rPr>
      </w:pPr>
      <w:r>
        <w:rPr>
          <w:rFonts w:ascii="Verdana" w:cs="Verdana" w:eastAsia="Verdana" w:hAnsi="Verdana"/>
          <w:sz w:val="18"/>
          <w:szCs w:val="18"/>
          <w:color w:val="auto"/>
        </w:rPr>
        <w:t>Whenever any notice is required or permitted hereunder, such notice must be in writing and delivered in person or by mail (to the address set forth below if notice is being delivered to the Company) or electronically. Any notice delivered in person or by mail shall be deemed to be delivered on the date on which it is personally delivered, or, whether actually received or not, on the third business day after it is deposited in the United States mail, certified or registered, postage prepaid, addressed to the person who is to receive it at the address set forth in this Agreement. Any notice delivered electronically shall be deemed to be delivered when transmitted and receipt is confirmed. Notices delivered to the Participant in person or by mail shall be addressed to the address for the Participant in the records of the Company. Notices delivered to the Company in person or by mail shall be addressed as follows:</w:t>
      </w:r>
    </w:p>
    <w:p>
      <w:pPr>
        <w:spacing w:after="0" w:line="186" w:lineRule="exact"/>
        <w:rPr>
          <w:sz w:val="20"/>
          <w:szCs w:val="20"/>
          <w:color w:val="auto"/>
        </w:rPr>
      </w:pPr>
    </w:p>
    <w:p>
      <w:pPr>
        <w:ind w:left="1220"/>
        <w:spacing w:after="0"/>
        <w:tabs>
          <w:tab w:leader="none" w:pos="2360" w:val="left"/>
        </w:tabs>
        <w:rPr>
          <w:sz w:val="20"/>
          <w:szCs w:val="20"/>
          <w:color w:val="auto"/>
        </w:rPr>
      </w:pPr>
      <w:r>
        <w:rPr>
          <w:rFonts w:ascii="Verdana" w:cs="Verdana" w:eastAsia="Verdana" w:hAnsi="Verdana"/>
          <w:sz w:val="18"/>
          <w:szCs w:val="18"/>
          <w:color w:val="auto"/>
        </w:rPr>
        <w:t>Company:</w:t>
        <w:tab/>
        <w:t>NRG Energy, Inc.</w:t>
      </w:r>
    </w:p>
    <w:p>
      <w:pPr>
        <w:ind w:left="2500"/>
        <w:spacing w:after="0"/>
        <w:rPr>
          <w:sz w:val="20"/>
          <w:szCs w:val="20"/>
          <w:color w:val="auto"/>
        </w:rPr>
      </w:pPr>
      <w:r>
        <w:rPr>
          <w:rFonts w:ascii="Verdana" w:cs="Verdana" w:eastAsia="Verdana" w:hAnsi="Verdana"/>
          <w:sz w:val="18"/>
          <w:szCs w:val="18"/>
          <w:color w:val="auto"/>
        </w:rPr>
        <w:t>Attn: Talent &amp; Culture</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color w:val="auto"/>
        </w:rPr>
        <w:t>LEGAL\74461649\3</w:t>
      </w:r>
    </w:p>
    <w:p>
      <w:pPr>
        <w:sectPr>
          <w:pgSz w:w="11900" w:h="16838" w:orient="portrait"/>
          <w:cols w:equalWidth="0" w:num="1">
            <w:col w:w="10580"/>
          </w:cols>
          <w:pgMar w:left="360" w:top="1358" w:right="959" w:bottom="1440" w:gutter="0" w:footer="0" w:header="0"/>
        </w:sectPr>
      </w:pPr>
    </w:p>
    <w:bookmarkStart w:id="260" w:name="page261"/>
    <w:bookmarkEnd w:id="260"/>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LEGAL\74461649\3</w:t>
      </w:r>
    </w:p>
    <w:p>
      <w:pPr>
        <w:sectPr>
          <w:pgSz w:w="11900" w:h="16838" w:orient="portrait"/>
          <w:cols w:equalWidth="0" w:num="1">
            <w:col w:w="10099"/>
          </w:cols>
          <w:pgMar w:left="360" w:top="1440" w:right="1440" w:bottom="1440" w:gutter="0" w:footer="0" w:header="0"/>
        </w:sectPr>
      </w:pPr>
    </w:p>
    <w:bookmarkStart w:id="261" w:name="page262"/>
    <w:bookmarkEnd w:id="261"/>
    <w:p>
      <w:pPr>
        <w:ind w:left="2500"/>
        <w:spacing w:after="0"/>
        <w:rPr>
          <w:sz w:val="20"/>
          <w:szCs w:val="20"/>
          <w:color w:val="auto"/>
        </w:rPr>
      </w:pPr>
      <w:r>
        <w:rPr>
          <w:rFonts w:ascii="Verdana" w:cs="Verdana" w:eastAsia="Verdana" w:hAnsi="Verdana"/>
          <w:sz w:val="18"/>
          <w:szCs w:val="18"/>
          <w:color w:val="auto"/>
        </w:rPr>
        <w:t>804 Carnegie Center</w:t>
      </w:r>
    </w:p>
    <w:p>
      <w:pPr>
        <w:ind w:left="2500"/>
        <w:spacing w:after="0"/>
        <w:rPr>
          <w:sz w:val="20"/>
          <w:szCs w:val="20"/>
          <w:color w:val="auto"/>
        </w:rPr>
      </w:pPr>
      <w:r>
        <w:rPr>
          <w:rFonts w:ascii="Verdana" w:cs="Verdana" w:eastAsia="Verdana" w:hAnsi="Verdana"/>
          <w:sz w:val="18"/>
          <w:szCs w:val="18"/>
          <w:color w:val="auto"/>
        </w:rPr>
        <w:t>Princeton, NJ 08450</w:t>
      </w:r>
    </w:p>
    <w:p>
      <w:pPr>
        <w:spacing w:after="0" w:line="334" w:lineRule="exact"/>
        <w:rPr>
          <w:sz w:val="20"/>
          <w:szCs w:val="20"/>
          <w:color w:val="auto"/>
        </w:rPr>
      </w:pPr>
    </w:p>
    <w:p>
      <w:pPr>
        <w:jc w:val="both"/>
        <w:ind w:left="280" w:right="20"/>
        <w:spacing w:after="0" w:line="241" w:lineRule="auto"/>
        <w:rPr>
          <w:sz w:val="20"/>
          <w:szCs w:val="20"/>
          <w:color w:val="auto"/>
        </w:rPr>
      </w:pPr>
      <w:r>
        <w:rPr>
          <w:rFonts w:ascii="Verdana" w:cs="Verdana" w:eastAsia="Verdana" w:hAnsi="Verdana"/>
          <w:sz w:val="18"/>
          <w:szCs w:val="18"/>
          <w:color w:val="auto"/>
        </w:rPr>
        <w:t>The Company or the Participant may change, by written notice to the other, the address previously specified for receiving notices.</w:t>
      </w:r>
    </w:p>
    <w:p>
      <w:pPr>
        <w:spacing w:after="0" w:line="192" w:lineRule="exact"/>
        <w:rPr>
          <w:sz w:val="20"/>
          <w:szCs w:val="20"/>
          <w:color w:val="auto"/>
        </w:rPr>
      </w:pPr>
    </w:p>
    <w:p>
      <w:pPr>
        <w:ind w:left="280"/>
        <w:spacing w:after="0"/>
        <w:rPr>
          <w:sz w:val="20"/>
          <w:szCs w:val="20"/>
          <w:color w:val="auto"/>
        </w:rPr>
      </w:pPr>
      <w:r>
        <w:rPr>
          <w:rFonts w:ascii="Verdana" w:cs="Verdana" w:eastAsia="Verdana" w:hAnsi="Verdana"/>
          <w:sz w:val="18"/>
          <w:szCs w:val="18"/>
          <w:b w:val="1"/>
          <w:bCs w:val="1"/>
          <w:color w:val="auto"/>
        </w:rPr>
        <w:t>(b) No Waiver</w:t>
      </w:r>
    </w:p>
    <w:p>
      <w:pPr>
        <w:spacing w:after="0" w:line="202" w:lineRule="exact"/>
        <w:rPr>
          <w:sz w:val="20"/>
          <w:szCs w:val="20"/>
          <w:color w:val="auto"/>
        </w:rPr>
      </w:pPr>
    </w:p>
    <w:p>
      <w:pPr>
        <w:jc w:val="both"/>
        <w:ind w:left="280" w:right="20"/>
        <w:spacing w:after="0" w:line="237" w:lineRule="auto"/>
        <w:rPr>
          <w:sz w:val="20"/>
          <w:szCs w:val="20"/>
          <w:color w:val="auto"/>
        </w:rPr>
      </w:pPr>
      <w:r>
        <w:rPr>
          <w:rFonts w:ascii="Verdana" w:cs="Verdana" w:eastAsia="Verdana" w:hAnsi="Verdana"/>
          <w:sz w:val="18"/>
          <w:szCs w:val="18"/>
          <w:color w:val="auto"/>
        </w:rPr>
        <w:t>No waiver of any provision of this Agreement will be valid unless in writing and signed by the person against whom such waiver is sought to be enforced, nor will failure to enforce any right under this Agreement constitute a continuing waiver of the same or a waiver of any other right hereunder.</w:t>
      </w:r>
    </w:p>
    <w:p>
      <w:pPr>
        <w:spacing w:after="0" w:line="194" w:lineRule="exact"/>
        <w:rPr>
          <w:sz w:val="20"/>
          <w:szCs w:val="20"/>
          <w:color w:val="auto"/>
        </w:rPr>
      </w:pPr>
    </w:p>
    <w:p>
      <w:pPr>
        <w:ind w:left="280"/>
        <w:spacing w:after="0"/>
        <w:rPr>
          <w:sz w:val="20"/>
          <w:szCs w:val="20"/>
          <w:color w:val="auto"/>
        </w:rPr>
      </w:pPr>
      <w:r>
        <w:rPr>
          <w:rFonts w:ascii="Verdana" w:cs="Verdana" w:eastAsia="Verdana" w:hAnsi="Verdana"/>
          <w:sz w:val="18"/>
          <w:szCs w:val="18"/>
          <w:b w:val="1"/>
          <w:bCs w:val="1"/>
          <w:color w:val="auto"/>
        </w:rPr>
        <w:t>(c) Undertaking</w:t>
      </w:r>
    </w:p>
    <w:p>
      <w:pPr>
        <w:spacing w:after="0" w:line="202" w:lineRule="exact"/>
        <w:rPr>
          <w:sz w:val="20"/>
          <w:szCs w:val="20"/>
          <w:color w:val="auto"/>
        </w:rPr>
      </w:pPr>
    </w:p>
    <w:p>
      <w:pPr>
        <w:jc w:val="both"/>
        <w:ind w:left="280"/>
        <w:spacing w:after="0" w:line="237" w:lineRule="auto"/>
        <w:rPr>
          <w:sz w:val="20"/>
          <w:szCs w:val="20"/>
          <w:color w:val="auto"/>
        </w:rPr>
      </w:pPr>
      <w:r>
        <w:rPr>
          <w:rFonts w:ascii="Verdana" w:cs="Verdana" w:eastAsia="Verdana" w:hAnsi="Verdana"/>
          <w:sz w:val="18"/>
          <w:szCs w:val="18"/>
          <w:color w:val="auto"/>
        </w:rPr>
        <w:t>The Participant hereby agrees to take whatever additional action, and execute whatever additional documents, the Company may deem necessary or advisable in order to carry out or effect one or more of the obligations or restrictions imposed on either the Participant or the Award pursuant to the express provisions of this Agreement.</w:t>
      </w:r>
    </w:p>
    <w:p>
      <w:pPr>
        <w:spacing w:after="0" w:line="194" w:lineRule="exact"/>
        <w:rPr>
          <w:sz w:val="20"/>
          <w:szCs w:val="20"/>
          <w:color w:val="auto"/>
        </w:rPr>
      </w:pPr>
    </w:p>
    <w:p>
      <w:pPr>
        <w:ind w:left="280"/>
        <w:spacing w:after="0"/>
        <w:rPr>
          <w:sz w:val="20"/>
          <w:szCs w:val="20"/>
          <w:color w:val="auto"/>
        </w:rPr>
      </w:pPr>
      <w:r>
        <w:rPr>
          <w:rFonts w:ascii="Verdana" w:cs="Verdana" w:eastAsia="Verdana" w:hAnsi="Verdana"/>
          <w:sz w:val="18"/>
          <w:szCs w:val="18"/>
          <w:b w:val="1"/>
          <w:bCs w:val="1"/>
          <w:color w:val="auto"/>
        </w:rPr>
        <w:t>(d) Entire Contract</w:t>
      </w:r>
    </w:p>
    <w:p>
      <w:pPr>
        <w:spacing w:after="0" w:line="202" w:lineRule="exact"/>
        <w:rPr>
          <w:sz w:val="20"/>
          <w:szCs w:val="20"/>
          <w:color w:val="auto"/>
        </w:rPr>
      </w:pPr>
    </w:p>
    <w:p>
      <w:pPr>
        <w:jc w:val="both"/>
        <w:ind w:left="280" w:right="20"/>
        <w:spacing w:after="0" w:line="237" w:lineRule="auto"/>
        <w:rPr>
          <w:sz w:val="20"/>
          <w:szCs w:val="20"/>
          <w:color w:val="auto"/>
        </w:rPr>
      </w:pPr>
      <w:r>
        <w:rPr>
          <w:rFonts w:ascii="Verdana" w:cs="Verdana" w:eastAsia="Verdana" w:hAnsi="Verdana"/>
          <w:sz w:val="18"/>
          <w:szCs w:val="18"/>
          <w:color w:val="auto"/>
        </w:rPr>
        <w:t>This Agreement and the Plan constitute the entire contract between the parties hereto with regard to the subject matter hereof. This Agreement is made pursuant to the provisions of the Plan and will, in all respects, be construed in conformity with the express terms and provisions of the Plan.</w:t>
      </w:r>
    </w:p>
    <w:p>
      <w:pPr>
        <w:spacing w:after="0" w:line="194" w:lineRule="exact"/>
        <w:rPr>
          <w:sz w:val="20"/>
          <w:szCs w:val="20"/>
          <w:color w:val="auto"/>
        </w:rPr>
      </w:pPr>
    </w:p>
    <w:p>
      <w:pPr>
        <w:ind w:left="280"/>
        <w:spacing w:after="0"/>
        <w:rPr>
          <w:sz w:val="20"/>
          <w:szCs w:val="20"/>
          <w:color w:val="auto"/>
        </w:rPr>
      </w:pPr>
      <w:r>
        <w:rPr>
          <w:rFonts w:ascii="Verdana" w:cs="Verdana" w:eastAsia="Verdana" w:hAnsi="Verdana"/>
          <w:sz w:val="18"/>
          <w:szCs w:val="18"/>
          <w:b w:val="1"/>
          <w:bCs w:val="1"/>
          <w:color w:val="auto"/>
        </w:rPr>
        <w:t>(e) Successors and Assigns</w:t>
      </w:r>
    </w:p>
    <w:p>
      <w:pPr>
        <w:spacing w:after="0" w:line="202" w:lineRule="exact"/>
        <w:rPr>
          <w:sz w:val="20"/>
          <w:szCs w:val="20"/>
          <w:color w:val="auto"/>
        </w:rPr>
      </w:pPr>
    </w:p>
    <w:p>
      <w:pPr>
        <w:jc w:val="both"/>
        <w:ind w:left="280" w:right="20"/>
        <w:spacing w:after="0" w:line="237" w:lineRule="auto"/>
        <w:rPr>
          <w:sz w:val="20"/>
          <w:szCs w:val="20"/>
          <w:color w:val="auto"/>
        </w:rPr>
      </w:pPr>
      <w:r>
        <w:rPr>
          <w:rFonts w:ascii="Verdana" w:cs="Verdana" w:eastAsia="Verdana" w:hAnsi="Verdana"/>
          <w:sz w:val="18"/>
          <w:szCs w:val="18"/>
          <w:color w:val="auto"/>
        </w:rPr>
        <w:t>The provisions of this Agreement shall inure to the benefit of, and be binding on, the Company and its successors and assigns and Participant and Participant's legal representatives, heirs, legatees, distributees, assigns and transferees by operation of law.</w:t>
      </w:r>
    </w:p>
    <w:p>
      <w:pPr>
        <w:spacing w:after="0" w:line="194" w:lineRule="exact"/>
        <w:rPr>
          <w:sz w:val="20"/>
          <w:szCs w:val="20"/>
          <w:color w:val="auto"/>
        </w:rPr>
      </w:pPr>
    </w:p>
    <w:p>
      <w:pPr>
        <w:ind w:left="280"/>
        <w:spacing w:after="0"/>
        <w:rPr>
          <w:sz w:val="20"/>
          <w:szCs w:val="20"/>
          <w:color w:val="auto"/>
        </w:rPr>
      </w:pPr>
      <w:r>
        <w:rPr>
          <w:rFonts w:ascii="Verdana" w:cs="Verdana" w:eastAsia="Verdana" w:hAnsi="Verdana"/>
          <w:sz w:val="18"/>
          <w:szCs w:val="18"/>
          <w:b w:val="1"/>
          <w:bCs w:val="1"/>
          <w:color w:val="auto"/>
        </w:rPr>
        <w:t>(f) Securities Law Compliance</w:t>
      </w:r>
    </w:p>
    <w:p>
      <w:pPr>
        <w:spacing w:after="0" w:line="202" w:lineRule="exact"/>
        <w:rPr>
          <w:sz w:val="20"/>
          <w:szCs w:val="20"/>
          <w:color w:val="auto"/>
        </w:rPr>
      </w:pPr>
    </w:p>
    <w:p>
      <w:pPr>
        <w:jc w:val="both"/>
        <w:ind w:left="280"/>
        <w:spacing w:after="0" w:line="263" w:lineRule="auto"/>
        <w:rPr>
          <w:sz w:val="20"/>
          <w:szCs w:val="20"/>
          <w:color w:val="auto"/>
        </w:rPr>
      </w:pPr>
      <w:r>
        <w:rPr>
          <w:rFonts w:ascii="Verdana" w:cs="Verdana" w:eastAsia="Verdana" w:hAnsi="Verdana"/>
          <w:sz w:val="16"/>
          <w:szCs w:val="16"/>
          <w:color w:val="auto"/>
        </w:rPr>
        <w:t>The Company currently has an effective registration statement on file with the Securities and Exchange Commission with respect to the shares of Common Stock underlying this Award. The Company intends to maintain this registration statement but has no obligation to the Participant to do so. If the registration statement ceases to be effective, the Participant will not be able to transfer or sell shares of Common Stock issued pursuant to this Award, unless exemptions from registration under applicable securities laws are available. Such exemptions from registration are very limited and might be unavailable. Participant agrees that any resale of the shares of Common Stock issued pursuant to this Award shall comply in all respects with the requirements of all applicable securities laws, rules and regulations (including, without limitation, the provisions of the Securities Act of 1933, the Securities Exchange Act of 1934 and the respective rules and regulations promulgated thereunder) and any other law, rule or regulation applicable thereto, as such laws, rules, and regulations may be amended from time to time. The Company shall not be obligated to either issue shares of Common Stock or permit the resale of any such shares if such issuance or resale would violate any such requirements.</w:t>
      </w:r>
    </w:p>
    <w:p>
      <w:pPr>
        <w:spacing w:after="0" w:line="393" w:lineRule="exact"/>
        <w:rPr>
          <w:sz w:val="20"/>
          <w:szCs w:val="20"/>
          <w:color w:val="auto"/>
        </w:rPr>
      </w:pPr>
    </w:p>
    <w:p>
      <w:pPr>
        <w:ind w:left="280"/>
        <w:spacing w:after="0"/>
        <w:rPr>
          <w:sz w:val="20"/>
          <w:szCs w:val="20"/>
          <w:color w:val="auto"/>
        </w:rPr>
      </w:pPr>
      <w:r>
        <w:rPr>
          <w:rFonts w:ascii="Verdana" w:cs="Verdana" w:eastAsia="Verdana" w:hAnsi="Verdana"/>
          <w:sz w:val="18"/>
          <w:szCs w:val="18"/>
          <w:b w:val="1"/>
          <w:bCs w:val="1"/>
          <w:color w:val="auto"/>
        </w:rPr>
        <w:t>(g) Taxes</w:t>
      </w:r>
    </w:p>
    <w:p>
      <w:pPr>
        <w:spacing w:after="0" w:line="202" w:lineRule="exact"/>
        <w:rPr>
          <w:sz w:val="20"/>
          <w:szCs w:val="20"/>
          <w:color w:val="auto"/>
        </w:rPr>
      </w:pPr>
    </w:p>
    <w:p>
      <w:pPr>
        <w:jc w:val="both"/>
        <w:ind w:left="280" w:right="20"/>
        <w:spacing w:after="0" w:line="235" w:lineRule="auto"/>
        <w:rPr>
          <w:sz w:val="20"/>
          <w:szCs w:val="20"/>
          <w:color w:val="auto"/>
        </w:rPr>
      </w:pPr>
      <w:r>
        <w:rPr>
          <w:rFonts w:ascii="Verdana" w:cs="Verdana" w:eastAsia="Verdana" w:hAnsi="Verdana"/>
          <w:sz w:val="18"/>
          <w:szCs w:val="18"/>
          <w:color w:val="auto"/>
        </w:rPr>
        <w:t>The Participant acknowledges that the vesting and earning of the RSUs will give rise to a withholding tax liability and that no shares of Common Stock are issuable hereunder until such withholding obligation is satisfied in full. The Participant agrees to remit to the Company the amount of any taxes required to be withheld. The Committee has specifically authorized the</w:t>
      </w:r>
    </w:p>
    <w:p>
      <w:pPr>
        <w:spacing w:after="0" w:line="394" w:lineRule="exact"/>
        <w:rPr>
          <w:sz w:val="20"/>
          <w:szCs w:val="20"/>
          <w:color w:val="auto"/>
        </w:rPr>
      </w:pPr>
    </w:p>
    <w:p>
      <w:pPr>
        <w:spacing w:after="0"/>
        <w:rPr>
          <w:sz w:val="20"/>
          <w:szCs w:val="20"/>
          <w:color w:val="auto"/>
        </w:rPr>
      </w:pPr>
      <w:r>
        <w:rPr>
          <w:rFonts w:ascii="Arial" w:cs="Arial" w:eastAsia="Arial" w:hAnsi="Arial"/>
          <w:sz w:val="12"/>
          <w:szCs w:val="12"/>
          <w:color w:val="auto"/>
        </w:rPr>
        <w:t>LEGAL\74461649\3</w:t>
      </w:r>
    </w:p>
    <w:p>
      <w:pPr>
        <w:sectPr>
          <w:pgSz w:w="11900" w:h="16838" w:orient="portrait"/>
          <w:cols w:equalWidth="0" w:num="1">
            <w:col w:w="10580"/>
          </w:cols>
          <w:pgMar w:left="360" w:top="1350" w:right="959" w:bottom="1440" w:gutter="0" w:footer="0" w:header="0"/>
        </w:sectPr>
      </w:pPr>
    </w:p>
    <w:bookmarkStart w:id="262" w:name="page263"/>
    <w:bookmarkEnd w:id="262"/>
    <w:p>
      <w:pPr>
        <w:jc w:val="both"/>
        <w:ind w:left="280" w:right="160"/>
        <w:spacing w:after="0" w:line="234" w:lineRule="auto"/>
        <w:rPr>
          <w:sz w:val="20"/>
          <w:szCs w:val="20"/>
          <w:color w:val="auto"/>
        </w:rPr>
      </w:pPr>
      <w:r>
        <w:rPr>
          <w:rFonts w:ascii="Verdana" w:cs="Verdana" w:eastAsia="Verdana" w:hAnsi="Verdana"/>
          <w:sz w:val="18"/>
          <w:szCs w:val="18"/>
          <w:color w:val="auto"/>
        </w:rPr>
        <w:t>Participant to satisfy all or part of such tax obligation by (i) withholding the number of shares of Common Stock otherwise issuable to the Participant hereunder and/or (ii) the Participant transferring to the Company unrestricted shares of Common Stock previously owned by the Participant that have a Fair Market Value equal to the amount of the withholding to be credited. Such value shall be based on the Fair Market Value of the Common Stock as of the date the amount of tax to be withheld is determined.</w:t>
      </w:r>
    </w:p>
    <w:p>
      <w:pPr>
        <w:spacing w:after="0" w:line="197" w:lineRule="exact"/>
        <w:rPr>
          <w:sz w:val="20"/>
          <w:szCs w:val="20"/>
          <w:color w:val="auto"/>
        </w:rPr>
      </w:pPr>
    </w:p>
    <w:p>
      <w:pPr>
        <w:ind w:left="280"/>
        <w:spacing w:after="0"/>
        <w:rPr>
          <w:sz w:val="20"/>
          <w:szCs w:val="20"/>
          <w:color w:val="auto"/>
        </w:rPr>
      </w:pPr>
      <w:r>
        <w:rPr>
          <w:rFonts w:ascii="Verdana" w:cs="Verdana" w:eastAsia="Verdana" w:hAnsi="Verdana"/>
          <w:sz w:val="18"/>
          <w:szCs w:val="18"/>
          <w:b w:val="1"/>
          <w:bCs w:val="1"/>
          <w:color w:val="auto"/>
        </w:rPr>
        <w:t>(h) Governing Law</w:t>
      </w:r>
    </w:p>
    <w:p>
      <w:pPr>
        <w:spacing w:after="0" w:line="202" w:lineRule="exact"/>
        <w:rPr>
          <w:sz w:val="20"/>
          <w:szCs w:val="20"/>
          <w:color w:val="auto"/>
        </w:rPr>
      </w:pPr>
    </w:p>
    <w:p>
      <w:pPr>
        <w:jc w:val="both"/>
        <w:ind w:left="280" w:right="180"/>
        <w:spacing w:after="0" w:line="241" w:lineRule="auto"/>
        <w:rPr>
          <w:sz w:val="20"/>
          <w:szCs w:val="20"/>
          <w:color w:val="auto"/>
        </w:rPr>
      </w:pPr>
      <w:r>
        <w:rPr>
          <w:rFonts w:ascii="Verdana" w:cs="Verdana" w:eastAsia="Verdana" w:hAnsi="Verdana"/>
          <w:sz w:val="18"/>
          <w:szCs w:val="18"/>
          <w:color w:val="auto"/>
        </w:rPr>
        <w:t>Except as may otherwise be provided in the Plan, the provisions of this Agreement shall be governed by the laws of the State of Delaware without giving effect to principles of conflicts of law.</w:t>
      </w:r>
    </w:p>
    <w:p>
      <w:pPr>
        <w:spacing w:after="0" w:line="192" w:lineRule="exact"/>
        <w:rPr>
          <w:sz w:val="20"/>
          <w:szCs w:val="20"/>
          <w:color w:val="auto"/>
        </w:rPr>
      </w:pPr>
    </w:p>
    <w:p>
      <w:pPr>
        <w:ind w:left="280"/>
        <w:spacing w:after="0"/>
        <w:rPr>
          <w:sz w:val="20"/>
          <w:szCs w:val="20"/>
          <w:color w:val="auto"/>
        </w:rPr>
      </w:pPr>
      <w:r>
        <w:rPr>
          <w:rFonts w:ascii="Verdana" w:cs="Verdana" w:eastAsia="Verdana" w:hAnsi="Verdana"/>
          <w:sz w:val="18"/>
          <w:szCs w:val="18"/>
          <w:b w:val="1"/>
          <w:bCs w:val="1"/>
          <w:color w:val="auto"/>
        </w:rPr>
        <w:t>(i) Code Section 409A Compliance</w:t>
      </w:r>
    </w:p>
    <w:p>
      <w:pPr>
        <w:spacing w:after="0" w:line="189" w:lineRule="exact"/>
        <w:rPr>
          <w:sz w:val="20"/>
          <w:szCs w:val="20"/>
          <w:color w:val="auto"/>
        </w:rPr>
      </w:pPr>
    </w:p>
    <w:p>
      <w:pPr>
        <w:ind w:left="280"/>
        <w:spacing w:after="0" w:line="234" w:lineRule="auto"/>
        <w:rPr>
          <w:sz w:val="20"/>
          <w:szCs w:val="20"/>
          <w:color w:val="auto"/>
        </w:rPr>
      </w:pPr>
      <w:r>
        <w:rPr>
          <w:rFonts w:ascii="Verdana" w:cs="Verdana" w:eastAsia="Verdana" w:hAnsi="Verdana"/>
          <w:sz w:val="18"/>
          <w:szCs w:val="18"/>
          <w:color w:val="auto"/>
        </w:rPr>
        <w:t>To the extent that the Committee determines that the Award granted under this Agreement is subject to Section 409A of the Code and fails to comply with the requirements of such Section, notwithstanding anything to the contrary contained in the Plan or in this Agreement, the Committee reserves the right to amend, restructure, terminate or replace this Award in order to cause the Award to either not be subject to Section 409A of the Code or comply with the applicable provisions of such Section , provided that the Participant’s consent is required if the Committee’s action would materially adversely affect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19"/>
        <w:spacing w:after="0"/>
        <w:rPr>
          <w:sz w:val="20"/>
          <w:szCs w:val="20"/>
          <w:color w:val="auto"/>
        </w:rPr>
      </w:pPr>
      <w:r>
        <w:rPr>
          <w:rFonts w:ascii="Verdana" w:cs="Verdana" w:eastAsia="Verdana" w:hAnsi="Verdana"/>
          <w:sz w:val="18"/>
          <w:szCs w:val="18"/>
          <w:color w:val="auto"/>
        </w:rPr>
        <w:t>[</w:t>
      </w:r>
      <w:r>
        <w:rPr>
          <w:rFonts w:ascii="Verdana" w:cs="Verdana" w:eastAsia="Verdana" w:hAnsi="Verdana"/>
          <w:sz w:val="18"/>
          <w:szCs w:val="18"/>
          <w:i w:val="1"/>
          <w:iCs w:val="1"/>
          <w:color w:val="auto"/>
        </w:rPr>
        <w:t>Signature Page Follows</w:t>
      </w:r>
      <w:r>
        <w:rPr>
          <w:rFonts w:ascii="Verdana" w:cs="Verdana" w:eastAsia="Verdana" w:hAnsi="Verdana"/>
          <w:sz w:val="18"/>
          <w:szCs w:val="18"/>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color w:val="auto"/>
        </w:rPr>
        <w:t>LEGAL\74461649\3</w:t>
      </w:r>
    </w:p>
    <w:p>
      <w:pPr>
        <w:sectPr>
          <w:pgSz w:w="11900" w:h="16838" w:orient="portrait"/>
          <w:cols w:equalWidth="0" w:num="1">
            <w:col w:w="10740"/>
          </w:cols>
          <w:pgMar w:left="360" w:top="1358" w:right="799" w:bottom="1440" w:gutter="0" w:footer="0" w:header="0"/>
        </w:sectPr>
      </w:pPr>
    </w:p>
    <w:bookmarkStart w:id="263" w:name="page264"/>
    <w:bookmarkEnd w:id="263"/>
    <w:p>
      <w:pPr>
        <w:ind w:left="40"/>
        <w:spacing w:after="0"/>
        <w:rPr>
          <w:sz w:val="20"/>
          <w:szCs w:val="20"/>
          <w:color w:val="auto"/>
        </w:rPr>
      </w:pPr>
      <w:r>
        <w:rPr>
          <w:rFonts w:ascii="Verdana" w:cs="Verdana" w:eastAsia="Verdana" w:hAnsi="Verdana"/>
          <w:sz w:val="16"/>
          <w:szCs w:val="16"/>
          <w:color w:val="auto"/>
        </w:rPr>
        <w:t>IN WITNESS WHEREOF, this Agreement has been executed as of the Date of Grant.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740"/>
        <w:spacing w:after="0"/>
        <w:rPr>
          <w:sz w:val="20"/>
          <w:szCs w:val="20"/>
          <w:color w:val="auto"/>
        </w:rPr>
      </w:pPr>
      <w:r>
        <w:rPr>
          <w:rFonts w:ascii="Verdana" w:cs="Verdana" w:eastAsia="Verdana" w:hAnsi="Verdana"/>
          <w:sz w:val="18"/>
          <w:szCs w:val="18"/>
          <w:b w:val="1"/>
          <w:bCs w:val="1"/>
          <w:color w:val="auto"/>
        </w:rPr>
        <w:t>NRG Energy, Inc.</w:t>
      </w:r>
    </w:p>
    <w:p>
      <w:pPr>
        <w:spacing w:after="0" w:line="234" w:lineRule="exact"/>
        <w:rPr>
          <w:sz w:val="20"/>
          <w:szCs w:val="20"/>
          <w:color w:val="auto"/>
        </w:rPr>
      </w:pPr>
    </w:p>
    <w:p>
      <w:pPr>
        <w:ind w:left="4780"/>
        <w:spacing w:after="0"/>
        <w:rPr>
          <w:sz w:val="20"/>
          <w:szCs w:val="20"/>
          <w:color w:val="auto"/>
        </w:rPr>
      </w:pPr>
      <w:r>
        <w:rPr>
          <w:rFonts w:ascii="Verdana" w:cs="Verdana" w:eastAsia="Verdana" w:hAnsi="Verdana"/>
          <w:sz w:val="18"/>
          <w:szCs w:val="18"/>
          <w:color w:val="auto"/>
        </w:rPr>
        <w:t>/s/ Lawrence Coben</w:t>
      </w:r>
    </w:p>
    <w:p>
      <w:pPr>
        <w:ind w:left="3760"/>
        <w:spacing w:after="0" w:line="187" w:lineRule="auto"/>
        <w:rPr>
          <w:sz w:val="20"/>
          <w:szCs w:val="20"/>
          <w:color w:val="auto"/>
        </w:rPr>
      </w:pPr>
      <w:r>
        <w:rPr>
          <w:rFonts w:ascii="Verdana" w:cs="Verdana" w:eastAsia="Verdana" w:hAnsi="Verdana"/>
          <w:sz w:val="18"/>
          <w:szCs w:val="18"/>
          <w:color w:val="auto"/>
        </w:rPr>
        <w:t>Name: Lawrence Coben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2880360</wp:posOffset>
            </wp:positionH>
            <wp:positionV relativeFrom="paragraph">
              <wp:posOffset>-104140</wp:posOffset>
            </wp:positionV>
            <wp:extent cx="127381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68">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3760"/>
        <w:spacing w:after="0"/>
        <w:rPr>
          <w:sz w:val="20"/>
          <w:szCs w:val="20"/>
          <w:color w:val="auto"/>
        </w:rPr>
      </w:pPr>
      <w:r>
        <w:rPr>
          <w:rFonts w:ascii="Verdana" w:cs="Verdana" w:eastAsia="Verdana" w:hAnsi="Verdana"/>
          <w:sz w:val="18"/>
          <w:szCs w:val="18"/>
          <w:color w:val="auto"/>
        </w:rPr>
        <w:t>Title: President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2"/>
          <w:szCs w:val="12"/>
          <w:color w:val="auto"/>
        </w:rPr>
        <w:t>LEGAL\74461649\3</w:t>
      </w:r>
    </w:p>
    <w:p>
      <w:pPr>
        <w:sectPr>
          <w:pgSz w:w="11900" w:h="16838" w:orient="portrait"/>
          <w:cols w:equalWidth="0" w:num="1">
            <w:col w:w="10099"/>
          </w:cols>
          <w:pgMar w:left="360" w:top="1187" w:right="1440" w:bottom="1440" w:gutter="0" w:footer="0" w:header="0"/>
        </w:sectPr>
      </w:pPr>
    </w:p>
    <w:bookmarkStart w:id="264" w:name="page265"/>
    <w:bookmarkEnd w:id="264"/>
    <w:p>
      <w:pPr>
        <w:spacing w:after="0"/>
        <w:rPr>
          <w:sz w:val="20"/>
          <w:szCs w:val="20"/>
          <w:color w:val="auto"/>
        </w:rPr>
      </w:pPr>
      <w:r>
        <w:rPr>
          <w:rFonts w:ascii="Verdana" w:cs="Verdana" w:eastAsia="Verdana" w:hAnsi="Verdana"/>
          <w:sz w:val="28"/>
          <w:szCs w:val="28"/>
          <w:b w:val="1"/>
          <w:bCs w:val="1"/>
          <w:color w:val="auto"/>
        </w:rPr>
        <w:t>NRG ENERGY, INC. 2020 OMNIBUS INCENTIVE PLAN</w:t>
      </w:r>
    </w:p>
    <w:p>
      <w:pPr>
        <w:spacing w:after="0" w:line="234" w:lineRule="auto"/>
        <w:rPr>
          <w:sz w:val="20"/>
          <w:szCs w:val="20"/>
          <w:color w:val="auto"/>
        </w:rPr>
      </w:pPr>
      <w:r>
        <w:rPr>
          <w:rFonts w:ascii="Verdana" w:cs="Verdana" w:eastAsia="Verdana" w:hAnsi="Verdana"/>
          <w:sz w:val="28"/>
          <w:szCs w:val="28"/>
          <w:b w:val="1"/>
          <w:bCs w:val="1"/>
          <w:color w:val="auto"/>
        </w:rPr>
        <w:t>(LEGACY VIVINT)</w:t>
      </w:r>
    </w:p>
    <w:p>
      <w:pPr>
        <w:spacing w:after="0" w:line="1" w:lineRule="exact"/>
        <w:rPr>
          <w:sz w:val="20"/>
          <w:szCs w:val="20"/>
          <w:color w:val="auto"/>
        </w:rPr>
      </w:pPr>
    </w:p>
    <w:p>
      <w:pPr>
        <w:spacing w:after="0"/>
        <w:rPr>
          <w:sz w:val="20"/>
          <w:szCs w:val="20"/>
          <w:color w:val="auto"/>
        </w:rPr>
      </w:pPr>
      <w:r>
        <w:rPr>
          <w:rFonts w:ascii="Verdana" w:cs="Verdana" w:eastAsia="Verdana" w:hAnsi="Verdana"/>
          <w:sz w:val="28"/>
          <w:szCs w:val="28"/>
          <w:b w:val="1"/>
          <w:bCs w:val="1"/>
          <w:color w:val="auto"/>
        </w:rPr>
        <w:t>NOTICE OF RESTRICTED STOCK UNIT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487045" cy="165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69">
                      <a:extLst>
                        <a:ext uri="{28A0092B-C50C-407E-A947-70E740481C1C}"/>
                      </a:extLst>
                    </a:blip>
                    <a:srcRect/>
                    <a:stretch>
                      <a:fillRect/>
                    </a:stretch>
                  </pic:blipFill>
                  <pic:spPr bwMode="auto">
                    <a:xfrm>
                      <a:off x="0" y="0"/>
                      <a:ext cx="48704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8"/>
          <w:szCs w:val="28"/>
          <w:b w:val="1"/>
          <w:bCs w:val="1"/>
          <w:color w:val="auto"/>
        </w:rPr>
        <w:t>Exhibit 10.19</w:t>
      </w:r>
    </w:p>
    <w:p>
      <w:pPr>
        <w:spacing w:after="0" w:line="1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%%FIRST_NAME_LAST_NAME%-%</w:t>
      </w:r>
    </w:p>
    <w:p>
      <w:pPr>
        <w:spacing w:after="0" w:line="19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%%ADDRESS_LINE_1%-%</w:t>
      </w:r>
    </w:p>
    <w:p>
      <w:pPr>
        <w:spacing w:after="0" w:line="230" w:lineRule="auto"/>
        <w:rPr>
          <w:sz w:val="20"/>
          <w:szCs w:val="20"/>
          <w:color w:val="auto"/>
        </w:rPr>
      </w:pPr>
      <w:r>
        <w:rPr>
          <w:rFonts w:ascii="Verdana" w:cs="Verdana" w:eastAsia="Verdana" w:hAnsi="Verdana"/>
          <w:sz w:val="18"/>
          <w:szCs w:val="18"/>
          <w:b w:val="1"/>
          <w:bCs w:val="1"/>
          <w:color w:val="auto"/>
        </w:rPr>
        <w:t>%%ADDRESS_LINE_2%-%</w:t>
      </w:r>
    </w:p>
    <w:p>
      <w:pPr>
        <w:spacing w:after="0" w:line="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%%CITY_STATE_ZIPCODE%-%</w:t>
      </w:r>
    </w:p>
    <w:p>
      <w:pPr>
        <w:spacing w:after="0" w:line="202" w:lineRule="exact"/>
        <w:rPr>
          <w:sz w:val="20"/>
          <w:szCs w:val="20"/>
          <w:color w:val="auto"/>
        </w:rPr>
      </w:pPr>
    </w:p>
    <w:p>
      <w:pPr>
        <w:jc w:val="both"/>
        <w:spacing w:after="0" w:line="233" w:lineRule="auto"/>
        <w:rPr>
          <w:sz w:val="20"/>
          <w:szCs w:val="20"/>
          <w:color w:val="auto"/>
        </w:rPr>
      </w:pPr>
      <w:r>
        <w:rPr>
          <w:rFonts w:ascii="Verdana" w:cs="Verdana" w:eastAsia="Verdana" w:hAnsi="Verdana"/>
          <w:sz w:val="18"/>
          <w:szCs w:val="18"/>
          <w:color w:val="auto"/>
        </w:rPr>
        <w:t>Congratulations on your selection as a Participant under the NRG Energy, Inc. 2020 Omnibus Incentive Plan (Legacy Vivint), as amended from time to time (the “</w:t>
      </w:r>
      <w:r>
        <w:rPr>
          <w:rFonts w:ascii="Verdana" w:cs="Verdana" w:eastAsia="Verdana" w:hAnsi="Verdana"/>
          <w:sz w:val="18"/>
          <w:szCs w:val="18"/>
          <w:u w:val="single" w:color="auto"/>
          <w:color w:val="auto"/>
        </w:rPr>
        <w:t>Plan</w:t>
      </w:r>
      <w:r>
        <w:rPr>
          <w:rFonts w:ascii="Verdana" w:cs="Verdana" w:eastAsia="Verdana" w:hAnsi="Verdana"/>
          <w:sz w:val="18"/>
          <w:szCs w:val="18"/>
          <w:color w:val="auto"/>
        </w:rPr>
        <w:t>”). You have been chosen to receive Restricted Stock Units (“</w:t>
      </w:r>
      <w:r>
        <w:rPr>
          <w:rFonts w:ascii="Verdana" w:cs="Verdana" w:eastAsia="Verdana" w:hAnsi="Verdana"/>
          <w:sz w:val="18"/>
          <w:szCs w:val="18"/>
          <w:u w:val="single" w:color="auto"/>
          <w:color w:val="auto"/>
        </w:rPr>
        <w:t>RSUs</w:t>
      </w:r>
      <w:r>
        <w:rPr>
          <w:rFonts w:ascii="Verdana" w:cs="Verdana" w:eastAsia="Verdana" w:hAnsi="Verdana"/>
          <w:sz w:val="18"/>
          <w:szCs w:val="18"/>
          <w:color w:val="auto"/>
        </w:rPr>
        <w:t>”) under the Plan. This Notice of Restricted Stock Unit Grant (the “</w:t>
      </w:r>
      <w:r>
        <w:rPr>
          <w:rFonts w:ascii="Verdana" w:cs="Verdana" w:eastAsia="Verdana" w:hAnsi="Verdana"/>
          <w:sz w:val="18"/>
          <w:szCs w:val="18"/>
          <w:u w:val="single" w:color="auto"/>
          <w:color w:val="auto"/>
        </w:rPr>
        <w:t>Grant Notice</w:t>
      </w:r>
      <w:r>
        <w:rPr>
          <w:rFonts w:ascii="Verdana" w:cs="Verdana" w:eastAsia="Verdana" w:hAnsi="Verdana"/>
          <w:sz w:val="18"/>
          <w:szCs w:val="18"/>
          <w:color w:val="auto"/>
        </w:rPr>
        <w:t>”) and the attached Restricted Stock Unit Agreement (collectively referred to as the “</w:t>
      </w:r>
      <w:r>
        <w:rPr>
          <w:rFonts w:ascii="Verdana" w:cs="Verdana" w:eastAsia="Verdana" w:hAnsi="Verdana"/>
          <w:sz w:val="18"/>
          <w:szCs w:val="18"/>
          <w:u w:val="single" w:color="auto"/>
          <w:color w:val="auto"/>
        </w:rPr>
        <w:t>Agreement</w:t>
      </w:r>
      <w:r>
        <w:rPr>
          <w:rFonts w:ascii="Verdana" w:cs="Verdana" w:eastAsia="Verdana" w:hAnsi="Verdana"/>
          <w:sz w:val="18"/>
          <w:szCs w:val="18"/>
          <w:color w:val="auto"/>
        </w:rPr>
        <w:t>”) constitute an agreement between you and NRG Energy, Inc. (the “</w:t>
      </w:r>
      <w:r>
        <w:rPr>
          <w:rFonts w:ascii="Verdana" w:cs="Verdana" w:eastAsia="Verdana" w:hAnsi="Verdana"/>
          <w:sz w:val="18"/>
          <w:szCs w:val="18"/>
          <w:u w:val="single" w:color="auto"/>
          <w:color w:val="auto"/>
        </w:rPr>
        <w:t>Company</w:t>
      </w:r>
      <w:r>
        <w:rPr>
          <w:rFonts w:ascii="Verdana" w:cs="Verdana" w:eastAsia="Verdana" w:hAnsi="Verdana"/>
          <w:sz w:val="18"/>
          <w:szCs w:val="18"/>
          <w:color w:val="auto"/>
        </w:rPr>
        <w:t xml:space="preserve">”) pursuant to </w:t>
      </w:r>
      <w:r>
        <w:rPr>
          <w:rFonts w:ascii="Verdana" w:cs="Verdana" w:eastAsia="Verdana" w:hAnsi="Verdana"/>
          <w:sz w:val="18"/>
          <w:szCs w:val="18"/>
          <w:u w:val="single" w:color="auto"/>
          <w:color w:val="auto"/>
        </w:rPr>
        <w:t>Section 9</w:t>
      </w:r>
      <w:r>
        <w:rPr>
          <w:rFonts w:ascii="Verdana" w:cs="Verdana" w:eastAsia="Verdana" w:hAnsi="Verdana"/>
          <w:sz w:val="18"/>
          <w:szCs w:val="18"/>
          <w:color w:val="auto"/>
        </w:rPr>
        <w:t xml:space="preserve"> of the Plan. In the event of any inconsistency between the terms of this Agreement and the terms of the Plan, the Plan’s terms shall supersede and replace the conflicting terms of this Agreement. Capitalized terms used but not defined in this Agreement shall have the meaning assigned to them in the Plan. You are sometimes referred to as the “</w:t>
      </w:r>
      <w:r>
        <w:rPr>
          <w:rFonts w:ascii="Verdana" w:cs="Verdana" w:eastAsia="Verdana" w:hAnsi="Verdana"/>
          <w:sz w:val="18"/>
          <w:szCs w:val="18"/>
          <w:u w:val="single" w:color="auto"/>
          <w:color w:val="auto"/>
        </w:rPr>
        <w:t>Participant</w:t>
      </w:r>
      <w:r>
        <w:rPr>
          <w:rFonts w:ascii="Verdana" w:cs="Verdana" w:eastAsia="Verdana" w:hAnsi="Verdana"/>
          <w:sz w:val="18"/>
          <w:szCs w:val="18"/>
          <w:color w:val="auto"/>
        </w:rPr>
        <w:t>” in this Agreement.</w:t>
      </w:r>
    </w:p>
    <w:p>
      <w:pPr>
        <w:spacing w:after="0" w:line="196"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 xml:space="preserve">%%FIRST_NAME_LAST_NAME%-% </w:t>
      </w:r>
      <w:r>
        <w:rPr>
          <w:rFonts w:ascii="Verdana" w:cs="Verdana" w:eastAsia="Verdana" w:hAnsi="Verdana"/>
          <w:sz w:val="18"/>
          <w:szCs w:val="18"/>
          <w:color w:val="auto"/>
        </w:rPr>
        <w:t>is hereby granted RSUs as follows:</w:t>
      </w:r>
    </w:p>
    <w:p>
      <w:pPr>
        <w:spacing w:after="0" w:line="229" w:lineRule="exact"/>
        <w:rPr>
          <w:sz w:val="20"/>
          <w:szCs w:val="20"/>
          <w:color w:val="auto"/>
        </w:rPr>
      </w:pPr>
    </w:p>
    <w:tbl>
      <w:tblPr>
        <w:tblLayout w:type="fixed"/>
        <w:tblInd w:w="180" w:type="dxa"/>
        <w:tblCellMar>
          <w:top w:w="0" w:type="dxa"/>
          <w:left w:w="0" w:type="dxa"/>
          <w:bottom w:w="0" w:type="dxa"/>
          <w:right w:w="0" w:type="dxa"/>
        </w:tblCellMar>
      </w:tblPr>
      <w:tr>
        <w:trPr>
          <w:trHeight w:val="224"/>
        </w:trPr>
        <w:tc>
          <w:tcPr>
            <w:tcW w:w="3320" w:type="dxa"/>
            <w:vAlign w:val="bottom"/>
          </w:tcPr>
          <w:p>
            <w:pPr>
              <w:spacing w:after="0"/>
              <w:rPr>
                <w:sz w:val="20"/>
                <w:szCs w:val="20"/>
                <w:color w:val="auto"/>
              </w:rPr>
            </w:pPr>
            <w:r>
              <w:rPr>
                <w:rFonts w:ascii="Verdana" w:cs="Verdana" w:eastAsia="Verdana" w:hAnsi="Verdana"/>
                <w:sz w:val="18"/>
                <w:szCs w:val="18"/>
                <w:color w:val="auto"/>
              </w:rPr>
              <w:t>Date of Grant:</w:t>
            </w:r>
          </w:p>
        </w:tc>
        <w:tc>
          <w:tcPr>
            <w:tcW w:w="5640" w:type="dxa"/>
            <w:vAlign w:val="bottom"/>
            <w:gridSpan w:val="3"/>
          </w:tcPr>
          <w:p>
            <w:pPr>
              <w:ind w:left="620"/>
              <w:spacing w:after="0"/>
              <w:rPr>
                <w:sz w:val="20"/>
                <w:szCs w:val="20"/>
                <w:color w:val="auto"/>
              </w:rPr>
            </w:pPr>
            <w:r>
              <w:rPr>
                <w:rFonts w:ascii="Verdana" w:cs="Verdana" w:eastAsia="Verdana" w:hAnsi="Verdana"/>
                <w:sz w:val="18"/>
                <w:szCs w:val="18"/>
                <w:b w:val="1"/>
                <w:bCs w:val="1"/>
                <w:color w:val="auto"/>
              </w:rPr>
              <w:t>%%OPTION_DATE,’Month DD, YYYY’%-%</w:t>
            </w:r>
          </w:p>
        </w:tc>
      </w:tr>
      <w:tr>
        <w:trPr>
          <w:trHeight w:val="224"/>
        </w:trPr>
        <w:tc>
          <w:tcPr>
            <w:tcW w:w="3320" w:type="dxa"/>
            <w:vAlign w:val="bottom"/>
          </w:tcPr>
          <w:p>
            <w:pPr>
              <w:spacing w:after="0"/>
              <w:rPr>
                <w:sz w:val="20"/>
                <w:szCs w:val="20"/>
                <w:color w:val="auto"/>
              </w:rPr>
            </w:pPr>
            <w:r>
              <w:rPr>
                <w:rFonts w:ascii="Verdana" w:cs="Verdana" w:eastAsia="Verdana" w:hAnsi="Verdana"/>
                <w:sz w:val="18"/>
                <w:szCs w:val="18"/>
                <w:color w:val="auto"/>
              </w:rPr>
              <w:t>Vesting Commencement Date:</w:t>
            </w:r>
          </w:p>
        </w:tc>
        <w:tc>
          <w:tcPr>
            <w:tcW w:w="5640" w:type="dxa"/>
            <w:vAlign w:val="bottom"/>
            <w:gridSpan w:val="3"/>
          </w:tcPr>
          <w:p>
            <w:pPr>
              <w:ind w:left="620"/>
              <w:spacing w:after="0"/>
              <w:rPr>
                <w:sz w:val="20"/>
                <w:szCs w:val="20"/>
                <w:color w:val="auto"/>
              </w:rPr>
            </w:pPr>
            <w:r>
              <w:rPr>
                <w:rFonts w:ascii="Verdana" w:cs="Verdana" w:eastAsia="Verdana" w:hAnsi="Verdana"/>
                <w:sz w:val="18"/>
                <w:szCs w:val="18"/>
                <w:color w:val="auto"/>
              </w:rPr>
              <w:t>Date of Grant</w:t>
            </w:r>
          </w:p>
        </w:tc>
      </w:tr>
      <w:tr>
        <w:trPr>
          <w:trHeight w:val="216"/>
        </w:trPr>
        <w:tc>
          <w:tcPr>
            <w:tcW w:w="3320" w:type="dxa"/>
            <w:vAlign w:val="bottom"/>
          </w:tcPr>
          <w:p>
            <w:pPr>
              <w:spacing w:after="0" w:line="216" w:lineRule="exact"/>
              <w:rPr>
                <w:sz w:val="20"/>
                <w:szCs w:val="20"/>
                <w:color w:val="auto"/>
              </w:rPr>
            </w:pPr>
            <w:r>
              <w:rPr>
                <w:rFonts w:ascii="Verdana" w:cs="Verdana" w:eastAsia="Verdana" w:hAnsi="Verdana"/>
                <w:sz w:val="18"/>
                <w:szCs w:val="18"/>
                <w:color w:val="auto"/>
              </w:rPr>
              <w:t>Vesting Period:</w:t>
            </w:r>
          </w:p>
        </w:tc>
        <w:tc>
          <w:tcPr>
            <w:tcW w:w="5640" w:type="dxa"/>
            <w:vAlign w:val="bottom"/>
            <w:gridSpan w:val="3"/>
          </w:tcPr>
          <w:p>
            <w:pPr>
              <w:ind w:left="620"/>
              <w:spacing w:after="0" w:line="216" w:lineRule="exact"/>
              <w:rPr>
                <w:sz w:val="20"/>
                <w:szCs w:val="20"/>
                <w:color w:val="auto"/>
              </w:rPr>
            </w:pPr>
            <w:r>
              <w:rPr>
                <w:rFonts w:ascii="Verdana" w:cs="Verdana" w:eastAsia="Verdana" w:hAnsi="Verdana"/>
                <w:sz w:val="18"/>
                <w:szCs w:val="18"/>
                <w:color w:val="auto"/>
              </w:rPr>
              <w:t>Please refer to Section 2 of this Agreement</w:t>
            </w:r>
          </w:p>
        </w:tc>
      </w:tr>
      <w:tr>
        <w:trPr>
          <w:trHeight w:val="20"/>
        </w:trPr>
        <w:tc>
          <w:tcPr>
            <w:tcW w:w="3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466"/>
        </w:trPr>
        <w:tc>
          <w:tcPr>
            <w:tcW w:w="3320" w:type="dxa"/>
            <w:vAlign w:val="bottom"/>
          </w:tcPr>
          <w:p>
            <w:pPr>
              <w:spacing w:after="0"/>
              <w:rPr>
                <w:sz w:val="20"/>
                <w:szCs w:val="20"/>
                <w:color w:val="auto"/>
              </w:rPr>
            </w:pPr>
            <w:r>
              <w:rPr>
                <w:rFonts w:ascii="Verdana" w:cs="Verdana" w:eastAsia="Verdana" w:hAnsi="Verdana"/>
                <w:sz w:val="18"/>
                <w:szCs w:val="18"/>
                <w:color w:val="auto"/>
              </w:rPr>
              <w:t>Total Number of RSUs:</w:t>
            </w:r>
          </w:p>
        </w:tc>
        <w:tc>
          <w:tcPr>
            <w:tcW w:w="5640" w:type="dxa"/>
            <w:vAlign w:val="bottom"/>
            <w:gridSpan w:val="3"/>
          </w:tcPr>
          <w:p>
            <w:pPr>
              <w:ind w:left="620"/>
              <w:spacing w:after="0"/>
              <w:rPr>
                <w:sz w:val="20"/>
                <w:szCs w:val="20"/>
                <w:color w:val="auto"/>
              </w:rPr>
            </w:pPr>
            <w:r>
              <w:rPr>
                <w:rFonts w:ascii="Verdana" w:cs="Verdana" w:eastAsia="Verdana" w:hAnsi="Verdana"/>
                <w:sz w:val="18"/>
                <w:szCs w:val="18"/>
                <w:b w:val="1"/>
                <w:bCs w:val="1"/>
                <w:color w:val="auto"/>
                <w:w w:val="96"/>
              </w:rPr>
              <w:t>%%TOTAL_SHARES_GRANTED,’999,999,999’%-%</w:t>
            </w:r>
          </w:p>
        </w:tc>
      </w:tr>
    </w:tbl>
    <w:p>
      <w:pPr>
        <w:spacing w:after="0" w:line="74" w:lineRule="exact"/>
        <w:rPr>
          <w:sz w:val="20"/>
          <w:szCs w:val="20"/>
          <w:color w:val="auto"/>
        </w:rPr>
      </w:pPr>
    </w:p>
    <w:p>
      <w:pPr>
        <w:jc w:val="both"/>
        <w:spacing w:after="0" w:line="237" w:lineRule="auto"/>
        <w:rPr>
          <w:sz w:val="20"/>
          <w:szCs w:val="20"/>
          <w:color w:val="auto"/>
        </w:rPr>
      </w:pPr>
      <w:r>
        <w:rPr>
          <w:rFonts w:ascii="Verdana" w:cs="Verdana" w:eastAsia="Verdana" w:hAnsi="Verdana"/>
          <w:sz w:val="18"/>
          <w:szCs w:val="18"/>
          <w:color w:val="auto"/>
        </w:rPr>
        <w:t xml:space="preserve">Subject to </w:t>
      </w:r>
      <w:r>
        <w:rPr>
          <w:rFonts w:ascii="Verdana" w:cs="Verdana" w:eastAsia="Verdana" w:hAnsi="Verdana"/>
          <w:sz w:val="18"/>
          <w:szCs w:val="18"/>
          <w:u w:val="single" w:color="auto"/>
          <w:color w:val="auto"/>
        </w:rPr>
        <w:t>Section 8</w:t>
      </w:r>
      <w:r>
        <w:rPr>
          <w:rFonts w:ascii="Verdana" w:cs="Verdana" w:eastAsia="Verdana" w:hAnsi="Verdana"/>
          <w:sz w:val="18"/>
          <w:szCs w:val="18"/>
          <w:color w:val="auto"/>
        </w:rPr>
        <w:t xml:space="preserve"> of this Agreement, if you do not remain an employee of the Company or its Subsidiaries at all times during the Vesting Period, this Award shall terminate, and you will not be entitled to any NRG, Energy, Inc. Common Stock underlying the RSUs or any dividend equivalents that may have accrued with respect thereto.</w:t>
      </w:r>
    </w:p>
    <w:p>
      <w:pPr>
        <w:spacing w:after="0" w:line="194" w:lineRule="exact"/>
        <w:rPr>
          <w:sz w:val="20"/>
          <w:szCs w:val="20"/>
          <w:color w:val="auto"/>
        </w:rPr>
      </w:pPr>
    </w:p>
    <w:p>
      <w:pPr>
        <w:jc w:val="both"/>
        <w:spacing w:after="0" w:line="237" w:lineRule="auto"/>
        <w:rPr>
          <w:sz w:val="20"/>
          <w:szCs w:val="20"/>
          <w:color w:val="auto"/>
        </w:rPr>
      </w:pPr>
      <w:r>
        <w:rPr>
          <w:rFonts w:ascii="Verdana" w:cs="Verdana" w:eastAsia="Verdana" w:hAnsi="Verdana"/>
          <w:sz w:val="18"/>
          <w:szCs w:val="18"/>
          <w:b w:val="1"/>
          <w:bCs w:val="1"/>
          <w:color w:val="auto"/>
        </w:rPr>
        <w:t>If you disagree with any of the terms of this Award or choose not to accept this Award, please contact Peter Johnson at 609-524-4759 within 45 days of the Date of Grant. Otherwise, you will be deemed to have accepted this Award under the terms and conditions set forth in this Agreement and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LEGAL\81339046\9</w:t>
      </w:r>
    </w:p>
    <w:p>
      <w:pPr>
        <w:spacing w:after="0" w:line="23" w:lineRule="exact"/>
        <w:rPr>
          <w:sz w:val="20"/>
          <w:szCs w:val="20"/>
          <w:color w:val="auto"/>
        </w:rPr>
      </w:pPr>
    </w:p>
    <w:p>
      <w:pPr>
        <w:spacing w:after="0"/>
        <w:rPr>
          <w:sz w:val="20"/>
          <w:szCs w:val="20"/>
          <w:color w:val="auto"/>
        </w:rPr>
      </w:pPr>
      <w:r>
        <w:rPr>
          <w:rFonts w:ascii="Verdana" w:cs="Verdana" w:eastAsia="Verdana" w:hAnsi="Verdana"/>
          <w:sz w:val="14"/>
          <w:szCs w:val="14"/>
          <w:color w:val="auto"/>
        </w:rPr>
        <w:t>2026 RSU Agreement (Vivint)</w:t>
      </w:r>
    </w:p>
    <w:p>
      <w:pPr>
        <w:sectPr>
          <w:pgSz w:w="11900" w:h="16838" w:orient="portrait"/>
          <w:cols w:equalWidth="0" w:num="1">
            <w:col w:w="11240"/>
          </w:cols>
          <w:pgMar w:left="320" w:top="132" w:right="339" w:bottom="1440" w:gutter="0" w:footer="0" w:header="0"/>
        </w:sectPr>
      </w:pPr>
    </w:p>
    <w:bookmarkStart w:id="265" w:name="page266"/>
    <w:bookmarkEnd w:id="265"/>
    <w:p>
      <w:pPr>
        <w:ind w:right="2820"/>
        <w:spacing w:after="0" w:line="260" w:lineRule="auto"/>
        <w:rPr>
          <w:sz w:val="20"/>
          <w:szCs w:val="20"/>
          <w:color w:val="auto"/>
        </w:rPr>
      </w:pPr>
      <w:r>
        <w:rPr>
          <w:rFonts w:ascii="Verdana" w:cs="Verdana" w:eastAsia="Verdana" w:hAnsi="Verdana"/>
          <w:sz w:val="26"/>
          <w:szCs w:val="26"/>
          <w:b w:val="1"/>
          <w:bCs w:val="1"/>
          <w:color w:val="auto"/>
        </w:rPr>
        <w:t>NRG ENERGY, INC. 2020 OMNIBUS INCENTIVE PLAN (LEGACY VIVINT) RESTRICTED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457200" cy="165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70">
                      <a:extLst>
                        <a:ext uri="{28A0092B-C50C-407E-A947-70E740481C1C}"/>
                      </a:extLst>
                    </a:blip>
                    <a:srcRect/>
                    <a:stretch>
                      <a:fillRect/>
                    </a:stretch>
                  </pic:blipFill>
                  <pic:spPr bwMode="auto">
                    <a:xfrm>
                      <a:off x="0" y="0"/>
                      <a:ext cx="45720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35" w:lineRule="auto"/>
        <w:rPr>
          <w:sz w:val="20"/>
          <w:szCs w:val="20"/>
          <w:color w:val="auto"/>
        </w:rPr>
      </w:pPr>
      <w:r>
        <w:rPr>
          <w:rFonts w:ascii="Verdana" w:cs="Verdana" w:eastAsia="Verdana" w:hAnsi="Verdana"/>
          <w:sz w:val="18"/>
          <w:szCs w:val="18"/>
          <w:color w:val="auto"/>
        </w:rPr>
        <w:t>This Restricted Stock Unit Agreement, dated as of the Date of Grant set forth in the Notice of Restricted Stock Unit Grant to which this Agreement is attached (the “</w:t>
      </w:r>
      <w:r>
        <w:rPr>
          <w:rFonts w:ascii="Verdana" w:cs="Verdana" w:eastAsia="Verdana" w:hAnsi="Verdana"/>
          <w:sz w:val="18"/>
          <w:szCs w:val="18"/>
          <w:u w:val="single" w:color="auto"/>
          <w:color w:val="auto"/>
        </w:rPr>
        <w:t>Grant Notice</w:t>
      </w:r>
      <w:r>
        <w:rPr>
          <w:rFonts w:ascii="Verdana" w:cs="Verdana" w:eastAsia="Verdana" w:hAnsi="Verdana"/>
          <w:sz w:val="18"/>
          <w:szCs w:val="18"/>
          <w:color w:val="auto"/>
        </w:rPr>
        <w:t>,” and together with this Restricted Stock Unit Agreement, the “</w:t>
      </w:r>
      <w:r>
        <w:rPr>
          <w:rFonts w:ascii="Verdana" w:cs="Verdana" w:eastAsia="Verdana" w:hAnsi="Verdana"/>
          <w:sz w:val="18"/>
          <w:szCs w:val="18"/>
          <w:u w:val="single" w:color="auto"/>
          <w:color w:val="auto"/>
        </w:rPr>
        <w:t>Agreement</w:t>
      </w:r>
      <w:r>
        <w:rPr>
          <w:rFonts w:ascii="Verdana" w:cs="Verdana" w:eastAsia="Verdana" w:hAnsi="Verdana"/>
          <w:sz w:val="18"/>
          <w:szCs w:val="18"/>
          <w:color w:val="auto"/>
        </w:rPr>
        <w:t>”), is made between NRG Energy, Inc. (the “</w:t>
      </w:r>
      <w:r>
        <w:rPr>
          <w:rFonts w:ascii="Verdana" w:cs="Verdana" w:eastAsia="Verdana" w:hAnsi="Verdana"/>
          <w:sz w:val="18"/>
          <w:szCs w:val="18"/>
          <w:u w:val="single" w:color="auto"/>
          <w:color w:val="auto"/>
        </w:rPr>
        <w:t>Company</w:t>
      </w:r>
      <w:r>
        <w:rPr>
          <w:rFonts w:ascii="Verdana" w:cs="Verdana" w:eastAsia="Verdana" w:hAnsi="Verdana"/>
          <w:sz w:val="18"/>
          <w:szCs w:val="18"/>
          <w:color w:val="auto"/>
        </w:rPr>
        <w:t>”) and the Participant, as set forth in the Grant Notice. The Grant Notice is included in, and made part of, this Agreement.</w:t>
      </w:r>
    </w:p>
    <w:p>
      <w:pPr>
        <w:spacing w:after="0" w:line="170" w:lineRule="exact"/>
        <w:rPr>
          <w:sz w:val="20"/>
          <w:szCs w:val="20"/>
          <w:color w:val="auto"/>
        </w:rPr>
      </w:pPr>
    </w:p>
    <w:p>
      <w:pPr>
        <w:ind w:left="620" w:hanging="615"/>
        <w:spacing w:after="0"/>
        <w:tabs>
          <w:tab w:leader="none" w:pos="620" w:val="left"/>
        </w:tabs>
        <w:numPr>
          <w:ilvl w:val="0"/>
          <w:numId w:val="242"/>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Grant of RSUs</w:t>
      </w:r>
    </w:p>
    <w:p>
      <w:pPr>
        <w:spacing w:after="0" w:line="202" w:lineRule="exact"/>
        <w:rPr>
          <w:rFonts w:ascii="Verdana" w:cs="Verdana" w:eastAsia="Verdana" w:hAnsi="Verdana"/>
          <w:sz w:val="18"/>
          <w:szCs w:val="18"/>
          <w:b w:val="1"/>
          <w:bCs w:val="1"/>
          <w:color w:val="auto"/>
        </w:rPr>
      </w:pPr>
    </w:p>
    <w:p>
      <w:pPr>
        <w:jc w:val="both"/>
        <w:ind w:left="640"/>
        <w:spacing w:after="0" w:line="237" w:lineRule="auto"/>
        <w:rPr>
          <w:rFonts w:ascii="Verdana" w:cs="Verdana" w:eastAsia="Verdana" w:hAnsi="Verdana"/>
          <w:sz w:val="18"/>
          <w:szCs w:val="18"/>
          <w:b w:val="1"/>
          <w:bCs w:val="1"/>
          <w:color w:val="auto"/>
        </w:rPr>
      </w:pPr>
      <w:r>
        <w:rPr>
          <w:rFonts w:ascii="Verdana" w:cs="Verdana" w:eastAsia="Verdana" w:hAnsi="Verdana"/>
          <w:sz w:val="18"/>
          <w:szCs w:val="18"/>
          <w:color w:val="auto"/>
        </w:rPr>
        <w:t>Subject to the provisions of this Agreement and the provisions of the NRG Energy, Inc. 2020 Omnibus Incentive Plan (Legacy Vivint), as amended from time to time (the “</w:t>
      </w:r>
      <w:r>
        <w:rPr>
          <w:rFonts w:ascii="Verdana" w:cs="Verdana" w:eastAsia="Verdana" w:hAnsi="Verdana"/>
          <w:sz w:val="18"/>
          <w:szCs w:val="18"/>
          <w:u w:val="single" w:color="auto"/>
          <w:color w:val="auto"/>
        </w:rPr>
        <w:t>Plan</w:t>
      </w:r>
      <w:r>
        <w:rPr>
          <w:rFonts w:ascii="Verdana" w:cs="Verdana" w:eastAsia="Verdana" w:hAnsi="Verdana"/>
          <w:sz w:val="18"/>
          <w:szCs w:val="18"/>
          <w:color w:val="auto"/>
        </w:rPr>
        <w:t>”), the Company hereby grants to the Participant the number of Restricted Stock Units (“</w:t>
      </w:r>
      <w:r>
        <w:rPr>
          <w:rFonts w:ascii="Verdana" w:cs="Verdana" w:eastAsia="Verdana" w:hAnsi="Verdana"/>
          <w:sz w:val="18"/>
          <w:szCs w:val="18"/>
          <w:u w:val="single" w:color="auto"/>
          <w:color w:val="auto"/>
        </w:rPr>
        <w:t>RSUs</w:t>
      </w:r>
      <w:r>
        <w:rPr>
          <w:rFonts w:ascii="Verdana" w:cs="Verdana" w:eastAsia="Verdana" w:hAnsi="Verdana"/>
          <w:sz w:val="18"/>
          <w:szCs w:val="18"/>
          <w:color w:val="auto"/>
        </w:rPr>
        <w:t>”) set forth in the Grant Notice.</w:t>
      </w:r>
    </w:p>
    <w:p>
      <w:pPr>
        <w:spacing w:after="0" w:line="167" w:lineRule="exact"/>
        <w:rPr>
          <w:rFonts w:ascii="Verdana" w:cs="Verdana" w:eastAsia="Verdana" w:hAnsi="Verdana"/>
          <w:sz w:val="18"/>
          <w:szCs w:val="18"/>
          <w:b w:val="1"/>
          <w:bCs w:val="1"/>
          <w:color w:val="auto"/>
        </w:rPr>
      </w:pPr>
    </w:p>
    <w:p>
      <w:pPr>
        <w:ind w:left="620" w:hanging="615"/>
        <w:spacing w:after="0"/>
        <w:tabs>
          <w:tab w:leader="none" w:pos="620" w:val="left"/>
        </w:tabs>
        <w:numPr>
          <w:ilvl w:val="0"/>
          <w:numId w:val="242"/>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Vesting Schedule</w:t>
      </w:r>
    </w:p>
    <w:p>
      <w:pPr>
        <w:spacing w:after="0" w:line="189" w:lineRule="exact"/>
        <w:rPr>
          <w:rFonts w:ascii="Verdana" w:cs="Verdana" w:eastAsia="Verdana" w:hAnsi="Verdana"/>
          <w:sz w:val="18"/>
          <w:szCs w:val="18"/>
          <w:b w:val="1"/>
          <w:bCs w:val="1"/>
          <w:color w:val="auto"/>
        </w:rPr>
      </w:pPr>
    </w:p>
    <w:p>
      <w:pPr>
        <w:jc w:val="both"/>
        <w:ind w:left="640"/>
        <w:spacing w:after="0" w:line="235" w:lineRule="auto"/>
        <w:rPr>
          <w:rFonts w:ascii="Verdana" w:cs="Verdana" w:eastAsia="Verdana" w:hAnsi="Verdana"/>
          <w:sz w:val="18"/>
          <w:szCs w:val="18"/>
          <w:b w:val="1"/>
          <w:bCs w:val="1"/>
          <w:color w:val="auto"/>
        </w:rPr>
      </w:pPr>
      <w:r>
        <w:rPr>
          <w:rFonts w:ascii="Verdana" w:cs="Verdana" w:eastAsia="Verdana" w:hAnsi="Verdana"/>
          <w:sz w:val="18"/>
          <w:szCs w:val="18"/>
          <w:color w:val="auto"/>
        </w:rPr>
        <w:t>Provided that you have been continuously employed by the Company or its Subsidiaries during the vesting period, the RSUs will vest one-third each year beginning on the first anniversary of the Date of Grant. For the avoidance of doubt, the vesting period for the second and third portions of the RSUs begins when the previous one-third portion of the RSUs has completed vesting.</w:t>
      </w:r>
    </w:p>
    <w:p>
      <w:pPr>
        <w:spacing w:after="0" w:line="169" w:lineRule="exact"/>
        <w:rPr>
          <w:rFonts w:ascii="Verdana" w:cs="Verdana" w:eastAsia="Verdana" w:hAnsi="Verdana"/>
          <w:sz w:val="18"/>
          <w:szCs w:val="18"/>
          <w:b w:val="1"/>
          <w:bCs w:val="1"/>
          <w:color w:val="auto"/>
        </w:rPr>
      </w:pPr>
    </w:p>
    <w:p>
      <w:pPr>
        <w:ind w:left="620" w:hanging="615"/>
        <w:spacing w:after="0"/>
        <w:tabs>
          <w:tab w:leader="none" w:pos="620" w:val="left"/>
        </w:tabs>
        <w:numPr>
          <w:ilvl w:val="0"/>
          <w:numId w:val="242"/>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Conversion of RSUs and Issuance of Shares</w:t>
      </w:r>
    </w:p>
    <w:p>
      <w:pPr>
        <w:spacing w:after="0" w:line="189" w:lineRule="exact"/>
        <w:rPr>
          <w:rFonts w:ascii="Verdana" w:cs="Verdana" w:eastAsia="Verdana" w:hAnsi="Verdana"/>
          <w:sz w:val="18"/>
          <w:szCs w:val="18"/>
          <w:b w:val="1"/>
          <w:bCs w:val="1"/>
          <w:color w:val="auto"/>
        </w:rPr>
      </w:pPr>
    </w:p>
    <w:p>
      <w:pPr>
        <w:jc w:val="both"/>
        <w:ind w:left="640"/>
        <w:spacing w:after="0" w:line="233" w:lineRule="auto"/>
        <w:rPr>
          <w:rFonts w:ascii="Verdana" w:cs="Verdana" w:eastAsia="Verdana" w:hAnsi="Verdana"/>
          <w:sz w:val="18"/>
          <w:szCs w:val="18"/>
          <w:b w:val="1"/>
          <w:bCs w:val="1"/>
          <w:color w:val="auto"/>
        </w:rPr>
      </w:pPr>
      <w:r>
        <w:rPr>
          <w:rFonts w:ascii="Verdana" w:cs="Verdana" w:eastAsia="Verdana" w:hAnsi="Verdana"/>
          <w:sz w:val="18"/>
          <w:szCs w:val="18"/>
          <w:color w:val="auto"/>
        </w:rPr>
        <w:t xml:space="preserve">As soon as reasonably practicable following vesting of the RSUs, but in no event later than March 15 of the year following the year of vesting of the RSUs, subject to satisfaction of applicable tax withholding obligations in accordance with </w:t>
      </w:r>
      <w:r>
        <w:rPr>
          <w:rFonts w:ascii="Verdana" w:cs="Verdana" w:eastAsia="Verdana" w:hAnsi="Verdana"/>
          <w:sz w:val="18"/>
          <w:szCs w:val="18"/>
          <w:u w:val="single" w:color="auto"/>
          <w:color w:val="auto"/>
        </w:rPr>
        <w:t>Section 12(g)</w:t>
      </w:r>
      <w:r>
        <w:rPr>
          <w:rFonts w:ascii="Verdana" w:cs="Verdana" w:eastAsia="Verdana" w:hAnsi="Verdana"/>
          <w:sz w:val="18"/>
          <w:szCs w:val="18"/>
          <w:color w:val="auto"/>
        </w:rPr>
        <w:t xml:space="preserve">, the Company shall cause to be paid to the Participant one (1) share of NRG Energy, Inc. Common Stock for each RSU that vests on such vesting date, </w:t>
      </w:r>
      <w:r>
        <w:rPr>
          <w:rFonts w:ascii="Verdana" w:cs="Verdana" w:eastAsia="Verdana" w:hAnsi="Verdana"/>
          <w:sz w:val="18"/>
          <w:szCs w:val="18"/>
          <w:u w:val="single" w:color="auto"/>
          <w:color w:val="auto"/>
        </w:rPr>
        <w:t>provided</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auto"/>
        </w:rPr>
        <w:t>however</w:t>
      </w:r>
      <w:r>
        <w:rPr>
          <w:rFonts w:ascii="Verdana" w:cs="Verdana" w:eastAsia="Verdana" w:hAnsi="Verdana"/>
          <w:sz w:val="18"/>
          <w:szCs w:val="18"/>
          <w:color w:val="auto"/>
        </w:rPr>
        <w:t xml:space="preserve">, that if the Participant incurs a Termination of Service that qualifies for vesting as described in </w:t>
      </w:r>
      <w:r>
        <w:rPr>
          <w:rFonts w:ascii="Verdana" w:cs="Verdana" w:eastAsia="Verdana" w:hAnsi="Verdana"/>
          <w:sz w:val="18"/>
          <w:szCs w:val="18"/>
          <w:u w:val="single" w:color="auto"/>
          <w:color w:val="auto"/>
        </w:rPr>
        <w:t>Section 8</w:t>
      </w:r>
      <w:r>
        <w:rPr>
          <w:rFonts w:ascii="Verdana" w:cs="Verdana" w:eastAsia="Verdana" w:hAnsi="Verdana"/>
          <w:sz w:val="18"/>
          <w:szCs w:val="18"/>
          <w:color w:val="auto"/>
        </w:rPr>
        <w:t xml:space="preserve">, then such payment shall be made on the next administratively feasible regularly scheduled payroll date but at no time more than sixty (60) days after the vesting date described in the applicable subsection of </w:t>
      </w:r>
      <w:r>
        <w:rPr>
          <w:rFonts w:ascii="Verdana" w:cs="Verdana" w:eastAsia="Verdana" w:hAnsi="Verdana"/>
          <w:sz w:val="18"/>
          <w:szCs w:val="18"/>
          <w:u w:val="single" w:color="auto"/>
          <w:color w:val="auto"/>
        </w:rPr>
        <w:t>Section 8</w:t>
      </w:r>
      <w:r>
        <w:rPr>
          <w:rFonts w:ascii="Verdana" w:cs="Verdana" w:eastAsia="Verdana" w:hAnsi="Verdana"/>
          <w:sz w:val="18"/>
          <w:szCs w:val="18"/>
          <w:color w:val="auto"/>
        </w:rPr>
        <w:t xml:space="preserve">, and, in accordance with </w:t>
      </w:r>
      <w:r>
        <w:rPr>
          <w:rFonts w:ascii="Verdana" w:cs="Verdana" w:eastAsia="Verdana" w:hAnsi="Verdana"/>
          <w:sz w:val="18"/>
          <w:szCs w:val="18"/>
          <w:u w:val="single" w:color="auto"/>
          <w:color w:val="auto"/>
        </w:rPr>
        <w:t>Section 12(g)</w:t>
      </w:r>
      <w:r>
        <w:rPr>
          <w:rFonts w:ascii="Verdana" w:cs="Verdana" w:eastAsia="Verdana" w:hAnsi="Verdana"/>
          <w:sz w:val="18"/>
          <w:szCs w:val="18"/>
          <w:color w:val="auto"/>
        </w:rPr>
        <w:t>, the Fair Market Value of the RSUs shall be determined as of such vesting date, less applicable taxes.</w:t>
      </w:r>
    </w:p>
    <w:p>
      <w:pPr>
        <w:spacing w:after="0" w:line="195" w:lineRule="exact"/>
        <w:rPr>
          <w:rFonts w:ascii="Verdana" w:cs="Verdana" w:eastAsia="Verdana" w:hAnsi="Verdana"/>
          <w:sz w:val="18"/>
          <w:szCs w:val="18"/>
          <w:b w:val="1"/>
          <w:bCs w:val="1"/>
          <w:color w:val="auto"/>
        </w:rPr>
      </w:pPr>
    </w:p>
    <w:p>
      <w:pPr>
        <w:jc w:val="both"/>
        <w:ind w:left="640"/>
        <w:spacing w:after="0" w:line="234" w:lineRule="auto"/>
        <w:rPr>
          <w:rFonts w:ascii="Verdana" w:cs="Verdana" w:eastAsia="Verdana" w:hAnsi="Verdana"/>
          <w:sz w:val="18"/>
          <w:szCs w:val="18"/>
          <w:b w:val="1"/>
          <w:bCs w:val="1"/>
          <w:color w:val="auto"/>
        </w:rPr>
      </w:pPr>
      <w:r>
        <w:rPr>
          <w:rFonts w:ascii="Verdana" w:cs="Verdana" w:eastAsia="Verdana" w:hAnsi="Verdana"/>
          <w:sz w:val="18"/>
          <w:szCs w:val="18"/>
          <w:color w:val="auto"/>
        </w:rPr>
        <w:t xml:space="preserve">Notwithstanding the foregoing provisions of this </w:t>
      </w:r>
      <w:r>
        <w:rPr>
          <w:rFonts w:ascii="Verdana" w:cs="Verdana" w:eastAsia="Verdana" w:hAnsi="Verdana"/>
          <w:sz w:val="18"/>
          <w:szCs w:val="18"/>
          <w:u w:val="single" w:color="auto"/>
          <w:color w:val="auto"/>
        </w:rPr>
        <w:t>Section 3</w:t>
      </w:r>
      <w:r>
        <w:rPr>
          <w:rFonts w:ascii="Verdana" w:cs="Verdana" w:eastAsia="Verdana" w:hAnsi="Verdana"/>
          <w:sz w:val="18"/>
          <w:szCs w:val="18"/>
          <w:color w:val="auto"/>
        </w:rPr>
        <w:t xml:space="preserve"> to the contrary, if at the time of the Participant’s separation from service within the meaning of Code Section 409A, the Participant is a “specified employee” within the meaning of Code Section 409A, any payment hereunder that constitutes a “deferral of compensation” under Code Section 409A and that would otherwise become due on account of such separation from service, shall be delayed, and payment shall be made in full upon the earlier of (a) a date during the thirty-day period commencing six (6) months and one (1) day following such separation from service and (b) the date of the Participant’s death.</w:t>
      </w:r>
    </w:p>
    <w:p>
      <w:pPr>
        <w:spacing w:after="0" w:line="167" w:lineRule="exact"/>
        <w:rPr>
          <w:rFonts w:ascii="Verdana" w:cs="Verdana" w:eastAsia="Verdana" w:hAnsi="Verdana"/>
          <w:sz w:val="18"/>
          <w:szCs w:val="18"/>
          <w:b w:val="1"/>
          <w:bCs w:val="1"/>
          <w:color w:val="auto"/>
        </w:rPr>
      </w:pPr>
    </w:p>
    <w:p>
      <w:pPr>
        <w:ind w:left="620" w:hanging="615"/>
        <w:spacing w:after="0"/>
        <w:tabs>
          <w:tab w:leader="none" w:pos="620" w:val="left"/>
        </w:tabs>
        <w:numPr>
          <w:ilvl w:val="0"/>
          <w:numId w:val="242"/>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Dividend Equivalent Rights</w:t>
      </w:r>
    </w:p>
    <w:p>
      <w:pPr>
        <w:spacing w:after="0" w:line="202" w:lineRule="exact"/>
        <w:rPr>
          <w:rFonts w:ascii="Verdana" w:cs="Verdana" w:eastAsia="Verdana" w:hAnsi="Verdana"/>
          <w:sz w:val="18"/>
          <w:szCs w:val="18"/>
          <w:b w:val="1"/>
          <w:bCs w:val="1"/>
          <w:color w:val="auto"/>
        </w:rPr>
      </w:pPr>
    </w:p>
    <w:p>
      <w:pPr>
        <w:ind w:left="640"/>
        <w:spacing w:after="0" w:line="241" w:lineRule="auto"/>
        <w:rPr>
          <w:rFonts w:ascii="Verdana" w:cs="Verdana" w:eastAsia="Verdana" w:hAnsi="Verdana"/>
          <w:sz w:val="18"/>
          <w:szCs w:val="18"/>
          <w:b w:val="1"/>
          <w:bCs w:val="1"/>
          <w:color w:val="auto"/>
        </w:rPr>
      </w:pPr>
      <w:r>
        <w:rPr>
          <w:rFonts w:ascii="Verdana" w:cs="Verdana" w:eastAsia="Verdana" w:hAnsi="Verdana"/>
          <w:sz w:val="18"/>
          <w:szCs w:val="18"/>
          <w:color w:val="auto"/>
        </w:rPr>
        <w:t>Cash dividends on shares of Common Stock issuable hereunder shall be credited to a dividend book entry account on behalf of the Participant with respect to each RSU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1"/>
          <w:szCs w:val="21"/>
          <w:color w:val="auto"/>
        </w:rPr>
        <w:t>2</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LEGAL\81339046\9</w:t>
      </w:r>
    </w:p>
    <w:p>
      <w:pPr>
        <w:spacing w:after="0" w:line="7" w:lineRule="exact"/>
        <w:rPr>
          <w:sz w:val="20"/>
          <w:szCs w:val="20"/>
          <w:color w:val="auto"/>
        </w:rPr>
      </w:pPr>
    </w:p>
    <w:p>
      <w:pPr>
        <w:spacing w:after="0"/>
        <w:rPr>
          <w:sz w:val="20"/>
          <w:szCs w:val="20"/>
          <w:color w:val="auto"/>
        </w:rPr>
      </w:pPr>
      <w:r>
        <w:rPr>
          <w:rFonts w:ascii="Verdana" w:cs="Verdana" w:eastAsia="Verdana" w:hAnsi="Verdana"/>
          <w:sz w:val="14"/>
          <w:szCs w:val="14"/>
          <w:color w:val="auto"/>
        </w:rPr>
        <w:t>2026 RSU Agreement (Vivint)</w:t>
      </w:r>
    </w:p>
    <w:p>
      <w:pPr>
        <w:sectPr>
          <w:pgSz w:w="11900" w:h="16838" w:orient="portrait"/>
          <w:cols w:equalWidth="0" w:num="1">
            <w:col w:w="11240"/>
          </w:cols>
          <w:pgMar w:left="320" w:top="138" w:right="339" w:bottom="1440" w:gutter="0" w:footer="0" w:header="0"/>
        </w:sectPr>
      </w:pPr>
    </w:p>
    <w:bookmarkStart w:id="266" w:name="page267"/>
    <w:bookmarkEnd w:id="2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640"/>
        <w:spacing w:after="0" w:line="263" w:lineRule="auto"/>
        <w:rPr>
          <w:sz w:val="20"/>
          <w:szCs w:val="20"/>
          <w:color w:val="auto"/>
        </w:rPr>
      </w:pPr>
      <w:r>
        <w:rPr>
          <w:rFonts w:ascii="Verdana" w:cs="Verdana" w:eastAsia="Verdana" w:hAnsi="Verdana"/>
          <w:sz w:val="16"/>
          <w:szCs w:val="16"/>
          <w:color w:val="auto"/>
        </w:rPr>
        <w:t xml:space="preserve">granted to the Participant; </w:t>
      </w:r>
      <w:r>
        <w:rPr>
          <w:rFonts w:ascii="Verdana" w:cs="Verdana" w:eastAsia="Verdana" w:hAnsi="Verdana"/>
          <w:sz w:val="16"/>
          <w:szCs w:val="16"/>
          <w:u w:val="single" w:color="auto"/>
          <w:color w:val="auto"/>
        </w:rPr>
        <w:t>provided</w:t>
      </w:r>
      <w:r>
        <w:rPr>
          <w:rFonts w:ascii="Verdana" w:cs="Verdana" w:eastAsia="Verdana" w:hAnsi="Verdana"/>
          <w:sz w:val="16"/>
          <w:szCs w:val="16"/>
          <w:color w:val="auto"/>
        </w:rPr>
        <w:t xml:space="preserve"> that such cash dividends shall be deemed to be reinvested in shares of Common Stock immediately following the time declared at the then Fair Market Value of the Common Stock and shall vest and be paid at the same time that the shares of Common Stock underlying the RSUs vest and are delivered to the Participant in accordance with the provisions hereof. Stock dividends on shares of Common Stock issuable hereunder shall be credited to a dividend book entry account on behalf of the Participant with respect to each RSU granted to the Participant; </w:t>
      </w:r>
      <w:r>
        <w:rPr>
          <w:rFonts w:ascii="Verdana" w:cs="Verdana" w:eastAsia="Verdana" w:hAnsi="Verdana"/>
          <w:sz w:val="16"/>
          <w:szCs w:val="16"/>
          <w:u w:val="single" w:color="auto"/>
          <w:color w:val="auto"/>
        </w:rPr>
        <w:t>provided</w:t>
      </w:r>
      <w:r>
        <w:rPr>
          <w:rFonts w:ascii="Verdana" w:cs="Verdana" w:eastAsia="Verdana" w:hAnsi="Verdana"/>
          <w:sz w:val="16"/>
          <w:szCs w:val="16"/>
          <w:color w:val="auto"/>
        </w:rPr>
        <w:t xml:space="preserve"> that such stock dividends shall vest and be paid at the same time that the shares of Common Stock underlying the RSUs vest and are delivered to the Participant in accordance with the provisions hereof. Notwithstanding the foregoing, in the event that there are insufficient shares of Common Stock available in the Plan to settle the accrued dividend book entry account in shares of Common Stock, such accrued book entry account shall be settled in cash in an amount equal to the Fair Market Value of such shares of Common Stock at the time of settlement. Except as otherwise provided herein, the Participant shall have no rights as a stockholder with respect to any shares of Common Stock underlying any RSU unless and until the Participant has become the holder of record of such shares.</w:t>
      </w:r>
    </w:p>
    <w:p>
      <w:pPr>
        <w:spacing w:after="0" w:line="367" w:lineRule="exact"/>
        <w:rPr>
          <w:sz w:val="20"/>
          <w:szCs w:val="20"/>
          <w:color w:val="auto"/>
        </w:rPr>
      </w:pPr>
    </w:p>
    <w:p>
      <w:pPr>
        <w:ind w:left="620" w:hanging="615"/>
        <w:spacing w:after="0"/>
        <w:tabs>
          <w:tab w:leader="none" w:pos="620" w:val="left"/>
        </w:tabs>
        <w:numPr>
          <w:ilvl w:val="0"/>
          <w:numId w:val="243"/>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Transfer of RSUs</w:t>
      </w:r>
    </w:p>
    <w:p>
      <w:pPr>
        <w:spacing w:after="0" w:line="202" w:lineRule="exact"/>
        <w:rPr>
          <w:rFonts w:ascii="Verdana" w:cs="Verdana" w:eastAsia="Verdana" w:hAnsi="Verdana"/>
          <w:sz w:val="18"/>
          <w:szCs w:val="18"/>
          <w:b w:val="1"/>
          <w:bCs w:val="1"/>
          <w:color w:val="auto"/>
        </w:rPr>
      </w:pPr>
    </w:p>
    <w:p>
      <w:pPr>
        <w:jc w:val="both"/>
        <w:ind w:left="640"/>
        <w:spacing w:after="0" w:line="237" w:lineRule="auto"/>
        <w:rPr>
          <w:rFonts w:ascii="Verdana" w:cs="Verdana" w:eastAsia="Verdana" w:hAnsi="Verdana"/>
          <w:sz w:val="18"/>
          <w:szCs w:val="18"/>
          <w:b w:val="1"/>
          <w:bCs w:val="1"/>
          <w:color w:val="auto"/>
        </w:rPr>
      </w:pPr>
      <w:r>
        <w:rPr>
          <w:rFonts w:ascii="Verdana" w:cs="Verdana" w:eastAsia="Verdana" w:hAnsi="Verdana"/>
          <w:sz w:val="18"/>
          <w:szCs w:val="18"/>
          <w:color w:val="auto"/>
        </w:rPr>
        <w:t xml:space="preserve">Unless otherwise permitted by the Committee or </w:t>
      </w:r>
      <w:r>
        <w:rPr>
          <w:rFonts w:ascii="Verdana" w:cs="Verdana" w:eastAsia="Verdana" w:hAnsi="Verdana"/>
          <w:sz w:val="18"/>
          <w:szCs w:val="18"/>
          <w:u w:val="single" w:color="auto"/>
          <w:color w:val="auto"/>
        </w:rPr>
        <w:t>Section 13</w:t>
      </w:r>
      <w:r>
        <w:rPr>
          <w:rFonts w:ascii="Verdana" w:cs="Verdana" w:eastAsia="Verdana" w:hAnsi="Verdana"/>
          <w:sz w:val="18"/>
          <w:szCs w:val="18"/>
          <w:color w:val="auto"/>
        </w:rPr>
        <w:t xml:space="preserve"> of the Plan, the RSUs may not be sold, transferred, pledged, assigned or otherwise alienated or hypothecated, other than pursuant to a will or the laws of descent and distribution. Any attempted disposition in violation of this </w:t>
      </w:r>
      <w:r>
        <w:rPr>
          <w:rFonts w:ascii="Verdana" w:cs="Verdana" w:eastAsia="Verdana" w:hAnsi="Verdana"/>
          <w:sz w:val="18"/>
          <w:szCs w:val="18"/>
          <w:u w:val="single" w:color="auto"/>
          <w:color w:val="auto"/>
        </w:rPr>
        <w:t>Section 5</w:t>
      </w:r>
      <w:r>
        <w:rPr>
          <w:rFonts w:ascii="Verdana" w:cs="Verdana" w:eastAsia="Verdana" w:hAnsi="Verdana"/>
          <w:sz w:val="18"/>
          <w:szCs w:val="18"/>
          <w:color w:val="auto"/>
        </w:rPr>
        <w:t xml:space="preserve"> and </w:t>
      </w:r>
      <w:r>
        <w:rPr>
          <w:rFonts w:ascii="Verdana" w:cs="Verdana" w:eastAsia="Verdana" w:hAnsi="Verdana"/>
          <w:sz w:val="18"/>
          <w:szCs w:val="18"/>
          <w:u w:val="single" w:color="auto"/>
          <w:color w:val="auto"/>
        </w:rPr>
        <w:t>Section 13</w:t>
      </w:r>
      <w:r>
        <w:rPr>
          <w:rFonts w:ascii="Verdana" w:cs="Verdana" w:eastAsia="Verdana" w:hAnsi="Verdana"/>
          <w:sz w:val="18"/>
          <w:szCs w:val="18"/>
          <w:color w:val="auto"/>
        </w:rPr>
        <w:t xml:space="preserve"> of the Plan shall be void.</w:t>
      </w:r>
    </w:p>
    <w:p>
      <w:pPr>
        <w:spacing w:after="0" w:line="167" w:lineRule="exact"/>
        <w:rPr>
          <w:rFonts w:ascii="Verdana" w:cs="Verdana" w:eastAsia="Verdana" w:hAnsi="Verdana"/>
          <w:sz w:val="18"/>
          <w:szCs w:val="18"/>
          <w:b w:val="1"/>
          <w:bCs w:val="1"/>
          <w:color w:val="auto"/>
        </w:rPr>
      </w:pPr>
    </w:p>
    <w:p>
      <w:pPr>
        <w:ind w:left="620" w:hanging="615"/>
        <w:spacing w:after="0"/>
        <w:tabs>
          <w:tab w:leader="none" w:pos="620" w:val="left"/>
        </w:tabs>
        <w:numPr>
          <w:ilvl w:val="0"/>
          <w:numId w:val="243"/>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Status of Participant</w:t>
      </w:r>
    </w:p>
    <w:p>
      <w:pPr>
        <w:spacing w:after="0" w:line="189" w:lineRule="exact"/>
        <w:rPr>
          <w:rFonts w:ascii="Verdana" w:cs="Verdana" w:eastAsia="Verdana" w:hAnsi="Verdana"/>
          <w:sz w:val="18"/>
          <w:szCs w:val="18"/>
          <w:b w:val="1"/>
          <w:bCs w:val="1"/>
          <w:color w:val="auto"/>
        </w:rPr>
      </w:pPr>
    </w:p>
    <w:p>
      <w:pPr>
        <w:jc w:val="both"/>
        <w:ind w:left="640"/>
        <w:spacing w:after="0" w:line="234" w:lineRule="auto"/>
        <w:rPr>
          <w:rFonts w:ascii="Verdana" w:cs="Verdana" w:eastAsia="Verdana" w:hAnsi="Verdana"/>
          <w:sz w:val="18"/>
          <w:szCs w:val="18"/>
          <w:b w:val="1"/>
          <w:bCs w:val="1"/>
          <w:color w:val="auto"/>
        </w:rPr>
      </w:pPr>
      <w:r>
        <w:rPr>
          <w:rFonts w:ascii="Verdana" w:cs="Verdana" w:eastAsia="Verdana" w:hAnsi="Verdana"/>
          <w:sz w:val="18"/>
          <w:szCs w:val="18"/>
          <w:color w:val="auto"/>
        </w:rPr>
        <w:t>The Participant shall not be, and, except as otherwise provided herein, shall not have rights as, a stockholder of the Company with respect to any of the shares of Common Stock subject to this Award, unless the Award has vested and shares of Common Stock underlying the RSUs have been issued and delivered to the Participant. The Company shall not be required to issue or transfer any certificates for shares of Common Stock upon vesting of the Award until all applicable requirements of law have been complied with and such shares have been duly listed on any securities exchange on which the Common Stock may then be listed.</w:t>
      </w:r>
    </w:p>
    <w:p>
      <w:pPr>
        <w:spacing w:after="0" w:line="167" w:lineRule="exact"/>
        <w:rPr>
          <w:rFonts w:ascii="Verdana" w:cs="Verdana" w:eastAsia="Verdana" w:hAnsi="Verdana"/>
          <w:sz w:val="18"/>
          <w:szCs w:val="18"/>
          <w:b w:val="1"/>
          <w:bCs w:val="1"/>
          <w:color w:val="auto"/>
        </w:rPr>
      </w:pPr>
    </w:p>
    <w:p>
      <w:pPr>
        <w:ind w:left="620" w:hanging="615"/>
        <w:spacing w:after="0"/>
        <w:tabs>
          <w:tab w:leader="none" w:pos="620" w:val="left"/>
        </w:tabs>
        <w:numPr>
          <w:ilvl w:val="0"/>
          <w:numId w:val="243"/>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No Effect on Capital Structure</w:t>
      </w:r>
    </w:p>
    <w:p>
      <w:pPr>
        <w:spacing w:after="0" w:line="189" w:lineRule="exact"/>
        <w:rPr>
          <w:rFonts w:ascii="Verdana" w:cs="Verdana" w:eastAsia="Verdana" w:hAnsi="Verdana"/>
          <w:sz w:val="18"/>
          <w:szCs w:val="18"/>
          <w:b w:val="1"/>
          <w:bCs w:val="1"/>
          <w:color w:val="auto"/>
        </w:rPr>
      </w:pPr>
    </w:p>
    <w:p>
      <w:pPr>
        <w:jc w:val="both"/>
        <w:ind w:left="640"/>
        <w:spacing w:after="0" w:line="237" w:lineRule="auto"/>
        <w:rPr>
          <w:rFonts w:ascii="Verdana" w:cs="Verdana" w:eastAsia="Verdana" w:hAnsi="Verdana"/>
          <w:sz w:val="18"/>
          <w:szCs w:val="18"/>
          <w:b w:val="1"/>
          <w:bCs w:val="1"/>
          <w:color w:val="auto"/>
        </w:rPr>
      </w:pPr>
      <w:r>
        <w:rPr>
          <w:rFonts w:ascii="Verdana" w:cs="Verdana" w:eastAsia="Verdana" w:hAnsi="Verdana"/>
          <w:sz w:val="18"/>
          <w:szCs w:val="18"/>
          <w:color w:val="auto"/>
        </w:rPr>
        <w:t>This Award shall not affect the right of the Company or any Subsidiary to reclassify, recapitalize or otherwise change its capital or debt structure or to merge, consolidate, convey any or all of its assets, dissolve, liquidate, windup, or otherwise reorganize.</w:t>
      </w:r>
    </w:p>
    <w:p>
      <w:pPr>
        <w:spacing w:after="0" w:line="167" w:lineRule="exact"/>
        <w:rPr>
          <w:rFonts w:ascii="Verdana" w:cs="Verdana" w:eastAsia="Verdana" w:hAnsi="Verdana"/>
          <w:sz w:val="18"/>
          <w:szCs w:val="18"/>
          <w:b w:val="1"/>
          <w:bCs w:val="1"/>
          <w:color w:val="auto"/>
        </w:rPr>
      </w:pPr>
    </w:p>
    <w:p>
      <w:pPr>
        <w:ind w:left="620" w:hanging="615"/>
        <w:spacing w:after="0"/>
        <w:tabs>
          <w:tab w:leader="none" w:pos="620" w:val="left"/>
        </w:tabs>
        <w:numPr>
          <w:ilvl w:val="0"/>
          <w:numId w:val="243"/>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Expiration and Forfeiture of Award</w:t>
      </w:r>
    </w:p>
    <w:p>
      <w:pPr>
        <w:spacing w:after="0" w:line="202" w:lineRule="exact"/>
        <w:rPr>
          <w:rFonts w:ascii="Verdana" w:cs="Verdana" w:eastAsia="Verdana" w:hAnsi="Verdana"/>
          <w:sz w:val="18"/>
          <w:szCs w:val="18"/>
          <w:b w:val="1"/>
          <w:bCs w:val="1"/>
          <w:color w:val="auto"/>
        </w:rPr>
      </w:pPr>
    </w:p>
    <w:p>
      <w:pPr>
        <w:jc w:val="both"/>
        <w:ind w:left="640"/>
        <w:spacing w:after="0" w:line="237" w:lineRule="auto"/>
        <w:rPr>
          <w:rFonts w:ascii="Verdana" w:cs="Verdana" w:eastAsia="Verdana" w:hAnsi="Verdana"/>
          <w:sz w:val="18"/>
          <w:szCs w:val="18"/>
          <w:b w:val="1"/>
          <w:bCs w:val="1"/>
          <w:color w:val="auto"/>
        </w:rPr>
      </w:pPr>
      <w:r>
        <w:rPr>
          <w:rFonts w:ascii="Verdana" w:cs="Verdana" w:eastAsia="Verdana" w:hAnsi="Verdana"/>
          <w:sz w:val="18"/>
          <w:szCs w:val="18"/>
          <w:color w:val="auto"/>
        </w:rPr>
        <w:t xml:space="preserve">This Award shall vest and/or expire in the circumstances described in this </w:t>
      </w:r>
      <w:r>
        <w:rPr>
          <w:rFonts w:ascii="Verdana" w:cs="Verdana" w:eastAsia="Verdana" w:hAnsi="Verdana"/>
          <w:sz w:val="18"/>
          <w:szCs w:val="18"/>
          <w:u w:val="single" w:color="auto"/>
          <w:color w:val="auto"/>
        </w:rPr>
        <w:t>Section 8</w:t>
      </w:r>
      <w:r>
        <w:rPr>
          <w:rFonts w:ascii="Verdana" w:cs="Verdana" w:eastAsia="Verdana" w:hAnsi="Verdana"/>
          <w:sz w:val="18"/>
          <w:szCs w:val="18"/>
          <w:color w:val="auto"/>
        </w:rPr>
        <w:t>. As used herein, “</w:t>
      </w:r>
      <w:r>
        <w:rPr>
          <w:rFonts w:ascii="Verdana" w:cs="Verdana" w:eastAsia="Verdana" w:hAnsi="Verdana"/>
          <w:sz w:val="18"/>
          <w:szCs w:val="18"/>
          <w:u w:val="single" w:color="auto"/>
          <w:color w:val="auto"/>
        </w:rPr>
        <w:t>Termination of</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auto"/>
        </w:rPr>
        <w:t>Service</w:t>
      </w:r>
      <w:r>
        <w:rPr>
          <w:rFonts w:ascii="Verdana" w:cs="Verdana" w:eastAsia="Verdana" w:hAnsi="Verdana"/>
          <w:sz w:val="18"/>
          <w:szCs w:val="18"/>
          <w:color w:val="auto"/>
        </w:rPr>
        <w:t>” means termination of a Participant’s employment by, or service to, the Company, including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3</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LEGAL\81339046\9</w:t>
      </w:r>
    </w:p>
    <w:p>
      <w:pPr>
        <w:spacing w:after="0" w:line="7" w:lineRule="exact"/>
        <w:rPr>
          <w:sz w:val="20"/>
          <w:szCs w:val="20"/>
          <w:color w:val="auto"/>
        </w:rPr>
      </w:pPr>
    </w:p>
    <w:p>
      <w:pPr>
        <w:spacing w:after="0"/>
        <w:rPr>
          <w:sz w:val="20"/>
          <w:szCs w:val="20"/>
          <w:color w:val="auto"/>
        </w:rPr>
      </w:pPr>
      <w:r>
        <w:rPr>
          <w:rFonts w:ascii="Verdana" w:cs="Verdana" w:eastAsia="Verdana" w:hAnsi="Verdana"/>
          <w:sz w:val="14"/>
          <w:szCs w:val="14"/>
          <w:color w:val="auto"/>
        </w:rPr>
        <w:t>2026 RSU Agreement (Vivint)</w:t>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hanging="623"/>
        <w:spacing w:after="0"/>
        <w:tabs>
          <w:tab w:leader="none" w:pos="1260" w:val="left"/>
        </w:tabs>
        <w:numPr>
          <w:ilvl w:val="0"/>
          <w:numId w:val="244"/>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Death</w:t>
      </w:r>
    </w:p>
    <w:p>
      <w:pPr>
        <w:spacing w:after="0" w:line="202" w:lineRule="exact"/>
        <w:rPr>
          <w:sz w:val="20"/>
          <w:szCs w:val="20"/>
          <w:color w:val="auto"/>
        </w:rPr>
      </w:pPr>
    </w:p>
    <w:p>
      <w:pPr>
        <w:jc w:val="both"/>
        <w:ind w:left="640"/>
        <w:spacing w:after="0" w:line="237" w:lineRule="auto"/>
        <w:rPr>
          <w:sz w:val="20"/>
          <w:szCs w:val="20"/>
          <w:color w:val="auto"/>
        </w:rPr>
      </w:pPr>
      <w:r>
        <w:rPr>
          <w:rFonts w:ascii="Verdana" w:cs="Verdana" w:eastAsia="Verdana" w:hAnsi="Verdana"/>
          <w:sz w:val="18"/>
          <w:szCs w:val="18"/>
          <w:color w:val="auto"/>
        </w:rPr>
        <w:t xml:space="preserve">Upon a Termination of Service by reason of death, the Award shall vest in full and the Common Stock underlying the RSUs shall be issued and delivered to the Participant’s legal representatives, heirs, legatees, or distributees in accordance with </w:t>
      </w:r>
      <w:r>
        <w:rPr>
          <w:rFonts w:ascii="Verdana" w:cs="Verdana" w:eastAsia="Verdana" w:hAnsi="Verdana"/>
          <w:sz w:val="18"/>
          <w:szCs w:val="18"/>
          <w:u w:val="single" w:color="auto"/>
          <w:color w:val="auto"/>
        </w:rPr>
        <w:t>Section 3</w:t>
      </w:r>
      <w:r>
        <w:rPr>
          <w:rFonts w:ascii="Verdana" w:cs="Verdana" w:eastAsia="Verdana" w:hAnsi="Verdana"/>
          <w:sz w:val="18"/>
          <w:szCs w:val="18"/>
          <w:color w:val="auto"/>
        </w:rPr>
        <w:t>.</w:t>
      </w:r>
    </w:p>
    <w:p>
      <w:pPr>
        <w:spacing w:after="0" w:line="168" w:lineRule="exact"/>
        <w:rPr>
          <w:sz w:val="20"/>
          <w:szCs w:val="20"/>
          <w:color w:val="auto"/>
        </w:rPr>
      </w:pPr>
    </w:p>
    <w:p>
      <w:pPr>
        <w:ind w:left="1260" w:hanging="623"/>
        <w:spacing w:after="0"/>
        <w:tabs>
          <w:tab w:leader="none" w:pos="1260" w:val="left"/>
        </w:tabs>
        <w:numPr>
          <w:ilvl w:val="0"/>
          <w:numId w:val="245"/>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Retirement</w:t>
      </w:r>
    </w:p>
    <w:p>
      <w:pPr>
        <w:spacing w:after="0" w:line="189" w:lineRule="exact"/>
        <w:rPr>
          <w:sz w:val="20"/>
          <w:szCs w:val="20"/>
          <w:color w:val="auto"/>
        </w:rPr>
      </w:pPr>
    </w:p>
    <w:p>
      <w:pPr>
        <w:jc w:val="both"/>
        <w:ind w:left="640"/>
        <w:spacing w:after="0" w:line="235" w:lineRule="auto"/>
        <w:rPr>
          <w:sz w:val="20"/>
          <w:szCs w:val="20"/>
          <w:color w:val="auto"/>
        </w:rPr>
      </w:pPr>
      <w:r>
        <w:rPr>
          <w:rFonts w:ascii="Verdana" w:cs="Verdana" w:eastAsia="Verdana" w:hAnsi="Verdana"/>
          <w:sz w:val="18"/>
          <w:szCs w:val="18"/>
          <w:color w:val="auto"/>
        </w:rPr>
        <w:t>“</w:t>
      </w:r>
      <w:r>
        <w:rPr>
          <w:rFonts w:ascii="Verdana" w:cs="Verdana" w:eastAsia="Verdana" w:hAnsi="Verdana"/>
          <w:sz w:val="18"/>
          <w:szCs w:val="18"/>
          <w:u w:val="single" w:color="auto"/>
          <w:color w:val="auto"/>
        </w:rPr>
        <w:t>Retirement</w:t>
      </w:r>
      <w:r>
        <w:rPr>
          <w:rFonts w:ascii="Verdana" w:cs="Verdana" w:eastAsia="Verdana" w:hAnsi="Verdana"/>
          <w:sz w:val="18"/>
          <w:szCs w:val="18"/>
          <w:color w:val="auto"/>
        </w:rPr>
        <w:t xml:space="preserve">” means (i) for any non-director, unless otherwise determined by the Committee, means (A) termination of service as a non-director after at least 10 years of service by such non-director </w:t>
      </w:r>
      <w:r>
        <w:rPr>
          <w:rFonts w:ascii="Verdana" w:cs="Verdana" w:eastAsia="Verdana" w:hAnsi="Verdana"/>
          <w:sz w:val="18"/>
          <w:szCs w:val="18"/>
          <w:u w:val="single" w:color="auto"/>
          <w:color w:val="auto"/>
        </w:rPr>
        <w:t>and</w:t>
      </w:r>
      <w:r>
        <w:rPr>
          <w:rFonts w:ascii="Verdana" w:cs="Verdana" w:eastAsia="Verdana" w:hAnsi="Verdana"/>
          <w:sz w:val="18"/>
          <w:szCs w:val="18"/>
          <w:color w:val="auto"/>
        </w:rPr>
        <w:t xml:space="preserve"> (B) attaining at least 55 years of age, and (ii) for any director, unless otherwise determined by the Committee, means termination of service as a director after at least five years of Board service by such director.</w:t>
      </w:r>
    </w:p>
    <w:p>
      <w:pPr>
        <w:spacing w:after="0" w:line="196" w:lineRule="exact"/>
        <w:rPr>
          <w:sz w:val="20"/>
          <w:szCs w:val="20"/>
          <w:color w:val="auto"/>
        </w:rPr>
      </w:pPr>
    </w:p>
    <w:p>
      <w:pPr>
        <w:jc w:val="both"/>
        <w:ind w:left="640"/>
        <w:spacing w:after="0" w:line="237" w:lineRule="auto"/>
        <w:rPr>
          <w:sz w:val="20"/>
          <w:szCs w:val="20"/>
          <w:color w:val="auto"/>
        </w:rPr>
      </w:pPr>
      <w:r>
        <w:rPr>
          <w:rFonts w:ascii="Verdana" w:cs="Verdana" w:eastAsia="Verdana" w:hAnsi="Verdana"/>
          <w:sz w:val="18"/>
          <w:szCs w:val="18"/>
          <w:color w:val="auto"/>
        </w:rPr>
        <w:t xml:space="preserve">Upon a Termination of Service in the event of Retirement, the Award shall continue to vest according to the vesting schedule; provided that Retirement occurs more than twelve (12) months following the Date of Grant. Upon vesting, the Award shall be issued and delivered to the Participant in accordance with </w:t>
      </w:r>
      <w:r>
        <w:rPr>
          <w:rFonts w:ascii="Verdana" w:cs="Verdana" w:eastAsia="Verdana" w:hAnsi="Verdana"/>
          <w:sz w:val="18"/>
          <w:szCs w:val="18"/>
          <w:u w:val="single" w:color="auto"/>
          <w:color w:val="auto"/>
        </w:rPr>
        <w:t>Section 3</w:t>
      </w:r>
      <w:r>
        <w:rPr>
          <w:rFonts w:ascii="Verdana" w:cs="Verdana" w:eastAsia="Verdana" w:hAnsi="Verdana"/>
          <w:sz w:val="18"/>
          <w:szCs w:val="18"/>
          <w:color w:val="auto"/>
        </w:rPr>
        <w:t>.</w:t>
      </w:r>
    </w:p>
    <w:p>
      <w:pPr>
        <w:spacing w:after="0" w:line="168" w:lineRule="exact"/>
        <w:rPr>
          <w:sz w:val="20"/>
          <w:szCs w:val="20"/>
          <w:color w:val="auto"/>
        </w:rPr>
      </w:pPr>
    </w:p>
    <w:p>
      <w:pPr>
        <w:ind w:left="1260" w:hanging="623"/>
        <w:spacing w:after="0"/>
        <w:tabs>
          <w:tab w:leader="none" w:pos="1260" w:val="left"/>
        </w:tabs>
        <w:numPr>
          <w:ilvl w:val="0"/>
          <w:numId w:val="246"/>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Disability</w:t>
      </w:r>
    </w:p>
    <w:p>
      <w:pPr>
        <w:spacing w:after="0" w:line="189" w:lineRule="exact"/>
        <w:rPr>
          <w:sz w:val="20"/>
          <w:szCs w:val="20"/>
          <w:color w:val="auto"/>
        </w:rPr>
      </w:pPr>
    </w:p>
    <w:p>
      <w:pPr>
        <w:jc w:val="both"/>
        <w:ind w:left="640"/>
        <w:spacing w:after="0" w:line="235" w:lineRule="auto"/>
        <w:rPr>
          <w:sz w:val="20"/>
          <w:szCs w:val="20"/>
          <w:color w:val="auto"/>
        </w:rPr>
      </w:pPr>
      <w:r>
        <w:rPr>
          <w:rFonts w:ascii="Verdana" w:cs="Verdana" w:eastAsia="Verdana" w:hAnsi="Verdana"/>
          <w:sz w:val="18"/>
          <w:szCs w:val="18"/>
          <w:color w:val="auto"/>
        </w:rPr>
        <w:t xml:space="preserve">Upon a Termination of Service as a result of Disability, the Award shall vest in full, and the Common Stock underlying the RSUs shall be issued and delivered to the Participant in accordance with </w:t>
      </w:r>
      <w:r>
        <w:rPr>
          <w:rFonts w:ascii="Verdana" w:cs="Verdana" w:eastAsia="Verdana" w:hAnsi="Verdana"/>
          <w:sz w:val="18"/>
          <w:szCs w:val="18"/>
          <w:u w:val="single" w:color="auto"/>
          <w:color w:val="auto"/>
        </w:rPr>
        <w:t>Section 3</w:t>
      </w:r>
      <w:r>
        <w:rPr>
          <w:rFonts w:ascii="Verdana" w:cs="Verdana" w:eastAsia="Verdana" w:hAnsi="Verdana"/>
          <w:sz w:val="18"/>
          <w:szCs w:val="18"/>
          <w:color w:val="auto"/>
        </w:rPr>
        <w:t>. For purposes of this Agreement, “</w:t>
      </w:r>
      <w:r>
        <w:rPr>
          <w:rFonts w:ascii="Verdana" w:cs="Verdana" w:eastAsia="Verdana" w:hAnsi="Verdana"/>
          <w:sz w:val="18"/>
          <w:szCs w:val="18"/>
          <w:u w:val="single" w:color="auto"/>
          <w:color w:val="auto"/>
        </w:rPr>
        <w:t>Disability</w:t>
      </w:r>
      <w:r>
        <w:rPr>
          <w:rFonts w:ascii="Verdana" w:cs="Verdana" w:eastAsia="Verdana" w:hAnsi="Verdana"/>
          <w:sz w:val="18"/>
          <w:szCs w:val="18"/>
          <w:color w:val="auto"/>
        </w:rPr>
        <w:t>” means a disability that would entitle an eligible Participant to payment of monthly disability payments under any Company long-term disability plan or as otherwise determined by the Committee.</w:t>
      </w:r>
    </w:p>
    <w:p>
      <w:pPr>
        <w:spacing w:after="0" w:line="170" w:lineRule="exact"/>
        <w:rPr>
          <w:sz w:val="20"/>
          <w:szCs w:val="20"/>
          <w:color w:val="auto"/>
        </w:rPr>
      </w:pPr>
    </w:p>
    <w:p>
      <w:pPr>
        <w:ind w:left="1260" w:hanging="623"/>
        <w:spacing w:after="0"/>
        <w:tabs>
          <w:tab w:leader="none" w:pos="1260" w:val="left"/>
        </w:tabs>
        <w:numPr>
          <w:ilvl w:val="0"/>
          <w:numId w:val="247"/>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Change in Control</w:t>
      </w:r>
    </w:p>
    <w:p>
      <w:pPr>
        <w:spacing w:after="0" w:line="202" w:lineRule="exact"/>
        <w:rPr>
          <w:sz w:val="20"/>
          <w:szCs w:val="20"/>
          <w:color w:val="auto"/>
        </w:rPr>
      </w:pPr>
    </w:p>
    <w:p>
      <w:pPr>
        <w:jc w:val="both"/>
        <w:ind w:left="640"/>
        <w:spacing w:after="0" w:line="266" w:lineRule="auto"/>
        <w:rPr>
          <w:sz w:val="20"/>
          <w:szCs w:val="20"/>
          <w:color w:val="auto"/>
        </w:rPr>
      </w:pPr>
      <w:r>
        <w:rPr>
          <w:rFonts w:ascii="Verdana" w:cs="Verdana" w:eastAsia="Verdana" w:hAnsi="Verdana"/>
          <w:sz w:val="16"/>
          <w:szCs w:val="16"/>
          <w:color w:val="auto"/>
        </w:rPr>
        <w:t xml:space="preserve">Notwithstanding anything in this </w:t>
      </w:r>
      <w:r>
        <w:rPr>
          <w:rFonts w:ascii="Verdana" w:cs="Verdana" w:eastAsia="Verdana" w:hAnsi="Verdana"/>
          <w:sz w:val="16"/>
          <w:szCs w:val="16"/>
          <w:u w:val="single" w:color="auto"/>
          <w:color w:val="auto"/>
        </w:rPr>
        <w:t>Section 8</w:t>
      </w:r>
      <w:r>
        <w:rPr>
          <w:rFonts w:ascii="Verdana" w:cs="Verdana" w:eastAsia="Verdana" w:hAnsi="Verdana"/>
          <w:sz w:val="16"/>
          <w:szCs w:val="16"/>
          <w:color w:val="auto"/>
        </w:rPr>
        <w:t xml:space="preserve"> to the contrary, upon a Termination of Service without Cause in connection with a Change in Control, the RSUs shall vest in full immediately upon the later of such Change in Control or such termination of employment. Upon vesting, the Award shall be issued and delivered to the Participant in accordance with </w:t>
      </w:r>
      <w:r>
        <w:rPr>
          <w:rFonts w:ascii="Verdana" w:cs="Verdana" w:eastAsia="Verdana" w:hAnsi="Verdana"/>
          <w:sz w:val="16"/>
          <w:szCs w:val="16"/>
          <w:u w:val="single" w:color="auto"/>
          <w:color w:val="auto"/>
        </w:rPr>
        <w:t>Section 3</w:t>
      </w:r>
      <w:r>
        <w:rPr>
          <w:rFonts w:ascii="Verdana" w:cs="Verdana" w:eastAsia="Verdana" w:hAnsi="Verdana"/>
          <w:sz w:val="16"/>
          <w:szCs w:val="16"/>
          <w:color w:val="auto"/>
        </w:rPr>
        <w:t>. A Termination of Service without Cause may be treated as being in connection with a Change in Control only if such termination occurs during the period beginning six (6) months prior to the Change in Control and ending twenty-four (24) months following the Change in Control. The Committee shall determine, in its sole and absolute discretion, whether there was a Termination of Service without Cause in connection with a Change in Control.</w:t>
      </w:r>
    </w:p>
    <w:p>
      <w:pPr>
        <w:spacing w:after="0" w:line="149" w:lineRule="exact"/>
        <w:rPr>
          <w:sz w:val="20"/>
          <w:szCs w:val="20"/>
          <w:color w:val="auto"/>
        </w:rPr>
      </w:pPr>
    </w:p>
    <w:p>
      <w:pPr>
        <w:ind w:left="1260" w:hanging="623"/>
        <w:spacing w:after="0"/>
        <w:tabs>
          <w:tab w:leader="none" w:pos="1260" w:val="left"/>
        </w:tabs>
        <w:numPr>
          <w:ilvl w:val="0"/>
          <w:numId w:val="248"/>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Eligible Termination</w:t>
      </w:r>
    </w:p>
    <w:p>
      <w:pPr>
        <w:spacing w:after="0" w:line="189" w:lineRule="exact"/>
        <w:rPr>
          <w:sz w:val="20"/>
          <w:szCs w:val="20"/>
          <w:color w:val="auto"/>
        </w:rPr>
      </w:pPr>
    </w:p>
    <w:p>
      <w:pPr>
        <w:jc w:val="both"/>
        <w:ind w:left="640"/>
        <w:spacing w:after="0" w:line="237" w:lineRule="auto"/>
        <w:rPr>
          <w:sz w:val="20"/>
          <w:szCs w:val="20"/>
          <w:color w:val="auto"/>
        </w:rPr>
      </w:pPr>
      <w:r>
        <w:rPr>
          <w:rFonts w:ascii="Verdana" w:cs="Verdana" w:eastAsia="Verdana" w:hAnsi="Verdana"/>
          <w:sz w:val="18"/>
          <w:szCs w:val="18"/>
          <w:color w:val="auto"/>
        </w:rPr>
        <w:t>Upon a Termination of Service by reason of an Eligible Termination (as defined below), the number of RSUs that shall vest and be delivered to the Participant shall be the pro-rated percentage of the total number of RSUs awarded that is equal to the percentage of time during the aggregate vesting period for all RSUs awarded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LEGAL\81339046\9</w:t>
      </w:r>
    </w:p>
    <w:p>
      <w:pPr>
        <w:spacing w:after="0"/>
        <w:rPr>
          <w:sz w:val="20"/>
          <w:szCs w:val="20"/>
          <w:color w:val="auto"/>
        </w:rPr>
      </w:pPr>
      <w:r>
        <w:rPr>
          <w:rFonts w:ascii="Verdana" w:cs="Verdana" w:eastAsia="Verdana" w:hAnsi="Verdana"/>
          <w:sz w:val="14"/>
          <w:szCs w:val="14"/>
          <w:color w:val="auto"/>
        </w:rPr>
        <w:t>2026 RSU Agreement (Vivint)</w:t>
      </w:r>
    </w:p>
    <w:p>
      <w:pPr>
        <w:sectPr>
          <w:pgSz w:w="11900" w:h="16838" w:orient="portrait"/>
          <w:cols w:equalWidth="0" w:num="1">
            <w:col w:w="11240"/>
          </w:cols>
          <w:pgMar w:left="320" w:top="1440" w:right="339" w:bottom="1440" w:gutter="0" w:footer="0" w:header="0"/>
        </w:sectPr>
      </w:pPr>
    </w:p>
    <w:bookmarkStart w:id="268" w:name="page269"/>
    <w:bookmarkEnd w:id="2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640"/>
        <w:spacing w:after="0" w:line="233" w:lineRule="auto"/>
        <w:rPr>
          <w:sz w:val="20"/>
          <w:szCs w:val="20"/>
          <w:color w:val="auto"/>
        </w:rPr>
      </w:pPr>
      <w:r>
        <w:rPr>
          <w:rFonts w:ascii="Verdana" w:cs="Verdana" w:eastAsia="Verdana" w:hAnsi="Verdana"/>
          <w:sz w:val="18"/>
          <w:szCs w:val="18"/>
          <w:color w:val="auto"/>
        </w:rPr>
        <w:t>the Participant was actually continuously employed by the Company, including any of its Subsidiaries (the “</w:t>
      </w:r>
      <w:r>
        <w:rPr>
          <w:rFonts w:ascii="Verdana" w:cs="Verdana" w:eastAsia="Verdana" w:hAnsi="Verdana"/>
          <w:sz w:val="18"/>
          <w:szCs w:val="18"/>
          <w:u w:val="single" w:color="auto"/>
          <w:color w:val="auto"/>
        </w:rPr>
        <w:t>Pro-Rated</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auto"/>
        </w:rPr>
        <w:t>Award</w:t>
      </w:r>
      <w:r>
        <w:rPr>
          <w:rFonts w:ascii="Verdana" w:cs="Verdana" w:eastAsia="Verdana" w:hAnsi="Verdana"/>
          <w:sz w:val="18"/>
          <w:szCs w:val="18"/>
          <w:color w:val="auto"/>
        </w:rPr>
        <w:t xml:space="preserve">”). The Pro-Rated Award shall vest on the fifteenth (15th) day of the month that follows the month in which the Release (as defined below) becomes irrevocable; </w:t>
      </w:r>
      <w:r>
        <w:rPr>
          <w:rFonts w:ascii="Verdana" w:cs="Verdana" w:eastAsia="Verdana" w:hAnsi="Verdana"/>
          <w:sz w:val="18"/>
          <w:szCs w:val="18"/>
          <w:u w:val="single" w:color="auto"/>
          <w:color w:val="auto"/>
        </w:rPr>
        <w:t>provided</w:t>
      </w:r>
      <w:r>
        <w:rPr>
          <w:rFonts w:ascii="Verdana" w:cs="Verdana" w:eastAsia="Verdana" w:hAnsi="Verdana"/>
          <w:sz w:val="18"/>
          <w:szCs w:val="18"/>
          <w:color w:val="auto"/>
        </w:rPr>
        <w:t xml:space="preserve">, that (i) in the event the aggregate consideration and revocation period applicable to the Release ends after December 15 or spans two (2) calendar years, vesting of the Pro-Rated Award shall occur in the second calendar year; and (ii) in the event the aggregate consideration and revocation period applicable to the Release ends on or before December 15, the Pro-Rated Award shall vest on December 20. Upon vesting, the Pro-Rated Award shall be issued and delivered to the Participant in accordance with </w:t>
      </w:r>
      <w:r>
        <w:rPr>
          <w:rFonts w:ascii="Verdana" w:cs="Verdana" w:eastAsia="Verdana" w:hAnsi="Verdana"/>
          <w:sz w:val="18"/>
          <w:szCs w:val="18"/>
          <w:u w:val="single" w:color="auto"/>
          <w:color w:val="auto"/>
        </w:rPr>
        <w:t>Section 3</w:t>
      </w:r>
      <w:r>
        <w:rPr>
          <w:rFonts w:ascii="Verdana" w:cs="Verdana" w:eastAsia="Verdana" w:hAnsi="Verdana"/>
          <w:sz w:val="18"/>
          <w:szCs w:val="18"/>
          <w:color w:val="auto"/>
        </w:rPr>
        <w:t>, provided, for the avoidance of doubt, that any payment pursuant to Section 3 with respect to a Pro-Rated Award shall be made within two and one-half months of the end of such calendar year.</w:t>
      </w:r>
    </w:p>
    <w:p>
      <w:pPr>
        <w:spacing w:after="0" w:line="194" w:lineRule="exact"/>
        <w:rPr>
          <w:sz w:val="20"/>
          <w:szCs w:val="20"/>
          <w:color w:val="auto"/>
        </w:rPr>
      </w:pPr>
    </w:p>
    <w:p>
      <w:pPr>
        <w:jc w:val="both"/>
        <w:ind w:left="640"/>
        <w:spacing w:after="0" w:line="259" w:lineRule="auto"/>
        <w:rPr>
          <w:sz w:val="20"/>
          <w:szCs w:val="20"/>
          <w:color w:val="auto"/>
        </w:rPr>
      </w:pPr>
      <w:r>
        <w:rPr>
          <w:rFonts w:ascii="Verdana" w:cs="Verdana" w:eastAsia="Verdana" w:hAnsi="Verdana"/>
          <w:sz w:val="16"/>
          <w:szCs w:val="16"/>
          <w:color w:val="auto"/>
        </w:rPr>
        <w:t xml:space="preserve">For purposes of this </w:t>
      </w:r>
      <w:r>
        <w:rPr>
          <w:rFonts w:ascii="Verdana" w:cs="Verdana" w:eastAsia="Verdana" w:hAnsi="Verdana"/>
          <w:sz w:val="16"/>
          <w:szCs w:val="16"/>
          <w:u w:val="single" w:color="auto"/>
          <w:color w:val="auto"/>
        </w:rPr>
        <w:t>Section 8(e)</w:t>
      </w:r>
      <w:r>
        <w:rPr>
          <w:rFonts w:ascii="Verdana" w:cs="Verdana" w:eastAsia="Verdana" w:hAnsi="Verdana"/>
          <w:sz w:val="16"/>
          <w:szCs w:val="16"/>
          <w:color w:val="auto"/>
        </w:rPr>
        <w:t>, “</w:t>
      </w:r>
      <w:r>
        <w:rPr>
          <w:rFonts w:ascii="Verdana" w:cs="Verdana" w:eastAsia="Verdana" w:hAnsi="Verdana"/>
          <w:sz w:val="16"/>
          <w:szCs w:val="16"/>
          <w:u w:val="single" w:color="auto"/>
          <w:color w:val="auto"/>
        </w:rPr>
        <w:t>Eligible Termination</w:t>
      </w:r>
      <w:r>
        <w:rPr>
          <w:rFonts w:ascii="Verdana" w:cs="Verdana" w:eastAsia="Verdana" w:hAnsi="Verdana"/>
          <w:sz w:val="16"/>
          <w:szCs w:val="16"/>
          <w:color w:val="auto"/>
        </w:rPr>
        <w:t>” means an involuntary Termination of Service in connection with the sale of a business segment, restructuring or reduction in workforce. In order to be deemed an Eligible Termination, the Participant must execute and not revoke a general release of claims in favor of the Company in a form and with terms and conditions drafted by and acceptable to the Company, which is executed, and not revoked, by the Participant as a condition to receiving the benefit described herein (the “</w:t>
      </w:r>
      <w:r>
        <w:rPr>
          <w:rFonts w:ascii="Verdana" w:cs="Verdana" w:eastAsia="Verdana" w:hAnsi="Verdana"/>
          <w:sz w:val="16"/>
          <w:szCs w:val="16"/>
          <w:u w:val="single" w:color="auto"/>
          <w:color w:val="auto"/>
        </w:rPr>
        <w:t>Release</w:t>
      </w:r>
      <w:r>
        <w:rPr>
          <w:rFonts w:ascii="Verdana" w:cs="Verdana" w:eastAsia="Verdana" w:hAnsi="Verdana"/>
          <w:sz w:val="16"/>
          <w:szCs w:val="16"/>
          <w:color w:val="auto"/>
        </w:rPr>
        <w:t>”). For the avoidance of doubt: (i) an involuntary Termination of Service by reason of a Change in Control, Cause, death, or Disability is not an Eligible Termination and</w:t>
      </w:r>
    </w:p>
    <w:p>
      <w:pPr>
        <w:spacing w:after="0" w:line="4" w:lineRule="exact"/>
        <w:rPr>
          <w:sz w:val="20"/>
          <w:szCs w:val="20"/>
          <w:color w:val="auto"/>
        </w:rPr>
      </w:pPr>
    </w:p>
    <w:p>
      <w:pPr>
        <w:jc w:val="both"/>
        <w:ind w:left="640" w:hanging="3"/>
        <w:spacing w:after="0" w:line="237" w:lineRule="auto"/>
        <w:tabs>
          <w:tab w:leader="none" w:pos="984" w:val="left"/>
        </w:tabs>
        <w:numPr>
          <w:ilvl w:val="0"/>
          <w:numId w:val="249"/>
        </w:numPr>
        <w:rPr>
          <w:rFonts w:ascii="Verdana" w:cs="Verdana" w:eastAsia="Verdana" w:hAnsi="Verdana"/>
          <w:sz w:val="18"/>
          <w:szCs w:val="18"/>
          <w:color w:val="auto"/>
        </w:rPr>
      </w:pPr>
      <w:r>
        <w:rPr>
          <w:rFonts w:ascii="Verdana" w:cs="Verdana" w:eastAsia="Verdana" w:hAnsi="Verdana"/>
          <w:sz w:val="18"/>
          <w:szCs w:val="18"/>
          <w:color w:val="auto"/>
        </w:rPr>
        <w:t xml:space="preserve">in the event an Eligible Termination occurs and the Participant also meets the requirements for Retirement, the Award shall vest in accordance with </w:t>
      </w:r>
      <w:r>
        <w:rPr>
          <w:rFonts w:ascii="Verdana" w:cs="Verdana" w:eastAsia="Verdana" w:hAnsi="Verdana"/>
          <w:sz w:val="18"/>
          <w:szCs w:val="18"/>
          <w:u w:val="single" w:color="auto"/>
          <w:color w:val="auto"/>
        </w:rPr>
        <w:t>Section 8(b)</w:t>
      </w:r>
      <w:r>
        <w:rPr>
          <w:rFonts w:ascii="Verdana" w:cs="Verdana" w:eastAsia="Verdana" w:hAnsi="Verdana"/>
          <w:sz w:val="18"/>
          <w:szCs w:val="18"/>
          <w:color w:val="auto"/>
        </w:rPr>
        <w:t>. The Company shall determine, in its sole and absolute discretion, whether a Termination of Service was by reason of an Eligible Termination.</w:t>
      </w:r>
    </w:p>
    <w:p>
      <w:pPr>
        <w:spacing w:after="0" w:line="168" w:lineRule="exact"/>
        <w:rPr>
          <w:sz w:val="20"/>
          <w:szCs w:val="20"/>
          <w:color w:val="auto"/>
        </w:rPr>
      </w:pPr>
    </w:p>
    <w:p>
      <w:pPr>
        <w:ind w:left="1260" w:hanging="623"/>
        <w:spacing w:after="0" w:line="226" w:lineRule="auto"/>
        <w:tabs>
          <w:tab w:leader="none" w:pos="1248" w:val="left"/>
        </w:tabs>
        <w:numPr>
          <w:ilvl w:val="0"/>
          <w:numId w:val="250"/>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Termination of Service Other Than as a Result of Death, Retirement, Disability, Change in Control or Eligible Termination</w:t>
      </w:r>
    </w:p>
    <w:p>
      <w:pPr>
        <w:spacing w:after="0" w:line="180" w:lineRule="exact"/>
        <w:rPr>
          <w:sz w:val="20"/>
          <w:szCs w:val="20"/>
          <w:color w:val="auto"/>
        </w:rPr>
      </w:pPr>
    </w:p>
    <w:p>
      <w:pPr>
        <w:jc w:val="both"/>
        <w:ind w:left="640"/>
        <w:spacing w:after="0" w:line="273" w:lineRule="auto"/>
        <w:rPr>
          <w:sz w:val="20"/>
          <w:szCs w:val="20"/>
          <w:color w:val="auto"/>
        </w:rPr>
      </w:pPr>
      <w:r>
        <w:rPr>
          <w:rFonts w:ascii="Verdana" w:cs="Verdana" w:eastAsia="Verdana" w:hAnsi="Verdana"/>
          <w:sz w:val="16"/>
          <w:szCs w:val="16"/>
          <w:color w:val="auto"/>
        </w:rPr>
        <w:t>Upon a Termination of Service by any reason other than death, Retirement, Disability, Eligible Termination or without Cause in connection with a Change in Control, including, without limitation, as a result of retirement or disability that does not meet the requirements set forth in the definitions of such terms in the Plan or this Agreement, voluntary resignation or termination for Cause, any unvested portion of this Award shall expire and be forfeited to the Company.</w:t>
      </w:r>
    </w:p>
    <w:p>
      <w:pPr>
        <w:spacing w:after="0" w:line="142" w:lineRule="exact"/>
        <w:rPr>
          <w:sz w:val="20"/>
          <w:szCs w:val="20"/>
          <w:color w:val="auto"/>
        </w:rPr>
      </w:pPr>
    </w:p>
    <w:p>
      <w:pPr>
        <w:ind w:left="1260" w:hanging="623"/>
        <w:spacing w:after="0"/>
        <w:tabs>
          <w:tab w:leader="none" w:pos="1260" w:val="left"/>
        </w:tabs>
        <w:numPr>
          <w:ilvl w:val="0"/>
          <w:numId w:val="251"/>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Clawback/Repayment as a Result of Misconduct</w:t>
      </w:r>
    </w:p>
    <w:p>
      <w:pPr>
        <w:spacing w:after="0" w:line="189" w:lineRule="exact"/>
        <w:rPr>
          <w:sz w:val="20"/>
          <w:szCs w:val="20"/>
          <w:color w:val="auto"/>
        </w:rPr>
      </w:pPr>
    </w:p>
    <w:p>
      <w:pPr>
        <w:ind w:left="640"/>
        <w:spacing w:after="0"/>
        <w:rPr>
          <w:sz w:val="20"/>
          <w:szCs w:val="20"/>
          <w:color w:val="auto"/>
        </w:rPr>
      </w:pPr>
      <w:r>
        <w:rPr>
          <w:rFonts w:ascii="Verdana" w:cs="Verdana" w:eastAsia="Verdana" w:hAnsi="Verdana"/>
          <w:sz w:val="16"/>
          <w:szCs w:val="16"/>
          <w:color w:val="auto"/>
        </w:rPr>
        <w:t>All RSUs shall be subject to reduction, cancellation, forfeiture, or recoupment to the extent necessary to comply with</w:t>
      </w:r>
    </w:p>
    <w:p>
      <w:pPr>
        <w:spacing w:after="0" w:line="16" w:lineRule="exact"/>
        <w:rPr>
          <w:sz w:val="20"/>
          <w:szCs w:val="20"/>
          <w:color w:val="auto"/>
        </w:rPr>
      </w:pPr>
    </w:p>
    <w:p>
      <w:pPr>
        <w:jc w:val="both"/>
        <w:ind w:left="640" w:hanging="3"/>
        <w:spacing w:after="0" w:line="234" w:lineRule="auto"/>
        <w:tabs>
          <w:tab w:leader="none" w:pos="911" w:val="left"/>
        </w:tabs>
        <w:numPr>
          <w:ilvl w:val="0"/>
          <w:numId w:val="252"/>
        </w:numPr>
        <w:rPr>
          <w:rFonts w:ascii="Verdana" w:cs="Verdana" w:eastAsia="Verdana" w:hAnsi="Verdana"/>
          <w:sz w:val="18"/>
          <w:szCs w:val="18"/>
          <w:color w:val="auto"/>
        </w:rPr>
      </w:pPr>
      <w:r>
        <w:rPr>
          <w:rFonts w:ascii="Verdana" w:cs="Verdana" w:eastAsia="Verdana" w:hAnsi="Verdana"/>
          <w:sz w:val="18"/>
          <w:szCs w:val="18"/>
          <w:color w:val="auto"/>
        </w:rPr>
        <w:t>any clawback, forfeiture, or other similar policy adopted by the Board or the Committee and is in effect from time to time and (ii) applicable law. Further, unless otherwise determined by the Committee, to the extent that the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shall be required to repay any such excess amount to the Company. To the extent that the Participant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LEGAL\81339046\9</w:t>
      </w:r>
    </w:p>
    <w:p>
      <w:pPr>
        <w:spacing w:after="0" w:line="7" w:lineRule="exact"/>
        <w:rPr>
          <w:sz w:val="20"/>
          <w:szCs w:val="20"/>
          <w:color w:val="auto"/>
        </w:rPr>
      </w:pPr>
    </w:p>
    <w:p>
      <w:pPr>
        <w:spacing w:after="0"/>
        <w:rPr>
          <w:sz w:val="20"/>
          <w:szCs w:val="20"/>
          <w:color w:val="auto"/>
        </w:rPr>
      </w:pPr>
      <w:r>
        <w:rPr>
          <w:rFonts w:ascii="Verdana" w:cs="Verdana" w:eastAsia="Verdana" w:hAnsi="Verdana"/>
          <w:sz w:val="14"/>
          <w:szCs w:val="14"/>
          <w:color w:val="auto"/>
        </w:rPr>
        <w:t>2026 RSU Agreement (Vivint)</w:t>
      </w:r>
    </w:p>
    <w:p>
      <w:pPr>
        <w:sectPr>
          <w:pgSz w:w="11900" w:h="16838" w:orient="portrait"/>
          <w:cols w:equalWidth="0" w:num="1">
            <w:col w:w="11240"/>
          </w:cols>
          <w:pgMar w:left="320" w:top="1440" w:right="339" w:bottom="1440" w:gutter="0" w:footer="0" w:header="0"/>
        </w:sectPr>
      </w:pPr>
    </w:p>
    <w:bookmarkStart w:id="269" w:name="page270"/>
    <w:bookmarkEnd w:id="2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640"/>
        <w:spacing w:after="0" w:line="237" w:lineRule="auto"/>
        <w:rPr>
          <w:sz w:val="20"/>
          <w:szCs w:val="20"/>
          <w:color w:val="auto"/>
        </w:rPr>
      </w:pPr>
      <w:r>
        <w:rPr>
          <w:rFonts w:ascii="Verdana" w:cs="Verdana" w:eastAsia="Verdana" w:hAnsi="Verdana"/>
          <w:sz w:val="18"/>
          <w:szCs w:val="18"/>
          <w:color w:val="auto"/>
        </w:rPr>
        <w:t>subject to the Company’s Clawback Policy, effective as of October 1, 2023, as it may be amended from time to time (the “</w:t>
      </w:r>
      <w:r>
        <w:rPr>
          <w:rFonts w:ascii="Verdana" w:cs="Verdana" w:eastAsia="Verdana" w:hAnsi="Verdana"/>
          <w:sz w:val="18"/>
          <w:szCs w:val="18"/>
          <w:u w:val="single" w:color="auto"/>
          <w:color w:val="auto"/>
        </w:rPr>
        <w:t>Clawback Policy</w:t>
      </w:r>
      <w:r>
        <w:rPr>
          <w:rFonts w:ascii="Verdana" w:cs="Verdana" w:eastAsia="Verdana" w:hAnsi="Verdana"/>
          <w:sz w:val="18"/>
          <w:szCs w:val="18"/>
          <w:color w:val="auto"/>
        </w:rPr>
        <w:t>”), notwithstanding the foregoing, the Clawback Policy shall be applicable to this Agreement and any award or right granted hereunder.</w:t>
      </w:r>
    </w:p>
    <w:p>
      <w:pPr>
        <w:spacing w:after="0" w:line="168" w:lineRule="exact"/>
        <w:rPr>
          <w:sz w:val="20"/>
          <w:szCs w:val="20"/>
          <w:color w:val="auto"/>
        </w:rPr>
      </w:pPr>
    </w:p>
    <w:p>
      <w:pPr>
        <w:ind w:left="1260" w:hanging="623"/>
        <w:spacing w:after="0"/>
        <w:tabs>
          <w:tab w:leader="none" w:pos="1260" w:val="left"/>
        </w:tabs>
        <w:numPr>
          <w:ilvl w:val="0"/>
          <w:numId w:val="253"/>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Detrimental Activity</w:t>
      </w:r>
    </w:p>
    <w:p>
      <w:pPr>
        <w:spacing w:after="0" w:line="202" w:lineRule="exact"/>
        <w:rPr>
          <w:sz w:val="20"/>
          <w:szCs w:val="20"/>
          <w:color w:val="auto"/>
        </w:rPr>
      </w:pPr>
    </w:p>
    <w:p>
      <w:pPr>
        <w:jc w:val="both"/>
        <w:ind w:left="640"/>
        <w:spacing w:after="0" w:line="232" w:lineRule="auto"/>
        <w:rPr>
          <w:sz w:val="20"/>
          <w:szCs w:val="20"/>
          <w:color w:val="auto"/>
        </w:rPr>
      </w:pPr>
      <w:r>
        <w:rPr>
          <w:rFonts w:ascii="Verdana" w:cs="Verdana" w:eastAsia="Verdana" w:hAnsi="Verdana"/>
          <w:sz w:val="18"/>
          <w:szCs w:val="18"/>
          <w:color w:val="auto"/>
        </w:rPr>
        <w:t>Notwithstanding anything to the contrary contained herein, if a Participant has engaged in any Detrimental Activity (as defined below), as determined by the Committee, the Committee may, in its sole discretion, provide for one or more of the following: (i) cancellation of any or all of such Participant’s outstanding Awards; or (ii) forfeiture by the Participant of any gain realized on the vesting of the Award, and repayment of any such gain promptly to the Company. For purposes of this Agreement, “</w:t>
      </w:r>
      <w:r>
        <w:rPr>
          <w:rFonts w:ascii="Verdana" w:cs="Verdana" w:eastAsia="Verdana" w:hAnsi="Verdana"/>
          <w:sz w:val="18"/>
          <w:szCs w:val="18"/>
          <w:u w:val="single" w:color="auto"/>
          <w:color w:val="auto"/>
        </w:rPr>
        <w:t>Detrimental Activity</w:t>
      </w:r>
      <w:r>
        <w:rPr>
          <w:rFonts w:ascii="Verdana" w:cs="Verdana" w:eastAsia="Verdana" w:hAnsi="Verdana"/>
          <w:sz w:val="18"/>
          <w:szCs w:val="18"/>
          <w:color w:val="auto"/>
        </w:rPr>
        <w:t>” means any of the following: (i) unauthorized disclosure of any confidential or proprietary information of the Company or any Subsidiary; (ii) any activity that would be grounds to terminate the Participant’s employment with the Company or any Subsidiary for Cause; (iii) the Participant having engaged in a violation of any provisions of any agreement with the Company or a Subsidiary, containing covenants regarding non- competition, non-solicitation, non-disparagement and/or non-disclosure obligations; or (iv) fraud or conduct contributing to any financial restatements or irregularities, as determined by the Committee in its sole discretion.</w:t>
      </w:r>
    </w:p>
    <w:p>
      <w:pPr>
        <w:spacing w:after="0" w:line="174" w:lineRule="exact"/>
        <w:rPr>
          <w:sz w:val="20"/>
          <w:szCs w:val="20"/>
          <w:color w:val="auto"/>
        </w:rPr>
      </w:pPr>
    </w:p>
    <w:p>
      <w:pPr>
        <w:ind w:left="1260" w:hanging="623"/>
        <w:spacing w:after="0"/>
        <w:tabs>
          <w:tab w:leader="none" w:pos="1260" w:val="left"/>
        </w:tabs>
        <w:numPr>
          <w:ilvl w:val="0"/>
          <w:numId w:val="254"/>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Definition of Cause</w:t>
      </w:r>
    </w:p>
    <w:p>
      <w:pPr>
        <w:spacing w:after="0" w:line="189" w:lineRule="exact"/>
        <w:rPr>
          <w:sz w:val="20"/>
          <w:szCs w:val="20"/>
          <w:color w:val="auto"/>
        </w:rPr>
      </w:pPr>
    </w:p>
    <w:p>
      <w:pPr>
        <w:jc w:val="both"/>
        <w:ind w:left="640"/>
        <w:spacing w:after="0" w:line="265" w:lineRule="auto"/>
        <w:rPr>
          <w:sz w:val="20"/>
          <w:szCs w:val="20"/>
          <w:color w:val="auto"/>
        </w:rPr>
      </w:pPr>
      <w:r>
        <w:rPr>
          <w:rFonts w:ascii="Verdana" w:cs="Verdana" w:eastAsia="Verdana" w:hAnsi="Verdana"/>
          <w:sz w:val="16"/>
          <w:szCs w:val="16"/>
          <w:color w:val="auto"/>
        </w:rPr>
        <w:t>For purposes of this Agreement, “</w:t>
      </w:r>
      <w:r>
        <w:rPr>
          <w:rFonts w:ascii="Verdana" w:cs="Verdana" w:eastAsia="Verdana" w:hAnsi="Verdana"/>
          <w:sz w:val="16"/>
          <w:szCs w:val="16"/>
          <w:u w:val="single" w:color="auto"/>
          <w:color w:val="auto"/>
        </w:rPr>
        <w:t>Cause</w:t>
      </w:r>
      <w:r>
        <w:rPr>
          <w:rFonts w:ascii="Verdana" w:cs="Verdana" w:eastAsia="Verdana" w:hAnsi="Verdana"/>
          <w:sz w:val="16"/>
          <w:szCs w:val="16"/>
          <w:color w:val="auto"/>
        </w:rPr>
        <w:t>”, unless otherwise defined in a Participant’s written employment arrangement with the Company or any of its Subsidiaries in effect on the date of grant (as amended from time to time thereafter), means the occurrence of one or more of the following events: (i) conviction of, or agreement to a plea of nolo contendere to, a felony, or any crime or offense lesser than a felony involving the property of the Company or a Subsidiary; (ii) conduct that has caused demonstrable and serious injury to the Company or a Subsidiary, monetary or otherwise; (iii) willful refusal to perform or substantial disregard of duties properly assigned, as determined by the Company; (iv) breach of duty of loyalty to the Company or a Subsidiary or other act of fraud or dishonesty with respect to the Company or a Subsidiary; or (v) violation of the Company’s code of conduct.</w:t>
      </w:r>
    </w:p>
    <w:p>
      <w:pPr>
        <w:spacing w:after="0" w:line="151" w:lineRule="exact"/>
        <w:rPr>
          <w:sz w:val="20"/>
          <w:szCs w:val="20"/>
          <w:color w:val="auto"/>
        </w:rPr>
      </w:pPr>
    </w:p>
    <w:p>
      <w:pPr>
        <w:ind w:left="620" w:hanging="615"/>
        <w:spacing w:after="0"/>
        <w:tabs>
          <w:tab w:leader="none" w:pos="620" w:val="left"/>
        </w:tabs>
        <w:numPr>
          <w:ilvl w:val="0"/>
          <w:numId w:val="255"/>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Committee Authority</w:t>
      </w:r>
    </w:p>
    <w:p>
      <w:pPr>
        <w:spacing w:after="0" w:line="189" w:lineRule="exact"/>
        <w:rPr>
          <w:rFonts w:ascii="Verdana" w:cs="Verdana" w:eastAsia="Verdana" w:hAnsi="Verdana"/>
          <w:sz w:val="18"/>
          <w:szCs w:val="18"/>
          <w:b w:val="1"/>
          <w:bCs w:val="1"/>
          <w:color w:val="auto"/>
        </w:rPr>
      </w:pPr>
    </w:p>
    <w:p>
      <w:pPr>
        <w:jc w:val="both"/>
        <w:ind w:left="640"/>
        <w:spacing w:after="0" w:line="237" w:lineRule="auto"/>
        <w:rPr>
          <w:rFonts w:ascii="Verdana" w:cs="Verdana" w:eastAsia="Verdana" w:hAnsi="Verdana"/>
          <w:sz w:val="18"/>
          <w:szCs w:val="18"/>
          <w:b w:val="1"/>
          <w:bCs w:val="1"/>
          <w:color w:val="auto"/>
        </w:rPr>
      </w:pPr>
      <w:r>
        <w:rPr>
          <w:rFonts w:ascii="Verdana" w:cs="Verdana" w:eastAsia="Verdana" w:hAnsi="Verdana"/>
          <w:sz w:val="18"/>
          <w:szCs w:val="18"/>
          <w:color w:val="auto"/>
        </w:rPr>
        <w:t>Any question concerning the interpretation of this Agreement, any adjustments required to be made under the Plan, and any controversy that may arise under the Plan or this Agreement shall be determined by the Committee in its sole discretion. Any decisions by the Committee regarding the Plan or this Agreement shall be final and binding.</w:t>
      </w:r>
    </w:p>
    <w:p>
      <w:pPr>
        <w:spacing w:after="0" w:line="167" w:lineRule="exact"/>
        <w:rPr>
          <w:rFonts w:ascii="Verdana" w:cs="Verdana" w:eastAsia="Verdana" w:hAnsi="Verdana"/>
          <w:sz w:val="18"/>
          <w:szCs w:val="18"/>
          <w:b w:val="1"/>
          <w:bCs w:val="1"/>
          <w:color w:val="auto"/>
        </w:rPr>
      </w:pPr>
    </w:p>
    <w:p>
      <w:pPr>
        <w:ind w:left="640" w:hanging="635"/>
        <w:spacing w:after="0"/>
        <w:tabs>
          <w:tab w:leader="none" w:pos="640" w:val="left"/>
        </w:tabs>
        <w:numPr>
          <w:ilvl w:val="0"/>
          <w:numId w:val="255"/>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Plan Controls</w:t>
      </w:r>
    </w:p>
    <w:p>
      <w:pPr>
        <w:spacing w:after="0" w:line="202" w:lineRule="exact"/>
        <w:rPr>
          <w:rFonts w:ascii="Verdana" w:cs="Verdana" w:eastAsia="Verdana" w:hAnsi="Verdana"/>
          <w:sz w:val="18"/>
          <w:szCs w:val="18"/>
          <w:b w:val="1"/>
          <w:bCs w:val="1"/>
          <w:color w:val="auto"/>
        </w:rPr>
      </w:pPr>
    </w:p>
    <w:p>
      <w:pPr>
        <w:ind w:left="640"/>
        <w:spacing w:after="0" w:line="241" w:lineRule="auto"/>
        <w:rPr>
          <w:rFonts w:ascii="Verdana" w:cs="Verdana" w:eastAsia="Verdana" w:hAnsi="Verdana"/>
          <w:sz w:val="18"/>
          <w:szCs w:val="18"/>
          <w:b w:val="1"/>
          <w:bCs w:val="1"/>
          <w:color w:val="auto"/>
        </w:rPr>
      </w:pPr>
      <w:r>
        <w:rPr>
          <w:rFonts w:ascii="Verdana" w:cs="Verdana" w:eastAsia="Verdana" w:hAnsi="Verdana"/>
          <w:sz w:val="18"/>
          <w:szCs w:val="18"/>
          <w:color w:val="auto"/>
        </w:rPr>
        <w:t>The terms of this Agreement are governed by the terms of the Plan, as it exists on the Date of Grant and as the Plan may be amended from time to time thereafter.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6</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LEGAL\81339046\9</w:t>
      </w:r>
    </w:p>
    <w:p>
      <w:pPr>
        <w:spacing w:after="0" w:line="7" w:lineRule="exact"/>
        <w:rPr>
          <w:sz w:val="20"/>
          <w:szCs w:val="20"/>
          <w:color w:val="auto"/>
        </w:rPr>
      </w:pPr>
    </w:p>
    <w:p>
      <w:pPr>
        <w:spacing w:after="0"/>
        <w:rPr>
          <w:sz w:val="20"/>
          <w:szCs w:val="20"/>
          <w:color w:val="auto"/>
        </w:rPr>
      </w:pPr>
      <w:r>
        <w:rPr>
          <w:rFonts w:ascii="Verdana" w:cs="Verdana" w:eastAsia="Verdana" w:hAnsi="Verdana"/>
          <w:sz w:val="14"/>
          <w:szCs w:val="14"/>
          <w:color w:val="auto"/>
        </w:rPr>
        <w:t>2026 RSU Agreement (Vivint)</w:t>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640"/>
        <w:spacing w:after="0" w:line="237" w:lineRule="auto"/>
        <w:rPr>
          <w:sz w:val="20"/>
          <w:szCs w:val="20"/>
          <w:color w:val="auto"/>
        </w:rPr>
      </w:pPr>
      <w:r>
        <w:rPr>
          <w:rFonts w:ascii="Verdana" w:cs="Verdana" w:eastAsia="Verdana" w:hAnsi="Verdana"/>
          <w:sz w:val="18"/>
          <w:szCs w:val="18"/>
          <w:color w:val="auto"/>
        </w:rPr>
        <w:t>the event of any conflict between the provisions of this Agreement and the provisions of the Plan, the terms of the Plan shall control. Capitalized terms used but not defined in this Agreement shall have the meaning assigned to them in the Plan.</w:t>
      </w:r>
    </w:p>
    <w:p>
      <w:pPr>
        <w:spacing w:after="0" w:line="168" w:lineRule="exact"/>
        <w:rPr>
          <w:sz w:val="20"/>
          <w:szCs w:val="20"/>
          <w:color w:val="auto"/>
        </w:rPr>
      </w:pPr>
    </w:p>
    <w:p>
      <w:pPr>
        <w:ind w:left="640" w:hanging="635"/>
        <w:spacing w:after="0"/>
        <w:tabs>
          <w:tab w:leader="none" w:pos="640" w:val="left"/>
        </w:tabs>
        <w:numPr>
          <w:ilvl w:val="0"/>
          <w:numId w:val="256"/>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Limitation on Rights; No Right to Future Grants</w:t>
      </w:r>
    </w:p>
    <w:p>
      <w:pPr>
        <w:spacing w:after="0" w:line="202" w:lineRule="exact"/>
        <w:rPr>
          <w:rFonts w:ascii="Verdana" w:cs="Verdana" w:eastAsia="Verdana" w:hAnsi="Verdana"/>
          <w:sz w:val="18"/>
          <w:szCs w:val="18"/>
          <w:b w:val="1"/>
          <w:bCs w:val="1"/>
          <w:color w:val="auto"/>
        </w:rPr>
      </w:pPr>
    </w:p>
    <w:p>
      <w:pPr>
        <w:jc w:val="both"/>
        <w:ind w:left="640"/>
        <w:spacing w:after="0" w:line="262" w:lineRule="auto"/>
        <w:rPr>
          <w:rFonts w:ascii="Verdana" w:cs="Verdana" w:eastAsia="Verdana" w:hAnsi="Verdana"/>
          <w:sz w:val="18"/>
          <w:szCs w:val="18"/>
          <w:b w:val="1"/>
          <w:bCs w:val="1"/>
          <w:color w:val="auto"/>
        </w:rPr>
      </w:pPr>
      <w:r>
        <w:rPr>
          <w:rFonts w:ascii="Verdana" w:cs="Verdana" w:eastAsia="Verdana" w:hAnsi="Verdana"/>
          <w:sz w:val="16"/>
          <w:szCs w:val="16"/>
          <w:color w:val="auto"/>
        </w:rPr>
        <w:t xml:space="preserve">By entering into this Agreement and accepting this Award, the Participant acknowledges that: (a) the Plan is discretionary and may be modified, suspended or terminated by the Company at any time, as provided in the Plan; </w:t>
      </w:r>
      <w:r>
        <w:rPr>
          <w:rFonts w:ascii="Verdana" w:cs="Verdana" w:eastAsia="Verdana" w:hAnsi="Verdana"/>
          <w:sz w:val="16"/>
          <w:szCs w:val="16"/>
          <w:u w:val="single" w:color="auto"/>
          <w:color w:val="auto"/>
        </w:rPr>
        <w:t>provided</w:t>
      </w:r>
      <w:r>
        <w:rPr>
          <w:rFonts w:ascii="Verdana" w:cs="Verdana" w:eastAsia="Verdana" w:hAnsi="Verdana"/>
          <w:sz w:val="16"/>
          <w:szCs w:val="16"/>
          <w:color w:val="auto"/>
        </w:rPr>
        <w:t xml:space="preserve"> that, except as provided in </w:t>
      </w:r>
      <w:r>
        <w:rPr>
          <w:rFonts w:ascii="Verdana" w:cs="Verdana" w:eastAsia="Verdana" w:hAnsi="Verdana"/>
          <w:sz w:val="16"/>
          <w:szCs w:val="16"/>
          <w:u w:val="single" w:color="auto"/>
          <w:color w:val="auto"/>
        </w:rPr>
        <w:t>Section 12</w:t>
      </w:r>
      <w:r>
        <w:rPr>
          <w:rFonts w:ascii="Verdana" w:cs="Verdana" w:eastAsia="Verdana" w:hAnsi="Verdana"/>
          <w:sz w:val="16"/>
          <w:szCs w:val="16"/>
          <w:color w:val="auto"/>
        </w:rPr>
        <w:t xml:space="preserve"> of the Plan, no amendment to this Agreement shall adversely affect in a material manner the Participant’s rights under this Agreement without his or her written consent; (b) the grant of this Award is a one- time benefit and does not create any contractual or other right to receive future grants of awards or benefits in lieu of awards; (c) all determinations with respect to any such future grants, including, but not limited to, the times when awards will be granted, the number of shares subject to each award, the award price, if any, and the time or times when each award will be settled, will be at the sole discretion of the Company; (d) participation in the Plan is voluntary; (e) the value of this Award is an extraordinary item that is outside the scope of the Participant’s employment contract, if any, unless expressly provided for in any such employment contract; (f) this Award is not part of normal or expected compensation for any purpose, including, without limitation, for calculating any benefits, severance, resignation, termination, redundancy, end of service payments, bonuses, long-service awards, pension or retirement benefits or similar payments, and the Participant will have no entitlement to compensation or damages as a consequence of any forfeiture of any portion of this Award pursuant to </w:t>
      </w:r>
      <w:r>
        <w:rPr>
          <w:rFonts w:ascii="Verdana" w:cs="Verdana" w:eastAsia="Verdana" w:hAnsi="Verdana"/>
          <w:sz w:val="16"/>
          <w:szCs w:val="16"/>
          <w:u w:val="single" w:color="auto"/>
          <w:color w:val="auto"/>
        </w:rPr>
        <w:t>Section 8</w:t>
      </w:r>
      <w:r>
        <w:rPr>
          <w:rFonts w:ascii="Verdana" w:cs="Verdana" w:eastAsia="Verdana" w:hAnsi="Verdana"/>
          <w:sz w:val="16"/>
          <w:szCs w:val="16"/>
          <w:color w:val="auto"/>
        </w:rPr>
        <w:t>; (g) the future value of the Common Stock subject to this Award is unknown and cannot be predicted with certainty; (h) neither the Plan, this Award nor the issuance of the shares of Common Stock underlying this Award confers upon the Participant any right to continue in the employ or service of (or any other relationship with) the Company or any Subsidiary, nor do they limit in any respect the right of the Company or any Subsidiary to terminate the Participant’s employment or other relationship with the Company or any Subsidiary, as the case may be, at any time with or without Cause; and (i) the grant of this Award will not be interpreted to form an employment relationship or contract with the Company or any Subsidiary.</w:t>
      </w:r>
    </w:p>
    <w:p>
      <w:pPr>
        <w:spacing w:after="0" w:line="361" w:lineRule="exact"/>
        <w:rPr>
          <w:rFonts w:ascii="Verdana" w:cs="Verdana" w:eastAsia="Verdana" w:hAnsi="Verdana"/>
          <w:sz w:val="18"/>
          <w:szCs w:val="18"/>
          <w:b w:val="1"/>
          <w:bCs w:val="1"/>
          <w:color w:val="auto"/>
        </w:rPr>
      </w:pPr>
    </w:p>
    <w:p>
      <w:pPr>
        <w:ind w:left="640" w:hanging="635"/>
        <w:spacing w:after="0"/>
        <w:tabs>
          <w:tab w:leader="none" w:pos="640" w:val="left"/>
        </w:tabs>
        <w:numPr>
          <w:ilvl w:val="0"/>
          <w:numId w:val="256"/>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General Provisions</w:t>
      </w:r>
    </w:p>
    <w:p>
      <w:pPr>
        <w:spacing w:after="0" w:line="162" w:lineRule="exact"/>
        <w:rPr>
          <w:rFonts w:ascii="Verdana" w:cs="Verdana" w:eastAsia="Verdana" w:hAnsi="Verdana"/>
          <w:sz w:val="18"/>
          <w:szCs w:val="18"/>
          <w:b w:val="1"/>
          <w:bCs w:val="1"/>
          <w:color w:val="auto"/>
        </w:rPr>
      </w:pPr>
    </w:p>
    <w:p>
      <w:pPr>
        <w:ind w:left="1260" w:hanging="623"/>
        <w:spacing w:after="0"/>
        <w:tabs>
          <w:tab w:leader="none" w:pos="1260" w:val="left"/>
        </w:tabs>
        <w:numPr>
          <w:ilvl w:val="1"/>
          <w:numId w:val="256"/>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Notice</w:t>
      </w:r>
    </w:p>
    <w:p>
      <w:pPr>
        <w:spacing w:after="0" w:line="189" w:lineRule="exact"/>
        <w:rPr>
          <w:sz w:val="20"/>
          <w:szCs w:val="20"/>
          <w:color w:val="auto"/>
        </w:rPr>
      </w:pPr>
    </w:p>
    <w:p>
      <w:pPr>
        <w:jc w:val="both"/>
        <w:ind w:left="640"/>
        <w:spacing w:after="0" w:line="233" w:lineRule="auto"/>
        <w:rPr>
          <w:sz w:val="20"/>
          <w:szCs w:val="20"/>
          <w:color w:val="auto"/>
        </w:rPr>
      </w:pPr>
      <w:r>
        <w:rPr>
          <w:rFonts w:ascii="Verdana" w:cs="Verdana" w:eastAsia="Verdana" w:hAnsi="Verdana"/>
          <w:sz w:val="18"/>
          <w:szCs w:val="18"/>
          <w:color w:val="auto"/>
        </w:rPr>
        <w:t>Whenever any notice is required or permitted hereunder, such notice must be in writing and delivered in person or by mail (to the address set forth below if notice is being delivered to the Company) or electronically. Any notice delivered in person or by mail shall be deemed to be delivered on the date on which it is personally delivered, or, whether actually received or not, on the third business day after it is deposited in the United States mail, certified or registered, postage prepaid, addressed to the person who is to receive it at the address set forth in this Agreement. Any notice delivered electronically shall be deemed to be delivered when transmitted and receipt is confirmed. Notices delivered to the Participant in person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7</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LEGAL\81339046\9</w:t>
      </w:r>
    </w:p>
    <w:p>
      <w:pPr>
        <w:spacing w:after="0" w:line="7" w:lineRule="exact"/>
        <w:rPr>
          <w:sz w:val="20"/>
          <w:szCs w:val="20"/>
          <w:color w:val="auto"/>
        </w:rPr>
      </w:pPr>
    </w:p>
    <w:p>
      <w:pPr>
        <w:spacing w:after="0"/>
        <w:rPr>
          <w:sz w:val="20"/>
          <w:szCs w:val="20"/>
          <w:color w:val="auto"/>
        </w:rPr>
      </w:pPr>
      <w:r>
        <w:rPr>
          <w:rFonts w:ascii="Verdana" w:cs="Verdana" w:eastAsia="Verdana" w:hAnsi="Verdana"/>
          <w:sz w:val="14"/>
          <w:szCs w:val="14"/>
          <w:color w:val="auto"/>
        </w:rPr>
        <w:t>2026 RSU Agreement (Vivint)</w:t>
      </w:r>
    </w:p>
    <w:p>
      <w:pPr>
        <w:sectPr>
          <w:pgSz w:w="11900" w:h="16838" w:orient="portrait"/>
          <w:cols w:equalWidth="0" w:num="1">
            <w:col w:w="11240"/>
          </w:cols>
          <w:pgMar w:left="320" w:top="1440" w:right="339" w:bottom="1440" w:gutter="0" w:footer="0" w:header="0"/>
        </w:sectPr>
      </w:pPr>
    </w:p>
    <w:bookmarkStart w:id="271" w:name="page272"/>
    <w:bookmarkEnd w:id="2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40"/>
        <w:spacing w:after="0"/>
        <w:rPr>
          <w:sz w:val="20"/>
          <w:szCs w:val="20"/>
          <w:color w:val="auto"/>
        </w:rPr>
      </w:pPr>
      <w:r>
        <w:rPr>
          <w:rFonts w:ascii="Verdana" w:cs="Verdana" w:eastAsia="Verdana" w:hAnsi="Verdana"/>
          <w:sz w:val="18"/>
          <w:szCs w:val="18"/>
          <w:color w:val="auto"/>
        </w:rPr>
        <w:t>by mail shall be addressed to the address for the Participant in the records of the Company. Notices delivered to the</w:t>
      </w:r>
    </w:p>
    <w:p>
      <w:pPr>
        <w:ind w:left="640"/>
        <w:spacing w:after="0"/>
        <w:rPr>
          <w:sz w:val="20"/>
          <w:szCs w:val="20"/>
          <w:color w:val="auto"/>
        </w:rPr>
      </w:pPr>
      <w:r>
        <w:rPr>
          <w:rFonts w:ascii="Verdana" w:cs="Verdana" w:eastAsia="Verdana" w:hAnsi="Verdana"/>
          <w:sz w:val="18"/>
          <w:szCs w:val="18"/>
          <w:color w:val="auto"/>
        </w:rPr>
        <w:t>Company in person or by mail shall be addressed as follows:</w:t>
      </w:r>
    </w:p>
    <w:p>
      <w:pPr>
        <w:sectPr>
          <w:pgSz w:w="11900" w:h="16838" w:orient="portrait"/>
          <w:cols w:equalWidth="0" w:num="1">
            <w:col w:w="11240"/>
          </w:cols>
          <w:pgMar w:left="320" w:top="1440" w:right="339" w:bottom="1440" w:gutter="0" w:footer="0" w:header="0"/>
        </w:sectPr>
      </w:pPr>
    </w:p>
    <w:p>
      <w:pPr>
        <w:spacing w:after="0" w:line="229" w:lineRule="exact"/>
        <w:rPr>
          <w:sz w:val="20"/>
          <w:szCs w:val="20"/>
          <w:color w:val="auto"/>
        </w:rPr>
      </w:pPr>
    </w:p>
    <w:p>
      <w:pPr>
        <w:ind w:left="1400"/>
        <w:spacing w:after="0"/>
        <w:rPr>
          <w:sz w:val="20"/>
          <w:szCs w:val="20"/>
          <w:color w:val="auto"/>
        </w:rPr>
      </w:pPr>
      <w:r>
        <w:rPr>
          <w:rFonts w:ascii="Verdana" w:cs="Verdana" w:eastAsia="Verdana" w:hAnsi="Verdana"/>
          <w:sz w:val="16"/>
          <w:szCs w:val="16"/>
          <w:color w:val="auto"/>
        </w:rPr>
        <w:t>Company:</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Verdana" w:cs="Verdana" w:eastAsia="Verdana" w:hAnsi="Verdana"/>
          <w:sz w:val="18"/>
          <w:szCs w:val="18"/>
          <w:color w:val="auto"/>
        </w:rPr>
        <w:t>NRG Energy, Inc.</w:t>
      </w:r>
    </w:p>
    <w:p>
      <w:pPr>
        <w:spacing w:after="0"/>
        <w:rPr>
          <w:sz w:val="20"/>
          <w:szCs w:val="20"/>
          <w:color w:val="auto"/>
        </w:rPr>
      </w:pPr>
      <w:r>
        <w:rPr>
          <w:rFonts w:ascii="Verdana" w:cs="Verdana" w:eastAsia="Verdana" w:hAnsi="Verdana"/>
          <w:sz w:val="16"/>
          <w:szCs w:val="16"/>
          <w:color w:val="auto"/>
        </w:rPr>
        <w:t>Attn: Talent &amp; Culture</w:t>
      </w:r>
    </w:p>
    <w:p>
      <w:pPr>
        <w:spacing w:after="0" w:line="8" w:lineRule="exact"/>
        <w:rPr>
          <w:sz w:val="20"/>
          <w:szCs w:val="20"/>
          <w:color w:val="auto"/>
        </w:rPr>
      </w:pPr>
    </w:p>
    <w:p>
      <w:pPr>
        <w:spacing w:after="0"/>
        <w:rPr>
          <w:sz w:val="20"/>
          <w:szCs w:val="20"/>
          <w:color w:val="auto"/>
        </w:rPr>
      </w:pPr>
      <w:r>
        <w:rPr>
          <w:rFonts w:ascii="Verdana" w:cs="Verdana" w:eastAsia="Verdana" w:hAnsi="Verdana"/>
          <w:sz w:val="18"/>
          <w:szCs w:val="18"/>
          <w:color w:val="auto"/>
        </w:rPr>
        <w:t>804 Carnegie Center</w:t>
      </w:r>
    </w:p>
    <w:p>
      <w:pPr>
        <w:spacing w:after="0"/>
        <w:rPr>
          <w:sz w:val="20"/>
          <w:szCs w:val="20"/>
          <w:color w:val="auto"/>
        </w:rPr>
      </w:pPr>
      <w:r>
        <w:rPr>
          <w:rFonts w:ascii="Verdana" w:cs="Verdana" w:eastAsia="Verdana" w:hAnsi="Verdana"/>
          <w:sz w:val="18"/>
          <w:szCs w:val="18"/>
          <w:color w:val="auto"/>
        </w:rPr>
        <w:t>Princeton, NJ 08450</w:t>
      </w:r>
    </w:p>
    <w:p>
      <w:pPr>
        <w:spacing w:after="0" w:line="110" w:lineRule="exact"/>
        <w:rPr>
          <w:sz w:val="20"/>
          <w:szCs w:val="20"/>
          <w:color w:val="auto"/>
        </w:rPr>
      </w:pPr>
    </w:p>
    <w:p>
      <w:pPr>
        <w:sectPr>
          <w:pgSz w:w="11900" w:h="16838" w:orient="portrait"/>
          <w:cols w:equalWidth="0" w:num="2">
            <w:col w:w="2780" w:space="720"/>
            <w:col w:w="7740"/>
          </w:cols>
          <w:pgMar w:left="320" w:top="1440" w:right="339" w:bottom="1440" w:gutter="0" w:footer="0" w:header="0"/>
          <w:type w:val="continuous"/>
        </w:sectPr>
      </w:pPr>
    </w:p>
    <w:p>
      <w:pPr>
        <w:ind w:left="640"/>
        <w:spacing w:after="0" w:line="241" w:lineRule="auto"/>
        <w:rPr>
          <w:sz w:val="20"/>
          <w:szCs w:val="20"/>
          <w:color w:val="auto"/>
        </w:rPr>
      </w:pPr>
      <w:r>
        <w:rPr>
          <w:rFonts w:ascii="Verdana" w:cs="Verdana" w:eastAsia="Verdana" w:hAnsi="Verdana"/>
          <w:sz w:val="18"/>
          <w:szCs w:val="18"/>
          <w:color w:val="auto"/>
        </w:rPr>
        <w:t>The Company or the Participant may change, by written notice to the other, the address previously specified for receiving notices.</w:t>
      </w:r>
    </w:p>
    <w:p>
      <w:pPr>
        <w:spacing w:after="0" w:line="166" w:lineRule="exact"/>
        <w:rPr>
          <w:sz w:val="20"/>
          <w:szCs w:val="20"/>
          <w:color w:val="auto"/>
        </w:rPr>
      </w:pPr>
    </w:p>
    <w:p>
      <w:pPr>
        <w:ind w:left="1260" w:hanging="623"/>
        <w:spacing w:after="0"/>
        <w:tabs>
          <w:tab w:leader="none" w:pos="1260" w:val="left"/>
        </w:tabs>
        <w:numPr>
          <w:ilvl w:val="0"/>
          <w:numId w:val="257"/>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No Waiver</w:t>
      </w:r>
    </w:p>
    <w:p>
      <w:pPr>
        <w:spacing w:after="0" w:line="189" w:lineRule="exact"/>
        <w:rPr>
          <w:sz w:val="20"/>
          <w:szCs w:val="20"/>
          <w:color w:val="auto"/>
        </w:rPr>
      </w:pPr>
    </w:p>
    <w:p>
      <w:pPr>
        <w:jc w:val="both"/>
        <w:ind w:left="640"/>
        <w:spacing w:after="0" w:line="237" w:lineRule="auto"/>
        <w:rPr>
          <w:sz w:val="20"/>
          <w:szCs w:val="20"/>
          <w:color w:val="auto"/>
        </w:rPr>
      </w:pPr>
      <w:r>
        <w:rPr>
          <w:rFonts w:ascii="Verdana" w:cs="Verdana" w:eastAsia="Verdana" w:hAnsi="Verdana"/>
          <w:sz w:val="18"/>
          <w:szCs w:val="18"/>
          <w:color w:val="auto"/>
        </w:rPr>
        <w:t>No waiver of any provision of this Agreement will be valid unless in writing and signed by the person against whom such waiver is sought to be enforced, nor will failure to enforce any right under this Agreement constitute a continuing waiver of the same or a waiver of any other right hereunder.</w:t>
      </w:r>
    </w:p>
    <w:p>
      <w:pPr>
        <w:spacing w:after="0" w:line="168" w:lineRule="exact"/>
        <w:rPr>
          <w:sz w:val="20"/>
          <w:szCs w:val="20"/>
          <w:color w:val="auto"/>
        </w:rPr>
      </w:pPr>
    </w:p>
    <w:p>
      <w:pPr>
        <w:ind w:left="1260" w:hanging="623"/>
        <w:spacing w:after="0"/>
        <w:tabs>
          <w:tab w:leader="none" w:pos="1260" w:val="left"/>
        </w:tabs>
        <w:numPr>
          <w:ilvl w:val="0"/>
          <w:numId w:val="258"/>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Undertaking</w:t>
      </w:r>
    </w:p>
    <w:p>
      <w:pPr>
        <w:spacing w:after="0" w:line="202" w:lineRule="exact"/>
        <w:rPr>
          <w:sz w:val="20"/>
          <w:szCs w:val="20"/>
          <w:color w:val="auto"/>
        </w:rPr>
      </w:pPr>
    </w:p>
    <w:p>
      <w:pPr>
        <w:jc w:val="both"/>
        <w:ind w:left="640"/>
        <w:spacing w:after="0" w:line="237" w:lineRule="auto"/>
        <w:rPr>
          <w:sz w:val="20"/>
          <w:szCs w:val="20"/>
          <w:color w:val="auto"/>
        </w:rPr>
      </w:pPr>
      <w:r>
        <w:rPr>
          <w:rFonts w:ascii="Verdana" w:cs="Verdana" w:eastAsia="Verdana" w:hAnsi="Verdana"/>
          <w:sz w:val="18"/>
          <w:szCs w:val="18"/>
          <w:color w:val="auto"/>
        </w:rPr>
        <w:t>The Participant hereby agrees to take whatever additional action, and execute whatever additional documents, the Company may deem necessary or advisable in order to carry out or effect one or more of the obligations or restrictions imposed on either the Participant or the Award pursuant to the express provisions of this Agreement.</w:t>
      </w:r>
    </w:p>
    <w:p>
      <w:pPr>
        <w:spacing w:after="0" w:line="168" w:lineRule="exact"/>
        <w:rPr>
          <w:sz w:val="20"/>
          <w:szCs w:val="20"/>
          <w:color w:val="auto"/>
        </w:rPr>
      </w:pPr>
    </w:p>
    <w:p>
      <w:pPr>
        <w:ind w:left="1260" w:hanging="623"/>
        <w:spacing w:after="0"/>
        <w:tabs>
          <w:tab w:leader="none" w:pos="1260" w:val="left"/>
        </w:tabs>
        <w:numPr>
          <w:ilvl w:val="0"/>
          <w:numId w:val="259"/>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Entire Contract</w:t>
      </w:r>
    </w:p>
    <w:p>
      <w:pPr>
        <w:spacing w:after="0" w:line="189" w:lineRule="exact"/>
        <w:rPr>
          <w:sz w:val="20"/>
          <w:szCs w:val="20"/>
          <w:color w:val="auto"/>
        </w:rPr>
      </w:pPr>
    </w:p>
    <w:p>
      <w:pPr>
        <w:jc w:val="both"/>
        <w:ind w:left="640"/>
        <w:spacing w:after="0" w:line="237" w:lineRule="auto"/>
        <w:rPr>
          <w:sz w:val="20"/>
          <w:szCs w:val="20"/>
          <w:color w:val="auto"/>
        </w:rPr>
      </w:pPr>
      <w:r>
        <w:rPr>
          <w:rFonts w:ascii="Verdana" w:cs="Verdana" w:eastAsia="Verdana" w:hAnsi="Verdana"/>
          <w:sz w:val="18"/>
          <w:szCs w:val="18"/>
          <w:color w:val="auto"/>
        </w:rPr>
        <w:t>This Agreement and the Plan constitute the entire contract between the parties hereto with regard to the subject matter hereof. This Agreement is made pursuant to the provisions of the Plan and will, in all respects, be construed in conformity with the express terms and provisions of the Plan.</w:t>
      </w:r>
    </w:p>
    <w:p>
      <w:pPr>
        <w:spacing w:after="0" w:line="168" w:lineRule="exact"/>
        <w:rPr>
          <w:sz w:val="20"/>
          <w:szCs w:val="20"/>
          <w:color w:val="auto"/>
        </w:rPr>
      </w:pPr>
    </w:p>
    <w:p>
      <w:pPr>
        <w:ind w:left="1260" w:hanging="623"/>
        <w:spacing w:after="0"/>
        <w:tabs>
          <w:tab w:leader="none" w:pos="1260" w:val="left"/>
        </w:tabs>
        <w:numPr>
          <w:ilvl w:val="0"/>
          <w:numId w:val="260"/>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Successors and Assigns</w:t>
      </w:r>
    </w:p>
    <w:p>
      <w:pPr>
        <w:spacing w:after="0" w:line="189" w:lineRule="exact"/>
        <w:rPr>
          <w:sz w:val="20"/>
          <w:szCs w:val="20"/>
          <w:color w:val="auto"/>
        </w:rPr>
      </w:pPr>
    </w:p>
    <w:p>
      <w:pPr>
        <w:jc w:val="both"/>
        <w:ind w:left="640"/>
        <w:spacing w:after="0" w:line="237" w:lineRule="auto"/>
        <w:rPr>
          <w:sz w:val="20"/>
          <w:szCs w:val="20"/>
          <w:color w:val="auto"/>
        </w:rPr>
      </w:pPr>
      <w:r>
        <w:rPr>
          <w:rFonts w:ascii="Verdana" w:cs="Verdana" w:eastAsia="Verdana" w:hAnsi="Verdana"/>
          <w:sz w:val="18"/>
          <w:szCs w:val="18"/>
          <w:color w:val="auto"/>
        </w:rPr>
        <w:t>The provisions of this Agreement shall inure to the benefit of, and be binding on, the Company and its successors and assigns and Participant and Participant’s legal representatives, heirs, legatees, distributees, assigns and transferees by operation of law.</w:t>
      </w:r>
    </w:p>
    <w:p>
      <w:pPr>
        <w:spacing w:after="0" w:line="168" w:lineRule="exact"/>
        <w:rPr>
          <w:sz w:val="20"/>
          <w:szCs w:val="20"/>
          <w:color w:val="auto"/>
        </w:rPr>
      </w:pPr>
    </w:p>
    <w:p>
      <w:pPr>
        <w:ind w:left="1260" w:hanging="623"/>
        <w:spacing w:after="0"/>
        <w:tabs>
          <w:tab w:leader="none" w:pos="1260" w:val="left"/>
        </w:tabs>
        <w:numPr>
          <w:ilvl w:val="0"/>
          <w:numId w:val="261"/>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Securities Law Compliance</w:t>
      </w:r>
    </w:p>
    <w:p>
      <w:pPr>
        <w:spacing w:after="0" w:line="189" w:lineRule="exact"/>
        <w:rPr>
          <w:sz w:val="20"/>
          <w:szCs w:val="20"/>
          <w:color w:val="auto"/>
        </w:rPr>
      </w:pPr>
    </w:p>
    <w:p>
      <w:pPr>
        <w:jc w:val="both"/>
        <w:ind w:left="640"/>
        <w:spacing w:after="0" w:line="270" w:lineRule="auto"/>
        <w:rPr>
          <w:sz w:val="20"/>
          <w:szCs w:val="20"/>
          <w:color w:val="auto"/>
        </w:rPr>
      </w:pPr>
      <w:r>
        <w:rPr>
          <w:rFonts w:ascii="Verdana" w:cs="Verdana" w:eastAsia="Verdana" w:hAnsi="Verdana"/>
          <w:sz w:val="16"/>
          <w:szCs w:val="16"/>
          <w:color w:val="auto"/>
        </w:rPr>
        <w:t>The Company currently has an effective registration statement on file with the Securities and Exchange Commission with respect to the shares of Common Stock underlying this Award. The Company intends to maintain this registration statement but has no obligation to the Participant to do so. If the registration statement ceases to be effective, the Participant will not be able to transfer or sell shares of Common Stock issued pursuant to this Award, unless exemptions from registration under applicable securities laws are available. Such exemptions from registration are very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8</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LEGAL\81339046\9</w:t>
      </w:r>
    </w:p>
    <w:p>
      <w:pPr>
        <w:spacing w:after="0" w:line="7" w:lineRule="exact"/>
        <w:rPr>
          <w:sz w:val="20"/>
          <w:szCs w:val="20"/>
          <w:color w:val="auto"/>
        </w:rPr>
      </w:pPr>
    </w:p>
    <w:p>
      <w:pPr>
        <w:spacing w:after="0"/>
        <w:rPr>
          <w:sz w:val="20"/>
          <w:szCs w:val="20"/>
          <w:color w:val="auto"/>
        </w:rPr>
      </w:pPr>
      <w:r>
        <w:rPr>
          <w:rFonts w:ascii="Verdana" w:cs="Verdana" w:eastAsia="Verdana" w:hAnsi="Verdana"/>
          <w:sz w:val="14"/>
          <w:szCs w:val="14"/>
          <w:color w:val="auto"/>
        </w:rPr>
        <w:t>2026 RSU Agreement (Vivint)</w:t>
      </w:r>
    </w:p>
    <w:p>
      <w:pPr>
        <w:sectPr>
          <w:pgSz w:w="11900" w:h="16838" w:orient="portrait"/>
          <w:cols w:equalWidth="0" w:num="1">
            <w:col w:w="11240"/>
          </w:cols>
          <w:pgMar w:left="320" w:top="1440" w:right="339" w:bottom="1440" w:gutter="0" w:footer="0" w:header="0"/>
          <w:type w:val="continuous"/>
        </w:sectPr>
      </w:pPr>
    </w:p>
    <w:bookmarkStart w:id="272" w:name="page273"/>
    <w:bookmarkEnd w:id="2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640"/>
        <w:spacing w:after="0" w:line="233" w:lineRule="auto"/>
        <w:rPr>
          <w:sz w:val="20"/>
          <w:szCs w:val="20"/>
          <w:color w:val="auto"/>
        </w:rPr>
      </w:pPr>
      <w:r>
        <w:rPr>
          <w:rFonts w:ascii="Verdana" w:cs="Verdana" w:eastAsia="Verdana" w:hAnsi="Verdana"/>
          <w:sz w:val="18"/>
          <w:szCs w:val="18"/>
          <w:color w:val="auto"/>
        </w:rPr>
        <w:t>limited and might be unavailable. Participant agrees that any resale of the shares of Common Stock issued pursuant to this Award shall comply in all respects with the requirements of all applicable securities laws, rules and regulations (including, without limitation, the provisions of the Securities Act of 1933, the Securities Exchange Act of 1934 and the respective rules and regulations promulgated thereunder) and any other law, rule or regulation applicable thereto, as such laws, rules, and regulations may be amended from time to time. The Company shall not be obligated to either issue shares of Common Stock or permit the resale of any such shares if such issuance or resale would violate any such requirements.</w:t>
      </w:r>
    </w:p>
    <w:p>
      <w:pPr>
        <w:spacing w:after="0" w:line="171" w:lineRule="exact"/>
        <w:rPr>
          <w:sz w:val="20"/>
          <w:szCs w:val="20"/>
          <w:color w:val="auto"/>
        </w:rPr>
      </w:pPr>
    </w:p>
    <w:p>
      <w:pPr>
        <w:ind w:left="1260" w:hanging="623"/>
        <w:spacing w:after="0"/>
        <w:tabs>
          <w:tab w:leader="none" w:pos="1260" w:val="left"/>
        </w:tabs>
        <w:numPr>
          <w:ilvl w:val="0"/>
          <w:numId w:val="262"/>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Taxes</w:t>
      </w:r>
    </w:p>
    <w:p>
      <w:pPr>
        <w:spacing w:after="0" w:line="202" w:lineRule="exact"/>
        <w:rPr>
          <w:sz w:val="20"/>
          <w:szCs w:val="20"/>
          <w:color w:val="auto"/>
        </w:rPr>
      </w:pPr>
    </w:p>
    <w:p>
      <w:pPr>
        <w:jc w:val="both"/>
        <w:ind w:left="640"/>
        <w:spacing w:after="0" w:line="232" w:lineRule="auto"/>
        <w:rPr>
          <w:sz w:val="20"/>
          <w:szCs w:val="20"/>
          <w:color w:val="auto"/>
        </w:rPr>
      </w:pPr>
      <w:r>
        <w:rPr>
          <w:rFonts w:ascii="Verdana" w:cs="Verdana" w:eastAsia="Verdana" w:hAnsi="Verdana"/>
          <w:sz w:val="18"/>
          <w:szCs w:val="18"/>
          <w:color w:val="auto"/>
        </w:rPr>
        <w:t>The Participant acknowledges that the vesting, earning, and settlement of the RSUs will give rise to a withholding tax liability and that no shares of Common Stock are issuable hereunder until such withholding obligation is satisfied in full. The Participant agrees to remit to the Company the amount of any taxes required to be withheld. The Committee may, in its sole discretion, require or permit the Participant to satisfy all or part of such tax obligation, and the Participant agrees to cooperate with the Committee or Company in any such action, by (i) withholding the number of shares of Common Stock otherwise issuable to the Participant hereunder which shall be retained by the Company, (ii) a “sell-to-cover” arrangement whereby the number of shares of Common Stock otherwise issuable to the Participant is sold on behalf of the Participant, and/or (iii) the Participant transferring to the Company unrestricted shares of Common Stock previously owned by the Participant that have a Fair Market Value equal to the amount of the withholding to be credited. Such withholding obligation value shall be based on the Fair Market Value of the Common Stock as of the date the amount of tax to be withheld is determined.</w:t>
      </w:r>
    </w:p>
    <w:p>
      <w:pPr>
        <w:spacing w:after="0" w:line="174" w:lineRule="exact"/>
        <w:rPr>
          <w:sz w:val="20"/>
          <w:szCs w:val="20"/>
          <w:color w:val="auto"/>
        </w:rPr>
      </w:pPr>
    </w:p>
    <w:p>
      <w:pPr>
        <w:ind w:left="1260" w:hanging="623"/>
        <w:spacing w:after="0"/>
        <w:tabs>
          <w:tab w:leader="none" w:pos="1260" w:val="left"/>
        </w:tabs>
        <w:numPr>
          <w:ilvl w:val="0"/>
          <w:numId w:val="263"/>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Governing Law</w:t>
      </w:r>
    </w:p>
    <w:p>
      <w:pPr>
        <w:spacing w:after="0" w:line="189" w:lineRule="exact"/>
        <w:rPr>
          <w:sz w:val="20"/>
          <w:szCs w:val="20"/>
          <w:color w:val="auto"/>
        </w:rPr>
      </w:pPr>
    </w:p>
    <w:p>
      <w:pPr>
        <w:ind w:left="640"/>
        <w:spacing w:after="0" w:line="241" w:lineRule="auto"/>
        <w:rPr>
          <w:sz w:val="20"/>
          <w:szCs w:val="20"/>
          <w:color w:val="auto"/>
        </w:rPr>
      </w:pPr>
      <w:r>
        <w:rPr>
          <w:rFonts w:ascii="Verdana" w:cs="Verdana" w:eastAsia="Verdana" w:hAnsi="Verdana"/>
          <w:sz w:val="18"/>
          <w:szCs w:val="18"/>
          <w:color w:val="auto"/>
        </w:rPr>
        <w:t>Except as may otherwise be provided in the Plan, the provisions of this Agreement shall be governed by the laws of the State of Delaware without giving effect to principles of conflicts of law.</w:t>
      </w:r>
    </w:p>
    <w:p>
      <w:pPr>
        <w:spacing w:after="0" w:line="166" w:lineRule="exact"/>
        <w:rPr>
          <w:sz w:val="20"/>
          <w:szCs w:val="20"/>
          <w:color w:val="auto"/>
        </w:rPr>
      </w:pPr>
    </w:p>
    <w:p>
      <w:pPr>
        <w:ind w:left="1260" w:hanging="623"/>
        <w:spacing w:after="0"/>
        <w:tabs>
          <w:tab w:leader="none" w:pos="1260" w:val="left"/>
        </w:tabs>
        <w:numPr>
          <w:ilvl w:val="0"/>
          <w:numId w:val="264"/>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Code Section 409A Compliance</w:t>
      </w:r>
    </w:p>
    <w:p>
      <w:pPr>
        <w:spacing w:after="0" w:line="189" w:lineRule="exact"/>
        <w:rPr>
          <w:sz w:val="20"/>
          <w:szCs w:val="20"/>
          <w:color w:val="auto"/>
        </w:rPr>
      </w:pPr>
    </w:p>
    <w:p>
      <w:pPr>
        <w:jc w:val="both"/>
        <w:ind w:left="640"/>
        <w:spacing w:after="0" w:line="234" w:lineRule="auto"/>
        <w:rPr>
          <w:sz w:val="20"/>
          <w:szCs w:val="20"/>
          <w:color w:val="auto"/>
        </w:rPr>
      </w:pPr>
      <w:r>
        <w:rPr>
          <w:rFonts w:ascii="Verdana" w:cs="Verdana" w:eastAsia="Verdana" w:hAnsi="Verdana"/>
          <w:sz w:val="18"/>
          <w:szCs w:val="18"/>
          <w:color w:val="auto"/>
        </w:rPr>
        <w:t>To the extent that the Committee determines that the Award granted under this Agreement is subject to Section 409A of the Code and fails to comply with the requirements of such Section, notwithstanding anything to the contrary contained in the Plan or in this Agreement, the Committee reserves the right to amend, restructure, terminate or replace this Award in order to cause the Award to either not be subject to Section 409A of the Code or comply with the applicable provisions of such Section.</w:t>
      </w:r>
    </w:p>
    <w:p>
      <w:pPr>
        <w:spacing w:after="0" w:line="197"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9</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LEGAL\81339046\9</w:t>
      </w:r>
    </w:p>
    <w:p>
      <w:pPr>
        <w:spacing w:after="0" w:line="7" w:lineRule="exact"/>
        <w:rPr>
          <w:sz w:val="20"/>
          <w:szCs w:val="20"/>
          <w:color w:val="auto"/>
        </w:rPr>
      </w:pPr>
    </w:p>
    <w:p>
      <w:pPr>
        <w:spacing w:after="0"/>
        <w:rPr>
          <w:sz w:val="20"/>
          <w:szCs w:val="20"/>
          <w:color w:val="auto"/>
        </w:rPr>
      </w:pPr>
      <w:r>
        <w:rPr>
          <w:rFonts w:ascii="Verdana" w:cs="Verdana" w:eastAsia="Verdana" w:hAnsi="Verdana"/>
          <w:sz w:val="14"/>
          <w:szCs w:val="14"/>
          <w:color w:val="auto"/>
        </w:rPr>
        <w:t>2026 RSU Agreement (Vivint)</w:t>
      </w:r>
    </w:p>
    <w:p>
      <w:pPr>
        <w:sectPr>
          <w:pgSz w:w="11900" w:h="16838" w:orient="portrait"/>
          <w:cols w:equalWidth="0" w:num="1">
            <w:col w:w="11240"/>
          </w:cols>
          <w:pgMar w:left="320" w:top="1440" w:right="339" w:bottom="1440" w:gutter="0" w:footer="0" w:header="0"/>
        </w:sectPr>
      </w:pPr>
    </w:p>
    <w:bookmarkStart w:id="273" w:name="page274"/>
    <w:bookmarkEnd w:id="2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Verdana" w:cs="Verdana" w:eastAsia="Verdana" w:hAnsi="Verdana"/>
          <w:sz w:val="18"/>
          <w:szCs w:val="18"/>
          <w:color w:val="auto"/>
        </w:rPr>
        <w:t>IN WITNESS WHEREOF, this Agreement has been executed as of the Date of Grant.</w:t>
      </w:r>
    </w:p>
    <w:p>
      <w:pPr>
        <w:spacing w:after="0" w:line="229" w:lineRule="exact"/>
        <w:rPr>
          <w:sz w:val="20"/>
          <w:szCs w:val="20"/>
          <w:color w:val="auto"/>
        </w:rPr>
      </w:pPr>
    </w:p>
    <w:p>
      <w:pPr>
        <w:ind w:left="3160"/>
        <w:spacing w:after="0"/>
        <w:rPr>
          <w:sz w:val="20"/>
          <w:szCs w:val="20"/>
          <w:color w:val="auto"/>
        </w:rPr>
      </w:pPr>
      <w:r>
        <w:rPr>
          <w:rFonts w:ascii="Verdana" w:cs="Verdana" w:eastAsia="Verdana" w:hAnsi="Verdana"/>
          <w:sz w:val="18"/>
          <w:szCs w:val="18"/>
          <w:b w:val="1"/>
          <w:bCs w:val="1"/>
          <w:color w:val="auto"/>
        </w:rPr>
        <w:t>NRG ENERGY, INC.</w:t>
      </w:r>
    </w:p>
    <w:p>
      <w:pPr>
        <w:spacing w:after="0" w:line="5" w:lineRule="exact"/>
        <w:rPr>
          <w:sz w:val="20"/>
          <w:szCs w:val="20"/>
          <w:color w:val="auto"/>
        </w:rPr>
      </w:pPr>
    </w:p>
    <w:tbl>
      <w:tblPr>
        <w:tblLayout w:type="fixed"/>
        <w:tblInd w:w="3100" w:type="dxa"/>
        <w:tblCellMar>
          <w:top w:w="0" w:type="dxa"/>
          <w:left w:w="0" w:type="dxa"/>
          <w:bottom w:w="0" w:type="dxa"/>
          <w:right w:w="0" w:type="dxa"/>
        </w:tblCellMar>
      </w:tblPr>
      <w:tr>
        <w:trPr>
          <w:trHeight w:val="229"/>
        </w:trPr>
        <w:tc>
          <w:tcPr>
            <w:tcW w:w="840" w:type="dxa"/>
            <w:vAlign w:val="bottom"/>
            <w:vMerge w:val="restart"/>
          </w:tcPr>
          <w:p>
            <w:pPr>
              <w:spacing w:after="0"/>
              <w:rPr>
                <w:sz w:val="20"/>
                <w:szCs w:val="20"/>
                <w:color w:val="auto"/>
              </w:rPr>
            </w:pPr>
            <w:r>
              <w:rPr>
                <w:rFonts w:ascii="Verdana" w:cs="Verdana" w:eastAsia="Verdana" w:hAnsi="Verdana"/>
                <w:sz w:val="18"/>
                <w:szCs w:val="18"/>
                <w:color w:val="auto"/>
              </w:rPr>
              <w:t>Name:</w:t>
            </w:r>
          </w:p>
        </w:tc>
        <w:tc>
          <w:tcPr>
            <w:tcW w:w="3840" w:type="dxa"/>
            <w:vAlign w:val="bottom"/>
            <w:tcBorders>
              <w:bottom w:val="single" w:sz="8" w:color="auto"/>
            </w:tcBorders>
          </w:tcPr>
          <w:p>
            <w:pPr>
              <w:ind w:left="180"/>
              <w:spacing w:after="0"/>
              <w:rPr>
                <w:sz w:val="20"/>
                <w:szCs w:val="20"/>
                <w:color w:val="auto"/>
              </w:rPr>
            </w:pPr>
            <w:r>
              <w:rPr>
                <w:rFonts w:ascii="Verdana" w:cs="Verdana" w:eastAsia="Verdana" w:hAnsi="Verdana"/>
                <w:sz w:val="18"/>
                <w:szCs w:val="18"/>
                <w:color w:val="auto"/>
              </w:rPr>
              <w:t>/s/ Lawrence Coben</w:t>
            </w:r>
          </w:p>
        </w:tc>
        <w:tc>
          <w:tcPr>
            <w:tcW w:w="0" w:type="dxa"/>
            <w:vAlign w:val="bottom"/>
          </w:tcPr>
          <w:p>
            <w:pPr>
              <w:spacing w:after="0"/>
              <w:rPr>
                <w:sz w:val="1"/>
                <w:szCs w:val="1"/>
                <w:color w:val="auto"/>
              </w:rPr>
            </w:pPr>
          </w:p>
        </w:tc>
      </w:tr>
      <w:tr>
        <w:trPr>
          <w:trHeight w:val="212"/>
        </w:trPr>
        <w:tc>
          <w:tcPr>
            <w:tcW w:w="840" w:type="dxa"/>
            <w:vAlign w:val="bottom"/>
            <w:vMerge w:val="continue"/>
          </w:tcPr>
          <w:p>
            <w:pPr>
              <w:spacing w:after="0"/>
              <w:rPr>
                <w:sz w:val="18"/>
                <w:szCs w:val="18"/>
                <w:color w:val="auto"/>
              </w:rPr>
            </w:pPr>
          </w:p>
        </w:tc>
        <w:tc>
          <w:tcPr>
            <w:tcW w:w="3840" w:type="dxa"/>
            <w:vAlign w:val="bottom"/>
            <w:tcBorders>
              <w:bottom w:val="single" w:sz="8" w:color="auto"/>
            </w:tcBorders>
          </w:tcPr>
          <w:p>
            <w:pPr>
              <w:ind w:left="80"/>
              <w:spacing w:after="0" w:line="212" w:lineRule="exact"/>
              <w:rPr>
                <w:sz w:val="20"/>
                <w:szCs w:val="20"/>
                <w:color w:val="auto"/>
              </w:rPr>
            </w:pPr>
            <w:r>
              <w:rPr>
                <w:rFonts w:ascii="Verdana" w:cs="Verdana" w:eastAsia="Verdana" w:hAnsi="Verdana"/>
                <w:sz w:val="18"/>
                <w:szCs w:val="18"/>
                <w:color w:val="auto"/>
              </w:rPr>
              <w:t>Lawrence Coben</w:t>
            </w:r>
          </w:p>
        </w:tc>
        <w:tc>
          <w:tcPr>
            <w:tcW w:w="0" w:type="dxa"/>
            <w:vAlign w:val="bottom"/>
          </w:tcPr>
          <w:p>
            <w:pPr>
              <w:spacing w:after="0"/>
              <w:rPr>
                <w:sz w:val="1"/>
                <w:szCs w:val="1"/>
                <w:color w:val="auto"/>
              </w:rPr>
            </w:pPr>
          </w:p>
        </w:tc>
      </w:tr>
      <w:tr>
        <w:trPr>
          <w:trHeight w:val="222"/>
        </w:trPr>
        <w:tc>
          <w:tcPr>
            <w:tcW w:w="840" w:type="dxa"/>
            <w:vAlign w:val="bottom"/>
          </w:tcPr>
          <w:p>
            <w:pPr>
              <w:spacing w:after="0" w:line="208" w:lineRule="exact"/>
              <w:rPr>
                <w:sz w:val="20"/>
                <w:szCs w:val="20"/>
                <w:color w:val="auto"/>
              </w:rPr>
            </w:pPr>
            <w:r>
              <w:rPr>
                <w:rFonts w:ascii="Verdana" w:cs="Verdana" w:eastAsia="Verdana" w:hAnsi="Verdana"/>
                <w:sz w:val="18"/>
                <w:szCs w:val="18"/>
                <w:color w:val="auto"/>
              </w:rPr>
              <w:t>Title:</w:t>
            </w:r>
          </w:p>
        </w:tc>
        <w:tc>
          <w:tcPr>
            <w:tcW w:w="3840" w:type="dxa"/>
            <w:vAlign w:val="bottom"/>
            <w:tcBorders>
              <w:bottom w:val="single" w:sz="8" w:color="auto"/>
            </w:tcBorders>
          </w:tcPr>
          <w:p>
            <w:pPr>
              <w:ind w:left="80"/>
              <w:spacing w:after="0"/>
              <w:rPr>
                <w:sz w:val="20"/>
                <w:szCs w:val="20"/>
                <w:color w:val="auto"/>
              </w:rPr>
            </w:pPr>
            <w:r>
              <w:rPr>
                <w:rFonts w:ascii="Verdana" w:cs="Verdana" w:eastAsia="Verdana" w:hAnsi="Verdana"/>
                <w:sz w:val="18"/>
                <w:szCs w:val="18"/>
                <w:color w:val="auto"/>
              </w:rPr>
              <w:t>President &amp; CEO</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LEGAL\81339046\9</w:t>
      </w:r>
    </w:p>
    <w:p>
      <w:pPr>
        <w:spacing w:after="0"/>
        <w:rPr>
          <w:sz w:val="20"/>
          <w:szCs w:val="20"/>
          <w:color w:val="auto"/>
        </w:rPr>
      </w:pPr>
      <w:r>
        <w:rPr>
          <w:rFonts w:ascii="Verdana" w:cs="Verdana" w:eastAsia="Verdana" w:hAnsi="Verdana"/>
          <w:sz w:val="14"/>
          <w:szCs w:val="14"/>
          <w:color w:val="auto"/>
        </w:rPr>
        <w:t>2026 RSU Agreement (Vivint)</w:t>
      </w:r>
    </w:p>
    <w:p>
      <w:pPr>
        <w:sectPr>
          <w:pgSz w:w="11900" w:h="16838" w:orient="portrait"/>
          <w:cols w:equalWidth="0" w:num="1">
            <w:col w:w="10139"/>
          </w:cols>
          <w:pgMar w:left="320" w:top="1440" w:right="1440" w:bottom="1440" w:gutter="0" w:footer="0" w:header="0"/>
        </w:sectPr>
      </w:pPr>
    </w:p>
    <w:bookmarkStart w:id="274" w:name="page275"/>
    <w:bookmarkEnd w:id="274"/>
    <w:p>
      <w:pPr>
        <w:ind w:left="20" w:right="1200"/>
        <w:spacing w:after="0" w:line="250" w:lineRule="auto"/>
        <w:rPr>
          <w:sz w:val="20"/>
          <w:szCs w:val="20"/>
          <w:color w:val="auto"/>
        </w:rPr>
      </w:pPr>
      <w:r>
        <w:rPr>
          <w:rFonts w:ascii="Verdana" w:cs="Verdana" w:eastAsia="Verdana" w:hAnsi="Verdana"/>
          <w:sz w:val="28"/>
          <w:szCs w:val="28"/>
          <w:b w:val="1"/>
          <w:bCs w:val="1"/>
          <w:color w:val="auto"/>
        </w:rPr>
        <w:t>NRG ENERGY, INC. 2020 OMNIBUS INCENTIVE PLAN (LEGACY VIVINT)NOTICE OF RELATIVE PERFORMANCE STOCK UNITS</w:t>
      </w:r>
    </w:p>
    <w:p>
      <w:pPr>
        <w:jc w:val="right"/>
        <w:spacing w:after="0" w:line="234" w:lineRule="auto"/>
        <w:rPr>
          <w:sz w:val="20"/>
          <w:szCs w:val="20"/>
          <w:color w:val="auto"/>
        </w:rPr>
      </w:pPr>
      <w:r>
        <w:rPr>
          <w:rFonts w:ascii="Verdana" w:cs="Verdana" w:eastAsia="Verdana" w:hAnsi="Verdana"/>
          <w:sz w:val="28"/>
          <w:szCs w:val="28"/>
          <w:b w:val="1"/>
          <w:bCs w:val="1"/>
          <w:color w:val="auto"/>
        </w:rPr>
        <w:t>Exhibit 10.22</w:t>
      </w:r>
    </w:p>
    <w:p>
      <w:pPr>
        <w:spacing w:after="0" w:line="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%%FIRST_NAME_LAST_NAME%-%</w:t>
      </w:r>
    </w:p>
    <w:p>
      <w:pPr>
        <w:spacing w:after="0" w:line="22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%%ADDRESS_LINE_1%-%</w:t>
      </w:r>
    </w:p>
    <w:p>
      <w:pPr>
        <w:spacing w:after="0" w:line="24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%%ADDRESS_LINE_2%-%</w:t>
      </w:r>
    </w:p>
    <w:p>
      <w:pPr>
        <w:spacing w:after="0" w:line="22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%%CITY_STATE_ZIPCODE%-%</w:t>
      </w:r>
    </w:p>
    <w:p>
      <w:pPr>
        <w:spacing w:after="0" w:line="200" w:lineRule="exact"/>
        <w:rPr>
          <w:sz w:val="20"/>
          <w:szCs w:val="20"/>
          <w:color w:val="auto"/>
        </w:rPr>
      </w:pPr>
    </w:p>
    <w:p>
      <w:pPr>
        <w:spacing w:after="0" w:line="305" w:lineRule="exact"/>
        <w:rPr>
          <w:sz w:val="20"/>
          <w:szCs w:val="20"/>
          <w:color w:val="auto"/>
        </w:rPr>
      </w:pPr>
    </w:p>
    <w:p>
      <w:pPr>
        <w:jc w:val="both"/>
        <w:ind w:right="240"/>
        <w:spacing w:after="0" w:line="233" w:lineRule="auto"/>
        <w:rPr>
          <w:sz w:val="20"/>
          <w:szCs w:val="20"/>
          <w:color w:val="auto"/>
        </w:rPr>
      </w:pPr>
      <w:r>
        <w:rPr>
          <w:rFonts w:ascii="Verdana" w:cs="Verdana" w:eastAsia="Verdana" w:hAnsi="Verdana"/>
          <w:sz w:val="18"/>
          <w:szCs w:val="18"/>
          <w:color w:val="auto"/>
        </w:rPr>
        <w:t>Congratulations on your selection as a Participant under the NRG Energy, INC. 2020 Omnibus Incentive Plan (Legacy Vivint) (“</w:t>
      </w:r>
      <w:r>
        <w:rPr>
          <w:rFonts w:ascii="Verdana" w:cs="Verdana" w:eastAsia="Verdana" w:hAnsi="Verdana"/>
          <w:sz w:val="18"/>
          <w:szCs w:val="18"/>
          <w:u w:val="single" w:color="auto"/>
          <w:color w:val="auto"/>
        </w:rPr>
        <w:t>Plan</w:t>
      </w:r>
      <w:r>
        <w:rPr>
          <w:rFonts w:ascii="Verdana" w:cs="Verdana" w:eastAsia="Verdana" w:hAnsi="Verdana"/>
          <w:sz w:val="18"/>
          <w:szCs w:val="18"/>
          <w:color w:val="auto"/>
        </w:rPr>
        <w:t>”). This Notice of Relative Performance Stock Units (the “</w:t>
      </w:r>
      <w:r>
        <w:rPr>
          <w:rFonts w:ascii="Verdana" w:cs="Verdana" w:eastAsia="Verdana" w:hAnsi="Verdana"/>
          <w:sz w:val="18"/>
          <w:szCs w:val="18"/>
          <w:u w:val="single" w:color="auto"/>
          <w:color w:val="auto"/>
        </w:rPr>
        <w:t>Grant Notice</w:t>
      </w:r>
      <w:r>
        <w:rPr>
          <w:rFonts w:ascii="Verdana" w:cs="Verdana" w:eastAsia="Verdana" w:hAnsi="Verdana"/>
          <w:sz w:val="18"/>
          <w:szCs w:val="18"/>
          <w:color w:val="auto"/>
        </w:rPr>
        <w:t>”) and the attached Relative Performance Stock Unit Agreement (collectively referred to as the “</w:t>
      </w:r>
      <w:r>
        <w:rPr>
          <w:rFonts w:ascii="Verdana" w:cs="Verdana" w:eastAsia="Verdana" w:hAnsi="Verdana"/>
          <w:sz w:val="18"/>
          <w:szCs w:val="18"/>
          <w:u w:val="single" w:color="auto"/>
          <w:color w:val="auto"/>
        </w:rPr>
        <w:t>Agreement</w:t>
      </w:r>
      <w:r>
        <w:rPr>
          <w:rFonts w:ascii="Verdana" w:cs="Verdana" w:eastAsia="Verdana" w:hAnsi="Verdana"/>
          <w:sz w:val="18"/>
          <w:szCs w:val="18"/>
          <w:color w:val="auto"/>
        </w:rPr>
        <w:t>”) constitute an agreement between you and NRG Energy, Inc. (the “</w:t>
      </w:r>
      <w:r>
        <w:rPr>
          <w:rFonts w:ascii="Verdana" w:cs="Verdana" w:eastAsia="Verdana" w:hAnsi="Verdana"/>
          <w:sz w:val="18"/>
          <w:szCs w:val="18"/>
          <w:u w:val="single" w:color="auto"/>
          <w:color w:val="auto"/>
        </w:rPr>
        <w:t>Company</w:t>
      </w:r>
      <w:r>
        <w:rPr>
          <w:rFonts w:ascii="Verdana" w:cs="Verdana" w:eastAsia="Verdana" w:hAnsi="Verdana"/>
          <w:sz w:val="18"/>
          <w:szCs w:val="18"/>
          <w:color w:val="auto"/>
        </w:rPr>
        <w:t xml:space="preserve">”) pursuant to </w:t>
      </w:r>
      <w:r>
        <w:rPr>
          <w:rFonts w:ascii="Verdana" w:cs="Verdana" w:eastAsia="Verdana" w:hAnsi="Verdana"/>
          <w:sz w:val="18"/>
          <w:szCs w:val="18"/>
          <w:u w:val="single" w:color="auto"/>
          <w:color w:val="auto"/>
        </w:rPr>
        <w:t>Section 9</w:t>
      </w:r>
      <w:r>
        <w:rPr>
          <w:rFonts w:ascii="Verdana" w:cs="Verdana" w:eastAsia="Verdana" w:hAnsi="Verdana"/>
          <w:sz w:val="18"/>
          <w:szCs w:val="18"/>
          <w:color w:val="auto"/>
        </w:rPr>
        <w:t xml:space="preserve"> of the Plan. In the event of any inconsistency between the terms of this Agreement and the terms of the Plan, the Plan’s terms shall supersede and replace the conflicting terms of this Agreement. Capitalized terms used but not defined in this Agreement shall have the meaning assigned to them in the Plan. You are sometimes referred to as the “</w:t>
      </w:r>
      <w:r>
        <w:rPr>
          <w:rFonts w:ascii="Verdana" w:cs="Verdana" w:eastAsia="Verdana" w:hAnsi="Verdana"/>
          <w:sz w:val="18"/>
          <w:szCs w:val="18"/>
          <w:u w:val="single" w:color="auto"/>
          <w:color w:val="auto"/>
        </w:rPr>
        <w:t>Participant</w:t>
      </w:r>
      <w:r>
        <w:rPr>
          <w:rFonts w:ascii="Verdana" w:cs="Verdana" w:eastAsia="Verdana" w:hAnsi="Verdana"/>
          <w:sz w:val="18"/>
          <w:szCs w:val="18"/>
          <w:color w:val="auto"/>
        </w:rPr>
        <w:t>” in this Agreement.</w:t>
      </w:r>
    </w:p>
    <w:p>
      <w:pPr>
        <w:spacing w:after="0" w:line="198"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%%FIRST_NAME_LAST_NAME%-%</w:t>
      </w: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Verdana" w:cs="Verdana" w:eastAsia="Verdana" w:hAnsi="Verdana"/>
          <w:sz w:val="18"/>
          <w:szCs w:val="18"/>
          <w:color w:val="auto"/>
        </w:rPr>
        <w:t>is hereby granted Relative Performance Stock Units (“</w:t>
      </w:r>
      <w:r>
        <w:rPr>
          <w:rFonts w:ascii="Verdana" w:cs="Verdana" w:eastAsia="Verdana" w:hAnsi="Verdana"/>
          <w:sz w:val="18"/>
          <w:szCs w:val="18"/>
          <w:u w:val="single" w:color="auto"/>
          <w:color w:val="auto"/>
        </w:rPr>
        <w:t>RPSUs</w:t>
      </w:r>
      <w:r>
        <w:rPr>
          <w:rFonts w:ascii="Verdana" w:cs="Verdana" w:eastAsia="Verdana" w:hAnsi="Verdana"/>
          <w:sz w:val="18"/>
          <w:szCs w:val="18"/>
          <w:color w:val="auto"/>
        </w:rPr>
        <w:t>”) as follows:</w:t>
      </w:r>
    </w:p>
    <w:p>
      <w:pPr>
        <w:sectPr>
          <w:pgSz w:w="11900" w:h="16838" w:orient="portrait"/>
          <w:cols w:equalWidth="0" w:num="1">
            <w:col w:w="10980"/>
          </w:cols>
          <w:pgMar w:left="580" w:top="1224" w:right="339" w:bottom="1440" w:gutter="0" w:footer="0" w:header="0"/>
        </w:sectPr>
      </w:pPr>
    </w:p>
    <w:p>
      <w:pPr>
        <w:spacing w:after="0" w:line="294" w:lineRule="exact"/>
        <w:rPr>
          <w:sz w:val="20"/>
          <w:szCs w:val="20"/>
          <w:color w:val="auto"/>
        </w:rPr>
      </w:pPr>
    </w:p>
    <w:p>
      <w:pPr>
        <w:ind w:left="80"/>
        <w:spacing w:after="0"/>
        <w:rPr>
          <w:sz w:val="20"/>
          <w:szCs w:val="20"/>
          <w:color w:val="auto"/>
        </w:rPr>
      </w:pPr>
      <w:r>
        <w:rPr>
          <w:rFonts w:ascii="Verdana" w:cs="Verdana" w:eastAsia="Verdana" w:hAnsi="Verdana"/>
          <w:sz w:val="16"/>
          <w:szCs w:val="16"/>
          <w:color w:val="auto"/>
        </w:rPr>
        <w:t>Date of Grant:</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%%OPTION_DATE,’Month DD, YYYY’%-%</w:t>
      </w:r>
    </w:p>
    <w:p>
      <w:pPr>
        <w:spacing w:after="0" w:line="174" w:lineRule="exact"/>
        <w:rPr>
          <w:sz w:val="20"/>
          <w:szCs w:val="20"/>
          <w:color w:val="auto"/>
        </w:rPr>
      </w:pPr>
    </w:p>
    <w:p>
      <w:pPr>
        <w:sectPr>
          <w:pgSz w:w="11900" w:h="16838" w:orient="portrait"/>
          <w:cols w:equalWidth="0" w:num="2">
            <w:col w:w="2500" w:space="720"/>
            <w:col w:w="7760"/>
          </w:cols>
          <w:pgMar w:left="580" w:top="1224" w:right="339" w:bottom="1440" w:gutter="0" w:footer="0" w:header="0"/>
          <w:type w:val="continuous"/>
        </w:sectPr>
      </w:pPr>
    </w:p>
    <w:p>
      <w:pPr>
        <w:ind w:left="80"/>
        <w:spacing w:after="0"/>
        <w:rPr>
          <w:sz w:val="20"/>
          <w:szCs w:val="20"/>
          <w:color w:val="auto"/>
        </w:rPr>
      </w:pPr>
      <w:r>
        <w:rPr>
          <w:rFonts w:ascii="Verdana" w:cs="Verdana" w:eastAsia="Verdana" w:hAnsi="Verdana"/>
          <w:sz w:val="16"/>
          <w:szCs w:val="16"/>
          <w:color w:val="auto"/>
        </w:rPr>
        <w:t>Performance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Verdana" w:cs="Verdana" w:eastAsia="Verdana" w:hAnsi="Verdana"/>
          <w:sz w:val="16"/>
          <w:szCs w:val="16"/>
          <w:color w:val="auto"/>
        </w:rPr>
        <w:t>January 2, 2025 through January 2, 2028</w:t>
      </w:r>
    </w:p>
    <w:p>
      <w:pPr>
        <w:spacing w:after="0" w:line="174" w:lineRule="exact"/>
        <w:rPr>
          <w:sz w:val="20"/>
          <w:szCs w:val="20"/>
          <w:color w:val="auto"/>
        </w:rPr>
      </w:pPr>
    </w:p>
    <w:p>
      <w:pPr>
        <w:sectPr>
          <w:pgSz w:w="11900" w:h="16838" w:orient="portrait"/>
          <w:cols w:equalWidth="0" w:num="2">
            <w:col w:w="2500" w:space="720"/>
            <w:col w:w="7760"/>
          </w:cols>
          <w:pgMar w:left="580" w:top="1224" w:right="339" w:bottom="1440" w:gutter="0" w:footer="0" w:header="0"/>
          <w:type w:val="continuous"/>
        </w:sectPr>
      </w:pPr>
    </w:p>
    <w:p>
      <w:pPr>
        <w:ind w:left="80"/>
        <w:spacing w:after="0"/>
        <w:rPr>
          <w:sz w:val="20"/>
          <w:szCs w:val="20"/>
          <w:color w:val="auto"/>
        </w:rPr>
      </w:pPr>
      <w:r>
        <w:rPr>
          <w:rFonts w:ascii="Verdana" w:cs="Verdana" w:eastAsia="Verdana" w:hAnsi="Verdana"/>
          <w:sz w:val="16"/>
          <w:szCs w:val="16"/>
          <w:color w:val="auto"/>
        </w:rPr>
        <w:t>Target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Verdana" w:cs="Verdana" w:eastAsia="Verdana" w:hAnsi="Verdana"/>
          <w:sz w:val="16"/>
          <w:szCs w:val="16"/>
          <w:b w:val="1"/>
          <w:bCs w:val="1"/>
          <w:color w:val="auto"/>
        </w:rPr>
        <w:t>%%TOTAL_SHARES_GRANTED,’999,999,999’%-%</w:t>
      </w:r>
    </w:p>
    <w:p>
      <w:pPr>
        <w:spacing w:after="0" w:line="200" w:lineRule="exact"/>
        <w:rPr>
          <w:sz w:val="20"/>
          <w:szCs w:val="20"/>
          <w:color w:val="auto"/>
        </w:rPr>
      </w:pPr>
    </w:p>
    <w:p>
      <w:pPr>
        <w:sectPr>
          <w:pgSz w:w="11900" w:h="16838" w:orient="portrait"/>
          <w:cols w:equalWidth="0" w:num="2">
            <w:col w:w="2500" w:space="720"/>
            <w:col w:w="7760"/>
          </w:cols>
          <w:pgMar w:left="580" w:top="1224" w:right="339" w:bottom="1440" w:gutter="0" w:footer="0" w:header="0"/>
          <w:type w:val="continuous"/>
        </w:sectPr>
      </w:pPr>
    </w:p>
    <w:p>
      <w:pPr>
        <w:spacing w:after="0" w:line="13" w:lineRule="exact"/>
        <w:rPr>
          <w:sz w:val="20"/>
          <w:szCs w:val="20"/>
          <w:color w:val="auto"/>
        </w:rPr>
      </w:pPr>
    </w:p>
    <w:p>
      <w:pPr>
        <w:ind w:left="80"/>
        <w:spacing w:after="0"/>
        <w:rPr>
          <w:sz w:val="20"/>
          <w:szCs w:val="20"/>
          <w:color w:val="auto"/>
        </w:rPr>
      </w:pPr>
      <w:r>
        <w:rPr>
          <w:rFonts w:ascii="Verdana" w:cs="Verdana" w:eastAsia="Verdana" w:hAnsi="Verdana"/>
          <w:sz w:val="16"/>
          <w:szCs w:val="16"/>
          <w:color w:val="auto"/>
        </w:rPr>
        <w:t>Final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Verdana" w:cs="Verdana" w:eastAsia="Verdana" w:hAnsi="Verdana"/>
          <w:sz w:val="18"/>
          <w:szCs w:val="18"/>
          <w:color w:val="auto"/>
        </w:rPr>
        <w:t>Target Award multiplied by “Payout Percentage” based on the Company’s total</w:t>
      </w:r>
    </w:p>
    <w:p>
      <w:pPr>
        <w:spacing w:after="0" w:line="230" w:lineRule="auto"/>
        <w:rPr>
          <w:sz w:val="20"/>
          <w:szCs w:val="20"/>
          <w:color w:val="auto"/>
        </w:rPr>
      </w:pPr>
      <w:r>
        <w:rPr>
          <w:rFonts w:ascii="Verdana" w:cs="Verdana" w:eastAsia="Verdana" w:hAnsi="Verdana"/>
          <w:sz w:val="18"/>
          <w:szCs w:val="18"/>
          <w:color w:val="auto"/>
        </w:rPr>
        <w:t>shareholder return relative to total shareholder</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return of peer group members of the Standard &amp; Poors 500 Index, as set forth in</w:t>
      </w:r>
    </w:p>
    <w:p>
      <w:pPr>
        <w:spacing w:after="0" w:line="34" w:lineRule="exact"/>
        <w:rPr>
          <w:sz w:val="20"/>
          <w:szCs w:val="20"/>
          <w:color w:val="auto"/>
        </w:rPr>
      </w:pPr>
    </w:p>
    <w:p>
      <w:pPr>
        <w:sectPr>
          <w:pgSz w:w="11900" w:h="16838" w:orient="portrait"/>
          <w:cols w:equalWidth="0" w:num="2">
            <w:col w:w="2500" w:space="720"/>
            <w:col w:w="7760"/>
          </w:cols>
          <w:pgMar w:left="580" w:top="1224" w:right="339" w:bottom="1440" w:gutter="0" w:footer="0" w:header="0"/>
          <w:type w:val="continuous"/>
        </w:sectPr>
      </w:pPr>
    </w:p>
    <w:p>
      <w:pPr>
        <w:ind w:left="3220"/>
        <w:spacing w:after="0"/>
        <w:rPr>
          <w:sz w:val="20"/>
          <w:szCs w:val="20"/>
          <w:color w:val="auto"/>
        </w:rPr>
      </w:pPr>
      <w:r>
        <w:rPr>
          <w:rFonts w:ascii="Verdana" w:cs="Verdana" w:eastAsia="Verdana" w:hAnsi="Verdana"/>
          <w:sz w:val="16"/>
          <w:szCs w:val="16"/>
          <w:color w:val="auto"/>
        </w:rPr>
        <w:t>this Agreement.</w:t>
      </w:r>
    </w:p>
    <w:p>
      <w:pPr>
        <w:sectPr>
          <w:pgSz w:w="11900" w:h="16838" w:orient="portrait"/>
          <w:cols w:equalWidth="0" w:num="1">
            <w:col w:w="10980"/>
          </w:cols>
          <w:pgMar w:left="580" w:top="1224" w:right="339" w:bottom="1440" w:gutter="0" w:footer="0" w:header="0"/>
          <w:type w:val="continuous"/>
        </w:sectPr>
      </w:pPr>
    </w:p>
    <w:p>
      <w:pPr>
        <w:spacing w:after="0" w:line="200" w:lineRule="exact"/>
        <w:rPr>
          <w:sz w:val="20"/>
          <w:szCs w:val="20"/>
          <w:color w:val="auto"/>
        </w:rPr>
      </w:pPr>
    </w:p>
    <w:p>
      <w:pPr>
        <w:spacing w:after="0" w:line="390" w:lineRule="exact"/>
        <w:rPr>
          <w:sz w:val="20"/>
          <w:szCs w:val="20"/>
          <w:color w:val="auto"/>
        </w:rPr>
      </w:pPr>
    </w:p>
    <w:p>
      <w:pPr>
        <w:jc w:val="both"/>
        <w:ind w:right="240"/>
        <w:spacing w:after="0" w:line="280" w:lineRule="auto"/>
        <w:rPr>
          <w:sz w:val="20"/>
          <w:szCs w:val="20"/>
          <w:color w:val="auto"/>
        </w:rPr>
      </w:pPr>
      <w:r>
        <w:rPr>
          <w:rFonts w:ascii="Verdana" w:cs="Verdana" w:eastAsia="Verdana" w:hAnsi="Verdana"/>
          <w:sz w:val="16"/>
          <w:szCs w:val="16"/>
          <w:color w:val="auto"/>
        </w:rPr>
        <w:t>Payment of the Final Award shall be made in NRG Energy, Inc. Common Stock and shall be made no earlier than January 2, 2028 and no later than March 15, 2028, but in no event later than two and a half months following the end of the calendar year in which the Final Award vested in compliance with the short-term deferral exception of IRC Section 409A.</w:t>
      </w:r>
    </w:p>
    <w:p>
      <w:pPr>
        <w:spacing w:after="0" w:line="188" w:lineRule="exact"/>
        <w:rPr>
          <w:sz w:val="20"/>
          <w:szCs w:val="20"/>
          <w:color w:val="auto"/>
        </w:rPr>
      </w:pPr>
    </w:p>
    <w:p>
      <w:pPr>
        <w:jc w:val="both"/>
        <w:ind w:right="260"/>
        <w:spacing w:after="0" w:line="237" w:lineRule="auto"/>
        <w:rPr>
          <w:sz w:val="20"/>
          <w:szCs w:val="20"/>
          <w:color w:val="auto"/>
        </w:rPr>
      </w:pPr>
      <w:r>
        <w:rPr>
          <w:rFonts w:ascii="Verdana" w:cs="Verdana" w:eastAsia="Verdana" w:hAnsi="Verdana"/>
          <w:sz w:val="18"/>
          <w:szCs w:val="18"/>
          <w:color w:val="auto"/>
        </w:rPr>
        <w:t xml:space="preserve">Subject to </w:t>
      </w:r>
      <w:r>
        <w:rPr>
          <w:rFonts w:ascii="Verdana" w:cs="Verdana" w:eastAsia="Verdana" w:hAnsi="Verdana"/>
          <w:sz w:val="18"/>
          <w:szCs w:val="18"/>
          <w:u w:val="single" w:color="auto"/>
          <w:color w:val="auto"/>
        </w:rPr>
        <w:t>Section 8</w:t>
      </w:r>
      <w:r>
        <w:rPr>
          <w:rFonts w:ascii="Verdana" w:cs="Verdana" w:eastAsia="Verdana" w:hAnsi="Verdana"/>
          <w:sz w:val="18"/>
          <w:szCs w:val="18"/>
          <w:color w:val="auto"/>
        </w:rPr>
        <w:t xml:space="preserve"> of this Agreement, if your employment by, or service to, the Company is terminated at any time during the Performance Period, any award or right granted hereunder shall expire and be forfeited, and no Final Award or dividend equivalent related thereto shall be paid.</w:t>
      </w:r>
    </w:p>
    <w:p>
      <w:pPr>
        <w:spacing w:after="0" w:line="220" w:lineRule="exact"/>
        <w:rPr>
          <w:sz w:val="20"/>
          <w:szCs w:val="20"/>
          <w:color w:val="auto"/>
        </w:rPr>
      </w:pPr>
    </w:p>
    <w:p>
      <w:pPr>
        <w:jc w:val="both"/>
        <w:ind w:right="260"/>
        <w:spacing w:after="0" w:line="237" w:lineRule="auto"/>
        <w:rPr>
          <w:sz w:val="20"/>
          <w:szCs w:val="20"/>
          <w:color w:val="auto"/>
        </w:rPr>
      </w:pPr>
      <w:r>
        <w:rPr>
          <w:rFonts w:ascii="Verdana" w:cs="Verdana" w:eastAsia="Verdana" w:hAnsi="Verdana"/>
          <w:sz w:val="18"/>
          <w:szCs w:val="18"/>
          <w:b w:val="1"/>
          <w:bCs w:val="1"/>
          <w:color w:val="auto"/>
        </w:rPr>
        <w:t>If you disagree with any of the terms of this award or choose not to accept this award, please contact Peter Johnson at 609-524-4759 within 45 days of the Date of Grant. Otherwise, you will be deemed to have accepted this award under the terms and conditions set forth in this Agreement and the Plan.</w:t>
      </w:r>
    </w:p>
    <w:p>
      <w:pPr>
        <w:sectPr>
          <w:pgSz w:w="11900" w:h="16838" w:orient="portrait"/>
          <w:cols w:equalWidth="0" w:num="1">
            <w:col w:w="10980"/>
          </w:cols>
          <w:pgMar w:left="580" w:top="1224" w:right="339" w:bottom="1440" w:gutter="0" w:footer="0" w:header="0"/>
          <w:type w:val="continuous"/>
        </w:sectPr>
      </w:pPr>
    </w:p>
    <w:bookmarkStart w:id="275" w:name="page276"/>
    <w:bookmarkEnd w:id="275"/>
    <w:p>
      <w:pPr>
        <w:spacing w:after="0" w:line="327" w:lineRule="exact"/>
        <w:rPr>
          <w:sz w:val="20"/>
          <w:szCs w:val="20"/>
          <w:color w:val="auto"/>
        </w:rPr>
      </w:pPr>
    </w:p>
    <w:p>
      <w:pPr>
        <w:spacing w:after="0"/>
        <w:rPr>
          <w:sz w:val="20"/>
          <w:szCs w:val="20"/>
          <w:color w:val="auto"/>
        </w:rPr>
      </w:pPr>
      <w:r>
        <w:rPr>
          <w:rFonts w:ascii="Arial" w:cs="Arial" w:eastAsia="Arial" w:hAnsi="Arial"/>
          <w:sz w:val="12"/>
          <w:szCs w:val="12"/>
          <w:color w:val="auto"/>
        </w:rPr>
        <w:t>LEGAL\61899936\12 LEGAL\74461641\3</w:t>
      </w:r>
    </w:p>
    <w:p>
      <w:pPr>
        <w:sectPr>
          <w:pgSz w:w="11900" w:h="16838" w:orient="portrait"/>
          <w:cols w:equalWidth="0" w:num="1">
            <w:col w:w="9879"/>
          </w:cols>
          <w:pgMar w:left="580" w:top="1440" w:right="1440" w:bottom="1440" w:gutter="0" w:footer="0" w:header="0"/>
        </w:sectPr>
      </w:pPr>
    </w:p>
    <w:bookmarkStart w:id="276" w:name="page277"/>
    <w:bookmarkEnd w:id="276"/>
    <w:p>
      <w:pPr>
        <w:ind w:left="160" w:right="980"/>
        <w:spacing w:after="0" w:line="251" w:lineRule="auto"/>
        <w:rPr>
          <w:sz w:val="20"/>
          <w:szCs w:val="20"/>
          <w:color w:val="auto"/>
        </w:rPr>
      </w:pPr>
      <w:r>
        <w:rPr>
          <w:rFonts w:ascii="Verdana" w:cs="Verdana" w:eastAsia="Verdana" w:hAnsi="Verdana"/>
          <w:sz w:val="28"/>
          <w:szCs w:val="28"/>
          <w:b w:val="1"/>
          <w:bCs w:val="1"/>
          <w:color w:val="auto"/>
        </w:rPr>
        <w:t>NRG ENERGY, INC. 2020 OMNIBUS INCENTIVE PLAN (LEGACY VIVINT)RELATIVE PERFORMANCE STOCK UNIT AGREEMENT</w:t>
      </w:r>
    </w:p>
    <w:p>
      <w:pPr>
        <w:spacing w:after="0" w:line="225" w:lineRule="exact"/>
        <w:rPr>
          <w:sz w:val="20"/>
          <w:szCs w:val="20"/>
          <w:color w:val="auto"/>
        </w:rPr>
      </w:pPr>
    </w:p>
    <w:p>
      <w:pPr>
        <w:jc w:val="both"/>
        <w:ind w:left="280"/>
        <w:spacing w:after="0" w:line="235" w:lineRule="auto"/>
        <w:rPr>
          <w:sz w:val="20"/>
          <w:szCs w:val="20"/>
          <w:color w:val="auto"/>
        </w:rPr>
      </w:pPr>
      <w:r>
        <w:rPr>
          <w:rFonts w:ascii="Verdana" w:cs="Verdana" w:eastAsia="Verdana" w:hAnsi="Verdana"/>
          <w:sz w:val="18"/>
          <w:szCs w:val="18"/>
          <w:color w:val="auto"/>
        </w:rPr>
        <w:t>This Relative Performance Stock Unit Agreement, dated as of the Date of Grant set forth in the Notice of Relative Performance Stock Units (the “</w:t>
      </w:r>
      <w:r>
        <w:rPr>
          <w:rFonts w:ascii="Verdana" w:cs="Verdana" w:eastAsia="Verdana" w:hAnsi="Verdana"/>
          <w:sz w:val="18"/>
          <w:szCs w:val="18"/>
          <w:u w:val="single" w:color="auto"/>
          <w:color w:val="auto"/>
        </w:rPr>
        <w:t>Grant Notice</w:t>
      </w:r>
      <w:r>
        <w:rPr>
          <w:rFonts w:ascii="Verdana" w:cs="Verdana" w:eastAsia="Verdana" w:hAnsi="Verdana"/>
          <w:sz w:val="18"/>
          <w:szCs w:val="18"/>
          <w:color w:val="auto"/>
        </w:rPr>
        <w:t>,” and together with this Relative Performance Stock Unit Agreement, the “</w:t>
      </w:r>
      <w:r>
        <w:rPr>
          <w:rFonts w:ascii="Verdana" w:cs="Verdana" w:eastAsia="Verdana" w:hAnsi="Verdana"/>
          <w:sz w:val="18"/>
          <w:szCs w:val="18"/>
          <w:u w:val="single" w:color="auto"/>
          <w:color w:val="auto"/>
        </w:rPr>
        <w:t>Agreement</w:t>
      </w:r>
      <w:r>
        <w:rPr>
          <w:rFonts w:ascii="Verdana" w:cs="Verdana" w:eastAsia="Verdana" w:hAnsi="Verdana"/>
          <w:sz w:val="18"/>
          <w:szCs w:val="18"/>
          <w:color w:val="auto"/>
        </w:rPr>
        <w:t>”) to which this Agreement is attached, is made between NRG Energy, Inc. (the “</w:t>
      </w:r>
      <w:r>
        <w:rPr>
          <w:rFonts w:ascii="Verdana" w:cs="Verdana" w:eastAsia="Verdana" w:hAnsi="Verdana"/>
          <w:sz w:val="18"/>
          <w:szCs w:val="18"/>
          <w:u w:val="single" w:color="auto"/>
          <w:color w:val="auto"/>
        </w:rPr>
        <w:t>Company</w:t>
      </w:r>
      <w:r>
        <w:rPr>
          <w:rFonts w:ascii="Verdana" w:cs="Verdana" w:eastAsia="Verdana" w:hAnsi="Verdana"/>
          <w:sz w:val="18"/>
          <w:szCs w:val="18"/>
          <w:color w:val="auto"/>
        </w:rPr>
        <w:t>”) and the Participant, as set forth in the Grant Notice. The Grant Notice is included in, and made part of, this Agreement.</w:t>
      </w:r>
    </w:p>
    <w:p>
      <w:pPr>
        <w:spacing w:after="0" w:line="196" w:lineRule="exact"/>
        <w:rPr>
          <w:sz w:val="20"/>
          <w:szCs w:val="20"/>
          <w:color w:val="auto"/>
        </w:rPr>
      </w:pPr>
    </w:p>
    <w:p>
      <w:pPr>
        <w:ind w:left="820" w:hanging="459"/>
        <w:spacing w:after="0"/>
        <w:tabs>
          <w:tab w:leader="none" w:pos="820" w:val="left"/>
        </w:tabs>
        <w:numPr>
          <w:ilvl w:val="0"/>
          <w:numId w:val="265"/>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Performance Criteria and Award Determination</w:t>
      </w:r>
    </w:p>
    <w:p>
      <w:pPr>
        <w:spacing w:after="0" w:line="202" w:lineRule="exact"/>
        <w:rPr>
          <w:rFonts w:ascii="Verdana" w:cs="Verdana" w:eastAsia="Verdana" w:hAnsi="Verdana"/>
          <w:sz w:val="18"/>
          <w:szCs w:val="18"/>
          <w:b w:val="1"/>
          <w:bCs w:val="1"/>
          <w:color w:val="auto"/>
        </w:rPr>
      </w:pPr>
    </w:p>
    <w:p>
      <w:pPr>
        <w:ind w:left="980" w:hanging="383"/>
        <w:spacing w:after="0"/>
        <w:tabs>
          <w:tab w:leader="none" w:pos="980" w:val="left"/>
        </w:tabs>
        <w:numPr>
          <w:ilvl w:val="1"/>
          <w:numId w:val="265"/>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General - Award Determination</w:t>
      </w:r>
    </w:p>
    <w:p>
      <w:pPr>
        <w:spacing w:after="0" w:line="202" w:lineRule="exact"/>
        <w:rPr>
          <w:sz w:val="20"/>
          <w:szCs w:val="20"/>
          <w:color w:val="auto"/>
        </w:rPr>
      </w:pPr>
    </w:p>
    <w:p>
      <w:pPr>
        <w:jc w:val="both"/>
        <w:ind w:left="600"/>
        <w:spacing w:after="0" w:line="235" w:lineRule="auto"/>
        <w:rPr>
          <w:sz w:val="20"/>
          <w:szCs w:val="20"/>
          <w:color w:val="auto"/>
        </w:rPr>
      </w:pPr>
      <w:r>
        <w:rPr>
          <w:rFonts w:ascii="Verdana" w:cs="Verdana" w:eastAsia="Verdana" w:hAnsi="Verdana"/>
          <w:sz w:val="18"/>
          <w:szCs w:val="18"/>
          <w:color w:val="auto"/>
        </w:rPr>
        <w:t>Subject to the provisions of this Agreement and the provisions of the NRG Energy, INC. 2020 Omnibus Incentive Plan (Legacy Vivint) (the “</w:t>
      </w:r>
      <w:r>
        <w:rPr>
          <w:rFonts w:ascii="Verdana" w:cs="Verdana" w:eastAsia="Verdana" w:hAnsi="Verdana"/>
          <w:sz w:val="18"/>
          <w:szCs w:val="18"/>
          <w:u w:val="single" w:color="auto"/>
          <w:color w:val="auto"/>
        </w:rPr>
        <w:t>Plan</w:t>
      </w:r>
      <w:r>
        <w:rPr>
          <w:rFonts w:ascii="Verdana" w:cs="Verdana" w:eastAsia="Verdana" w:hAnsi="Verdana"/>
          <w:sz w:val="18"/>
          <w:szCs w:val="18"/>
          <w:color w:val="auto"/>
        </w:rPr>
        <w:t>”), the Company hereby grants to the Participant the number of Relative Performance Stock Units (“</w:t>
      </w:r>
      <w:r>
        <w:rPr>
          <w:rFonts w:ascii="Verdana" w:cs="Verdana" w:eastAsia="Verdana" w:hAnsi="Verdana"/>
          <w:sz w:val="18"/>
          <w:szCs w:val="18"/>
          <w:u w:val="single" w:color="auto"/>
          <w:color w:val="auto"/>
        </w:rPr>
        <w:t>RPSUs</w:t>
      </w:r>
      <w:r>
        <w:rPr>
          <w:rFonts w:ascii="Verdana" w:cs="Verdana" w:eastAsia="Verdana" w:hAnsi="Verdana"/>
          <w:sz w:val="18"/>
          <w:szCs w:val="18"/>
          <w:color w:val="auto"/>
        </w:rPr>
        <w:t>”), set forth in the Grant Notice (“</w:t>
      </w:r>
      <w:r>
        <w:rPr>
          <w:rFonts w:ascii="Verdana" w:cs="Verdana" w:eastAsia="Verdana" w:hAnsi="Verdana"/>
          <w:sz w:val="18"/>
          <w:szCs w:val="18"/>
          <w:u w:val="single" w:color="auto"/>
          <w:color w:val="auto"/>
        </w:rPr>
        <w:t>Target Award</w:t>
      </w:r>
      <w:r>
        <w:rPr>
          <w:rFonts w:ascii="Verdana" w:cs="Verdana" w:eastAsia="Verdana" w:hAnsi="Verdana"/>
          <w:sz w:val="18"/>
          <w:szCs w:val="18"/>
          <w:color w:val="auto"/>
        </w:rPr>
        <w:t>”), each of which will have a value equivalent to one (1) share of the Company’s Common Stock.</w:t>
      </w:r>
    </w:p>
    <w:p>
      <w:pPr>
        <w:spacing w:after="0" w:line="209" w:lineRule="exact"/>
        <w:rPr>
          <w:sz w:val="20"/>
          <w:szCs w:val="20"/>
          <w:color w:val="auto"/>
        </w:rPr>
      </w:pPr>
    </w:p>
    <w:p>
      <w:pPr>
        <w:jc w:val="both"/>
        <w:ind w:left="600"/>
        <w:spacing w:after="0" w:line="233" w:lineRule="auto"/>
        <w:rPr>
          <w:sz w:val="20"/>
          <w:szCs w:val="20"/>
          <w:color w:val="auto"/>
        </w:rPr>
      </w:pPr>
      <w:r>
        <w:rPr>
          <w:rFonts w:ascii="Verdana" w:cs="Verdana" w:eastAsia="Verdana" w:hAnsi="Verdana"/>
          <w:sz w:val="18"/>
          <w:szCs w:val="18"/>
          <w:color w:val="auto"/>
        </w:rPr>
        <w:t>At the end of the Performance Period, the Participant shall be entitled to receive a payment, payable in shares of the Company’s Common Stock, equal to the Target Award times a “Payout Percentage” (the “</w:t>
      </w:r>
      <w:r>
        <w:rPr>
          <w:rFonts w:ascii="Verdana" w:cs="Verdana" w:eastAsia="Verdana" w:hAnsi="Verdana"/>
          <w:sz w:val="18"/>
          <w:szCs w:val="18"/>
          <w:u w:val="single" w:color="auto"/>
          <w:color w:val="auto"/>
        </w:rPr>
        <w:t>Final Award</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auto"/>
        </w:rPr>
        <w:t>provided</w:t>
      </w:r>
      <w:r>
        <w:rPr>
          <w:rFonts w:ascii="Verdana" w:cs="Verdana" w:eastAsia="Verdana" w:hAnsi="Verdana"/>
          <w:sz w:val="18"/>
          <w:szCs w:val="18"/>
          <w:color w:val="auto"/>
        </w:rPr>
        <w:t>, that if the Fair Market Value of the payment due to the Participant in satisfaction of the Final Award is greater than the amount that is six (6) times the Fair Market Value of the Target Award, determined as of the Date of Grant (the “</w:t>
      </w:r>
      <w:r>
        <w:rPr>
          <w:rFonts w:ascii="Verdana" w:cs="Verdana" w:eastAsia="Verdana" w:hAnsi="Verdana"/>
          <w:sz w:val="18"/>
          <w:szCs w:val="18"/>
          <w:u w:val="single" w:color="auto"/>
          <w:color w:val="auto"/>
        </w:rPr>
        <w:t>Cap</w:t>
      </w:r>
      <w:r>
        <w:rPr>
          <w:rFonts w:ascii="Verdana" w:cs="Verdana" w:eastAsia="Verdana" w:hAnsi="Verdana"/>
          <w:sz w:val="18"/>
          <w:szCs w:val="18"/>
          <w:color w:val="auto"/>
        </w:rPr>
        <w:t xml:space="preserve">”), the Payout Percentage shall be adjusted such that Fair Market Value of such payment does not exceed the Cap. The “Payout Percentage” is based on the achievement of the performance criteria set forth in </w:t>
      </w:r>
      <w:r>
        <w:rPr>
          <w:rFonts w:ascii="Verdana" w:cs="Verdana" w:eastAsia="Verdana" w:hAnsi="Verdana"/>
          <w:sz w:val="18"/>
          <w:szCs w:val="18"/>
          <w:u w:val="single" w:color="auto"/>
          <w:color w:val="auto"/>
        </w:rPr>
        <w:t>Section 1(b)</w:t>
      </w:r>
      <w:r>
        <w:rPr>
          <w:rFonts w:ascii="Verdana" w:cs="Verdana" w:eastAsia="Verdana" w:hAnsi="Verdana"/>
          <w:sz w:val="18"/>
          <w:szCs w:val="18"/>
          <w:color w:val="auto"/>
        </w:rPr>
        <w:t xml:space="preserve"> of this Agreement, as determined and certified in writing by the Compensation Committee of the Company’s Board of Directors (the “</w:t>
      </w:r>
      <w:r>
        <w:rPr>
          <w:rFonts w:ascii="Verdana" w:cs="Verdana" w:eastAsia="Verdana" w:hAnsi="Verdana"/>
          <w:sz w:val="18"/>
          <w:szCs w:val="18"/>
          <w:u w:val="single" w:color="auto"/>
          <w:color w:val="auto"/>
        </w:rPr>
        <w:t>Committee</w:t>
      </w:r>
      <w:r>
        <w:rPr>
          <w:rFonts w:ascii="Verdana" w:cs="Verdana" w:eastAsia="Verdana" w:hAnsi="Verdana"/>
          <w:sz w:val="18"/>
          <w:szCs w:val="18"/>
          <w:color w:val="auto"/>
        </w:rPr>
        <w:t>”).</w:t>
      </w:r>
    </w:p>
    <w:p>
      <w:pPr>
        <w:spacing w:after="0" w:line="183" w:lineRule="exact"/>
        <w:rPr>
          <w:sz w:val="20"/>
          <w:szCs w:val="20"/>
          <w:color w:val="auto"/>
        </w:rPr>
      </w:pPr>
    </w:p>
    <w:p>
      <w:pPr>
        <w:ind w:left="600"/>
        <w:spacing w:after="0"/>
        <w:rPr>
          <w:sz w:val="20"/>
          <w:szCs w:val="20"/>
          <w:color w:val="auto"/>
        </w:rPr>
      </w:pPr>
      <w:r>
        <w:rPr>
          <w:rFonts w:ascii="Verdana" w:cs="Verdana" w:eastAsia="Verdana" w:hAnsi="Verdana"/>
          <w:sz w:val="18"/>
          <w:szCs w:val="18"/>
          <w:b w:val="1"/>
          <w:bCs w:val="1"/>
          <w:color w:val="auto"/>
        </w:rPr>
        <w:t>(b) Performance Criteria and Relative TSR Comparison</w:t>
      </w:r>
    </w:p>
    <w:p>
      <w:pPr>
        <w:spacing w:after="0" w:line="202" w:lineRule="exact"/>
        <w:rPr>
          <w:sz w:val="20"/>
          <w:szCs w:val="20"/>
          <w:color w:val="auto"/>
        </w:rPr>
      </w:pPr>
    </w:p>
    <w:p>
      <w:pPr>
        <w:jc w:val="both"/>
        <w:ind w:left="600"/>
        <w:spacing w:after="0" w:line="235" w:lineRule="auto"/>
        <w:rPr>
          <w:sz w:val="20"/>
          <w:szCs w:val="20"/>
          <w:color w:val="auto"/>
        </w:rPr>
      </w:pPr>
      <w:r>
        <w:rPr>
          <w:rFonts w:ascii="Verdana" w:cs="Verdana" w:eastAsia="Verdana" w:hAnsi="Verdana"/>
          <w:sz w:val="18"/>
          <w:szCs w:val="18"/>
          <w:color w:val="auto"/>
        </w:rPr>
        <w:t xml:space="preserve">Except as provided in </w:t>
      </w:r>
      <w:r>
        <w:rPr>
          <w:rFonts w:ascii="Verdana" w:cs="Verdana" w:eastAsia="Verdana" w:hAnsi="Verdana"/>
          <w:sz w:val="18"/>
          <w:szCs w:val="18"/>
          <w:u w:val="single" w:color="auto"/>
          <w:color w:val="auto"/>
        </w:rPr>
        <w:t>Section 8</w:t>
      </w:r>
      <w:r>
        <w:rPr>
          <w:rFonts w:ascii="Verdana" w:cs="Verdana" w:eastAsia="Verdana" w:hAnsi="Verdana"/>
          <w:sz w:val="18"/>
          <w:szCs w:val="18"/>
          <w:color w:val="auto"/>
        </w:rPr>
        <w:t xml:space="preserve"> of this Agreement, a “Payout Percentage” is used to determine the Final Award under this Agreement. Subject to </w:t>
      </w:r>
      <w:r>
        <w:rPr>
          <w:rFonts w:ascii="Verdana" w:cs="Verdana" w:eastAsia="Verdana" w:hAnsi="Verdana"/>
          <w:sz w:val="18"/>
          <w:szCs w:val="18"/>
          <w:u w:val="single" w:color="auto"/>
          <w:color w:val="auto"/>
        </w:rPr>
        <w:t>Section 1(c)</w:t>
      </w:r>
      <w:r>
        <w:rPr>
          <w:rFonts w:ascii="Verdana" w:cs="Verdana" w:eastAsia="Verdana" w:hAnsi="Verdana"/>
          <w:sz w:val="18"/>
          <w:szCs w:val="18"/>
          <w:color w:val="auto"/>
        </w:rPr>
        <w:t xml:space="preserve"> of this Agreement, the “Payout Percentage” shall be based upon the Company’s total shareholder return (“</w:t>
      </w:r>
      <w:r>
        <w:rPr>
          <w:rFonts w:ascii="Verdana" w:cs="Verdana" w:eastAsia="Verdana" w:hAnsi="Verdana"/>
          <w:sz w:val="18"/>
          <w:szCs w:val="18"/>
          <w:u w:val="single" w:color="auto"/>
          <w:color w:val="auto"/>
        </w:rPr>
        <w:t>TSR</w:t>
      </w:r>
      <w:r>
        <w:rPr>
          <w:rFonts w:ascii="Verdana" w:cs="Verdana" w:eastAsia="Verdana" w:hAnsi="Verdana"/>
          <w:sz w:val="18"/>
          <w:szCs w:val="18"/>
          <w:color w:val="auto"/>
        </w:rPr>
        <w:t xml:space="preserve">”) percentile ranking, as determined pursuant to </w:t>
      </w:r>
      <w:r>
        <w:rPr>
          <w:rFonts w:ascii="Verdana" w:cs="Verdana" w:eastAsia="Verdana" w:hAnsi="Verdana"/>
          <w:sz w:val="18"/>
          <w:szCs w:val="18"/>
          <w:u w:val="single" w:color="auto"/>
          <w:color w:val="auto"/>
        </w:rPr>
        <w:t>Section 2</w:t>
      </w:r>
      <w:r>
        <w:rPr>
          <w:rFonts w:ascii="Verdana" w:cs="Verdana" w:eastAsia="Verdana" w:hAnsi="Verdana"/>
          <w:sz w:val="18"/>
          <w:szCs w:val="18"/>
          <w:color w:val="auto"/>
        </w:rPr>
        <w:t xml:space="preserve"> of this Agreement, and the Company’s TSR percentile ranking relative to “Chart A”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1047750</wp:posOffset>
            </wp:positionH>
            <wp:positionV relativeFrom="paragraph">
              <wp:posOffset>161290</wp:posOffset>
            </wp:positionV>
            <wp:extent cx="3927475" cy="12452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71">
                      <a:extLst>
                        <a:ext uri="{28A0092B-C50C-407E-A947-70E740481C1C}"/>
                      </a:extLst>
                    </a:blip>
                    <a:srcRect/>
                    <a:stretch>
                      <a:fillRect/>
                    </a:stretch>
                  </pic:blipFill>
                  <pic:spPr bwMode="auto">
                    <a:xfrm>
                      <a:off x="0" y="0"/>
                      <a:ext cx="3927475" cy="1245235"/>
                    </a:xfrm>
                    <a:prstGeom prst="rect">
                      <a:avLst/>
                    </a:prstGeom>
                    <a:noFill/>
                  </pic:spPr>
                </pic:pic>
              </a:graphicData>
            </a:graphic>
          </wp:anchor>
        </w:drawing>
      </w:r>
    </w:p>
    <w:p>
      <w:pPr>
        <w:spacing w:after="0" w:line="281" w:lineRule="exact"/>
        <w:rPr>
          <w:sz w:val="20"/>
          <w:szCs w:val="20"/>
          <w:color w:val="auto"/>
        </w:rPr>
      </w:pPr>
    </w:p>
    <w:p>
      <w:pPr>
        <w:ind w:left="4380"/>
        <w:spacing w:after="0"/>
        <w:rPr>
          <w:sz w:val="20"/>
          <w:szCs w:val="20"/>
          <w:color w:val="auto"/>
        </w:rPr>
      </w:pPr>
      <w:r>
        <w:rPr>
          <w:rFonts w:ascii="Verdana" w:cs="Verdana" w:eastAsia="Verdana" w:hAnsi="Verdana"/>
          <w:sz w:val="18"/>
          <w:szCs w:val="18"/>
          <w:b w:val="1"/>
          <w:bCs w:val="1"/>
          <w:color w:val="auto"/>
        </w:rPr>
        <w:t>Chart A</w:t>
      </w:r>
    </w:p>
    <w:p>
      <w:pPr>
        <w:spacing w:after="0" w:line="10" w:lineRule="exact"/>
        <w:rPr>
          <w:sz w:val="20"/>
          <w:szCs w:val="20"/>
          <w:color w:val="auto"/>
        </w:rPr>
      </w:pPr>
    </w:p>
    <w:tbl>
      <w:tblPr>
        <w:tblLayout w:type="fixed"/>
        <w:tblInd w:w="1640" w:type="dxa"/>
        <w:tblCellMar>
          <w:top w:w="0" w:type="dxa"/>
          <w:left w:w="0" w:type="dxa"/>
          <w:bottom w:w="0" w:type="dxa"/>
          <w:right w:w="0" w:type="dxa"/>
        </w:tblCellMar>
      </w:tblPr>
      <w:tr>
        <w:trPr>
          <w:trHeight w:val="252"/>
        </w:trPr>
        <w:tc>
          <w:tcPr>
            <w:tcW w:w="3160" w:type="dxa"/>
            <w:vAlign w:val="bottom"/>
            <w:tcBorders>
              <w:top w:val="single" w:sz="8" w:color="auto"/>
              <w:right w:val="single" w:sz="8" w:color="auto"/>
            </w:tcBorders>
          </w:tcPr>
          <w:p>
            <w:pPr>
              <w:ind w:left="140"/>
              <w:spacing w:after="0"/>
              <w:rPr>
                <w:sz w:val="20"/>
                <w:szCs w:val="20"/>
                <w:color w:val="auto"/>
              </w:rPr>
            </w:pPr>
            <w:r>
              <w:rPr>
                <w:rFonts w:ascii="Verdana" w:cs="Verdana" w:eastAsia="Verdana" w:hAnsi="Verdana"/>
                <w:sz w:val="18"/>
                <w:szCs w:val="18"/>
                <w:b w:val="1"/>
                <w:bCs w:val="1"/>
                <w:color w:val="auto"/>
              </w:rPr>
              <w:t>TSR Performance Relative to</w:t>
            </w:r>
          </w:p>
        </w:tc>
        <w:tc>
          <w:tcPr>
            <w:tcW w:w="3040" w:type="dxa"/>
            <w:vAlign w:val="bottom"/>
            <w:tcBorders>
              <w:top w:val="single" w:sz="8" w:color="auto"/>
            </w:tcBorders>
          </w:tcPr>
          <w:p>
            <w:pPr>
              <w:ind w:left="100"/>
              <w:spacing w:after="0"/>
              <w:rPr>
                <w:sz w:val="20"/>
                <w:szCs w:val="20"/>
                <w:color w:val="auto"/>
              </w:rPr>
            </w:pPr>
            <w:r>
              <w:rPr>
                <w:rFonts w:ascii="Verdana" w:cs="Verdana" w:eastAsia="Verdana" w:hAnsi="Verdana"/>
                <w:sz w:val="18"/>
                <w:szCs w:val="18"/>
                <w:b w:val="1"/>
                <w:bCs w:val="1"/>
                <w:color w:val="auto"/>
              </w:rPr>
              <w:t>Payout Percentage (%</w:t>
            </w:r>
          </w:p>
        </w:tc>
      </w:tr>
      <w:tr>
        <w:trPr>
          <w:trHeight w:val="235"/>
        </w:trPr>
        <w:tc>
          <w:tcPr>
            <w:tcW w:w="3160" w:type="dxa"/>
            <w:vAlign w:val="bottom"/>
            <w:tcBorders>
              <w:bottom w:val="single" w:sz="8" w:color="auto"/>
              <w:right w:val="single" w:sz="8" w:color="auto"/>
            </w:tcBorders>
          </w:tcPr>
          <w:p>
            <w:pPr>
              <w:ind w:left="140"/>
              <w:spacing w:after="0"/>
              <w:rPr>
                <w:sz w:val="20"/>
                <w:szCs w:val="20"/>
                <w:color w:val="auto"/>
              </w:rPr>
            </w:pPr>
            <w:r>
              <w:rPr>
                <w:rFonts w:ascii="Verdana" w:cs="Verdana" w:eastAsia="Verdana" w:hAnsi="Verdana"/>
                <w:sz w:val="18"/>
                <w:szCs w:val="18"/>
                <w:b w:val="1"/>
                <w:bCs w:val="1"/>
                <w:color w:val="auto"/>
              </w:rPr>
              <w:t>Companies in the Peer Group</w:t>
            </w:r>
          </w:p>
        </w:tc>
        <w:tc>
          <w:tcPr>
            <w:tcW w:w="3040" w:type="dxa"/>
            <w:vAlign w:val="bottom"/>
            <w:tcBorders>
              <w:bottom w:val="single" w:sz="8" w:color="auto"/>
            </w:tcBorders>
          </w:tcPr>
          <w:p>
            <w:pPr>
              <w:ind w:left="100"/>
              <w:spacing w:after="0"/>
              <w:rPr>
                <w:sz w:val="20"/>
                <w:szCs w:val="20"/>
                <w:color w:val="auto"/>
              </w:rPr>
            </w:pPr>
            <w:r>
              <w:rPr>
                <w:rFonts w:ascii="Verdana" w:cs="Verdana" w:eastAsia="Verdana" w:hAnsi="Verdana"/>
                <w:sz w:val="18"/>
                <w:szCs w:val="18"/>
                <w:b w:val="1"/>
                <w:bCs w:val="1"/>
                <w:color w:val="auto"/>
              </w:rPr>
              <w:t>of Target)</w:t>
            </w:r>
          </w:p>
        </w:tc>
      </w:tr>
      <w:tr>
        <w:trPr>
          <w:trHeight w:val="269"/>
        </w:trPr>
        <w:tc>
          <w:tcPr>
            <w:tcW w:w="3160" w:type="dxa"/>
            <w:vAlign w:val="bottom"/>
            <w:tcBorders>
              <w:bottom w:val="single" w:sz="8" w:color="auto"/>
              <w:right w:val="single" w:sz="8" w:color="auto"/>
            </w:tcBorders>
          </w:tcPr>
          <w:p>
            <w:pPr>
              <w:ind w:left="140"/>
              <w:spacing w:after="0"/>
              <w:rPr>
                <w:sz w:val="20"/>
                <w:szCs w:val="20"/>
                <w:color w:val="auto"/>
              </w:rPr>
            </w:pPr>
            <w:r>
              <w:rPr>
                <w:rFonts w:ascii="Verdana" w:cs="Verdana" w:eastAsia="Verdana" w:hAnsi="Verdana"/>
                <w:sz w:val="18"/>
                <w:szCs w:val="18"/>
                <w:b w:val="1"/>
                <w:bCs w:val="1"/>
                <w:color w:val="auto"/>
              </w:rPr>
              <w:t>75th Percentile or Above</w:t>
            </w:r>
          </w:p>
        </w:tc>
        <w:tc>
          <w:tcPr>
            <w:tcW w:w="3040" w:type="dxa"/>
            <w:vAlign w:val="bottom"/>
            <w:tcBorders>
              <w:bottom w:val="single" w:sz="8" w:color="auto"/>
            </w:tcBorders>
          </w:tcPr>
          <w:p>
            <w:pPr>
              <w:ind w:left="100"/>
              <w:spacing w:after="0"/>
              <w:rPr>
                <w:sz w:val="20"/>
                <w:szCs w:val="20"/>
                <w:color w:val="auto"/>
              </w:rPr>
            </w:pPr>
            <w:r>
              <w:rPr>
                <w:rFonts w:ascii="Verdana" w:cs="Verdana" w:eastAsia="Verdana" w:hAnsi="Verdana"/>
                <w:sz w:val="18"/>
                <w:szCs w:val="18"/>
                <w:b w:val="1"/>
                <w:bCs w:val="1"/>
                <w:color w:val="auto"/>
              </w:rPr>
              <w:t>200%</w:t>
            </w:r>
          </w:p>
        </w:tc>
      </w:tr>
      <w:tr>
        <w:trPr>
          <w:trHeight w:val="269"/>
        </w:trPr>
        <w:tc>
          <w:tcPr>
            <w:tcW w:w="3160" w:type="dxa"/>
            <w:vAlign w:val="bottom"/>
            <w:tcBorders>
              <w:bottom w:val="single" w:sz="8" w:color="auto"/>
              <w:right w:val="single" w:sz="8" w:color="auto"/>
            </w:tcBorders>
          </w:tcPr>
          <w:p>
            <w:pPr>
              <w:ind w:left="140"/>
              <w:spacing w:after="0"/>
              <w:rPr>
                <w:sz w:val="20"/>
                <w:szCs w:val="20"/>
                <w:color w:val="auto"/>
              </w:rPr>
            </w:pPr>
            <w:r>
              <w:rPr>
                <w:rFonts w:ascii="Verdana" w:cs="Verdana" w:eastAsia="Verdana" w:hAnsi="Verdana"/>
                <w:sz w:val="18"/>
                <w:szCs w:val="18"/>
                <w:b w:val="1"/>
                <w:bCs w:val="1"/>
                <w:color w:val="auto"/>
              </w:rPr>
              <w:t>55th Percentile - TARGET</w:t>
            </w:r>
          </w:p>
        </w:tc>
        <w:tc>
          <w:tcPr>
            <w:tcW w:w="3040" w:type="dxa"/>
            <w:vAlign w:val="bottom"/>
            <w:tcBorders>
              <w:bottom w:val="single" w:sz="8" w:color="auto"/>
            </w:tcBorders>
          </w:tcPr>
          <w:p>
            <w:pPr>
              <w:ind w:left="100"/>
              <w:spacing w:after="0"/>
              <w:rPr>
                <w:sz w:val="20"/>
                <w:szCs w:val="20"/>
                <w:color w:val="auto"/>
              </w:rPr>
            </w:pPr>
            <w:r>
              <w:rPr>
                <w:rFonts w:ascii="Verdana" w:cs="Verdana" w:eastAsia="Verdana" w:hAnsi="Verdana"/>
                <w:sz w:val="18"/>
                <w:szCs w:val="18"/>
                <w:b w:val="1"/>
                <w:bCs w:val="1"/>
                <w:color w:val="auto"/>
              </w:rPr>
              <w:t>100%</w:t>
            </w:r>
          </w:p>
        </w:tc>
      </w:tr>
      <w:tr>
        <w:trPr>
          <w:trHeight w:val="269"/>
        </w:trPr>
        <w:tc>
          <w:tcPr>
            <w:tcW w:w="3160" w:type="dxa"/>
            <w:vAlign w:val="bottom"/>
            <w:tcBorders>
              <w:bottom w:val="single" w:sz="8" w:color="auto"/>
              <w:right w:val="single" w:sz="8" w:color="auto"/>
            </w:tcBorders>
          </w:tcPr>
          <w:p>
            <w:pPr>
              <w:ind w:left="140"/>
              <w:spacing w:after="0"/>
              <w:rPr>
                <w:sz w:val="20"/>
                <w:szCs w:val="20"/>
                <w:color w:val="auto"/>
              </w:rPr>
            </w:pPr>
            <w:r>
              <w:rPr>
                <w:rFonts w:ascii="Verdana" w:cs="Verdana" w:eastAsia="Verdana" w:hAnsi="Verdana"/>
                <w:sz w:val="18"/>
                <w:szCs w:val="18"/>
                <w:b w:val="1"/>
                <w:bCs w:val="1"/>
                <w:color w:val="auto"/>
              </w:rPr>
              <w:t>25th Percentile</w:t>
            </w:r>
          </w:p>
        </w:tc>
        <w:tc>
          <w:tcPr>
            <w:tcW w:w="3040" w:type="dxa"/>
            <w:vAlign w:val="bottom"/>
            <w:tcBorders>
              <w:bottom w:val="single" w:sz="8" w:color="auto"/>
            </w:tcBorders>
          </w:tcPr>
          <w:p>
            <w:pPr>
              <w:ind w:left="100"/>
              <w:spacing w:after="0"/>
              <w:rPr>
                <w:sz w:val="20"/>
                <w:szCs w:val="20"/>
                <w:color w:val="auto"/>
              </w:rPr>
            </w:pPr>
            <w:r>
              <w:rPr>
                <w:rFonts w:ascii="Verdana" w:cs="Verdana" w:eastAsia="Verdana" w:hAnsi="Verdana"/>
                <w:sz w:val="18"/>
                <w:szCs w:val="18"/>
                <w:b w:val="1"/>
                <w:bCs w:val="1"/>
                <w:color w:val="auto"/>
              </w:rPr>
              <w:t>25%</w:t>
            </w:r>
          </w:p>
        </w:tc>
      </w:tr>
      <w:tr>
        <w:trPr>
          <w:trHeight w:val="269"/>
        </w:trPr>
        <w:tc>
          <w:tcPr>
            <w:tcW w:w="3160" w:type="dxa"/>
            <w:vAlign w:val="bottom"/>
            <w:tcBorders>
              <w:bottom w:val="single" w:sz="8" w:color="auto"/>
              <w:right w:val="single" w:sz="8" w:color="auto"/>
            </w:tcBorders>
          </w:tcPr>
          <w:p>
            <w:pPr>
              <w:ind w:left="140"/>
              <w:spacing w:after="0"/>
              <w:rPr>
                <w:sz w:val="20"/>
                <w:szCs w:val="20"/>
                <w:color w:val="auto"/>
              </w:rPr>
            </w:pPr>
            <w:r>
              <w:rPr>
                <w:rFonts w:ascii="Verdana" w:cs="Verdana" w:eastAsia="Verdana" w:hAnsi="Verdana"/>
                <w:sz w:val="18"/>
                <w:szCs w:val="18"/>
                <w:b w:val="1"/>
                <w:bCs w:val="1"/>
                <w:color w:val="auto"/>
              </w:rPr>
              <w:t>Below the 25th Percentile</w:t>
            </w:r>
          </w:p>
        </w:tc>
        <w:tc>
          <w:tcPr>
            <w:tcW w:w="3040" w:type="dxa"/>
            <w:vAlign w:val="bottom"/>
            <w:tcBorders>
              <w:bottom w:val="single" w:sz="8" w:color="auto"/>
            </w:tcBorders>
          </w:tcPr>
          <w:p>
            <w:pPr>
              <w:ind w:left="100"/>
              <w:spacing w:after="0"/>
              <w:rPr>
                <w:sz w:val="20"/>
                <w:szCs w:val="20"/>
                <w:color w:val="auto"/>
              </w:rPr>
            </w:pPr>
            <w:r>
              <w:rPr>
                <w:rFonts w:ascii="Verdana" w:cs="Verdana" w:eastAsia="Verdana" w:hAnsi="Verdana"/>
                <w:sz w:val="18"/>
                <w:szCs w:val="18"/>
                <w:b w:val="1"/>
                <w:bCs w:val="1"/>
                <w:color w:val="auto"/>
              </w:rPr>
              <w:t>0%</w:t>
            </w:r>
          </w:p>
        </w:tc>
      </w:tr>
    </w:tbl>
    <w:p>
      <w:pPr>
        <w:spacing w:after="0" w:line="200" w:lineRule="exact"/>
        <w:rPr>
          <w:sz w:val="20"/>
          <w:szCs w:val="20"/>
          <w:color w:val="auto"/>
        </w:rPr>
      </w:pPr>
    </w:p>
    <w:p>
      <w:pPr>
        <w:spacing w:after="0" w:line="334" w:lineRule="exact"/>
        <w:rPr>
          <w:sz w:val="20"/>
          <w:szCs w:val="20"/>
          <w:color w:val="auto"/>
        </w:rPr>
      </w:pPr>
    </w:p>
    <w:p>
      <w:pPr>
        <w:ind w:left="600"/>
        <w:spacing w:after="0"/>
        <w:rPr>
          <w:sz w:val="20"/>
          <w:szCs w:val="20"/>
          <w:color w:val="auto"/>
        </w:rPr>
      </w:pPr>
      <w:r>
        <w:rPr>
          <w:rFonts w:ascii="Verdana" w:cs="Verdana" w:eastAsia="Verdana" w:hAnsi="Verdana"/>
          <w:sz w:val="18"/>
          <w:szCs w:val="18"/>
          <w:b w:val="1"/>
          <w:bCs w:val="1"/>
          <w:color w:val="auto"/>
        </w:rPr>
        <w:t>(c) Relative TSR Comparison if absolute TSR of Company is less than negative 15%</w:t>
      </w:r>
    </w:p>
    <w:p>
      <w:pPr>
        <w:spacing w:after="0" w:line="202" w:lineRule="exact"/>
        <w:rPr>
          <w:sz w:val="20"/>
          <w:szCs w:val="20"/>
          <w:color w:val="auto"/>
        </w:rPr>
      </w:pPr>
    </w:p>
    <w:p>
      <w:pPr>
        <w:ind w:left="600" w:right="1860"/>
        <w:spacing w:after="0" w:line="301" w:lineRule="auto"/>
        <w:rPr>
          <w:sz w:val="20"/>
          <w:szCs w:val="20"/>
          <w:color w:val="auto"/>
        </w:rPr>
      </w:pPr>
      <w:r>
        <w:rPr>
          <w:rFonts w:ascii="Verdana" w:cs="Verdana" w:eastAsia="Verdana" w:hAnsi="Verdana"/>
          <w:sz w:val="16"/>
          <w:szCs w:val="16"/>
          <w:color w:val="auto"/>
        </w:rPr>
        <w:t>Notwithstanding the foregoing, if the Company’s absolute TSR for the Performance Period is less than negative fifteen percent (-15%), the Final Award will be based on the following chart.</w:t>
      </w:r>
    </w:p>
    <w:p>
      <w:pPr>
        <w:spacing w:after="0" w:line="39" w:lineRule="exact"/>
        <w:rPr>
          <w:sz w:val="20"/>
          <w:szCs w:val="20"/>
          <w:color w:val="auto"/>
        </w:rPr>
      </w:pPr>
    </w:p>
    <w:p>
      <w:pPr>
        <w:ind w:left="4640"/>
        <w:spacing w:after="0"/>
        <w:rPr>
          <w:sz w:val="20"/>
          <w:szCs w:val="20"/>
          <w:color w:val="auto"/>
        </w:rPr>
      </w:pPr>
      <w:r>
        <w:rPr>
          <w:rFonts w:ascii="Verdana" w:cs="Verdana" w:eastAsia="Verdana" w:hAnsi="Verdana"/>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1380" w:val="left"/>
        </w:tabs>
        <w:rPr>
          <w:sz w:val="20"/>
          <w:szCs w:val="20"/>
          <w:color w:val="auto"/>
        </w:rPr>
      </w:pPr>
      <w:r>
        <w:rPr>
          <w:rFonts w:ascii="Arial" w:cs="Arial" w:eastAsia="Arial" w:hAnsi="Arial"/>
          <w:sz w:val="12"/>
          <w:szCs w:val="12"/>
          <w:color w:val="auto"/>
        </w:rPr>
        <w:t>LEGAL\61899936\12</w:t>
      </w:r>
      <w:r>
        <w:rPr>
          <w:sz w:val="20"/>
          <w:szCs w:val="20"/>
          <w:color w:val="auto"/>
        </w:rPr>
        <w:tab/>
      </w:r>
      <w:r>
        <w:rPr>
          <w:rFonts w:ascii="Arial" w:cs="Arial" w:eastAsia="Arial" w:hAnsi="Arial"/>
          <w:sz w:val="12"/>
          <w:szCs w:val="12"/>
          <w:color w:val="auto"/>
        </w:rPr>
        <w:t>LEGAL\74461641\3</w:t>
      </w:r>
    </w:p>
    <w:p>
      <w:pPr>
        <w:sectPr>
          <w:pgSz w:w="11900" w:h="16838" w:orient="portrait"/>
          <w:cols w:equalWidth="0" w:num="1">
            <w:col w:w="10880"/>
          </w:cols>
          <w:pgMar w:left="360" w:top="1224" w:right="659" w:bottom="1440" w:gutter="0" w:footer="0" w:header="0"/>
        </w:sectPr>
      </w:pPr>
    </w:p>
    <w:bookmarkStart w:id="277" w:name="page278"/>
    <w:bookmarkEnd w:id="277"/>
    <w:p>
      <w:pPr>
        <w:spacing w:after="0" w:line="193" w:lineRule="exact"/>
        <w:rPr>
          <w:sz w:val="20"/>
          <w:szCs w:val="20"/>
          <w:color w:val="auto"/>
        </w:rPr>
      </w:pPr>
    </w:p>
    <w:tbl>
      <w:tblPr>
        <w:tblLayout w:type="fixed"/>
        <w:tblInd w:w="1710" w:type="dxa"/>
        <w:tblCellMar>
          <w:top w:w="0" w:type="dxa"/>
          <w:left w:w="0" w:type="dxa"/>
          <w:bottom w:w="0" w:type="dxa"/>
          <w:right w:w="0" w:type="dxa"/>
        </w:tblCellMar>
      </w:tblPr>
      <w:tr>
        <w:trPr>
          <w:trHeight w:val="283"/>
        </w:trPr>
        <w:tc>
          <w:tcPr>
            <w:tcW w:w="6200" w:type="dxa"/>
            <w:vAlign w:val="bottom"/>
            <w:tcBorders>
              <w:top w:val="single" w:sz="8" w:color="auto"/>
              <w:left w:val="single" w:sz="8" w:color="auto"/>
              <w:bottom w:val="single" w:sz="8" w:color="auto"/>
              <w:right w:val="single" w:sz="8" w:color="auto"/>
            </w:tcBorders>
            <w:gridSpan w:val="2"/>
          </w:tcPr>
          <w:p>
            <w:pPr>
              <w:ind w:left="2740"/>
              <w:spacing w:after="0"/>
              <w:rPr>
                <w:sz w:val="20"/>
                <w:szCs w:val="20"/>
                <w:color w:val="auto"/>
              </w:rPr>
            </w:pPr>
            <w:r>
              <w:rPr>
                <w:rFonts w:ascii="Verdana" w:cs="Verdana" w:eastAsia="Verdana" w:hAnsi="Verdana"/>
                <w:sz w:val="18"/>
                <w:szCs w:val="18"/>
                <w:b w:val="1"/>
                <w:bCs w:val="1"/>
                <w:color w:val="auto"/>
              </w:rPr>
              <w:t>Chart B</w:t>
            </w:r>
          </w:p>
        </w:tc>
      </w:tr>
      <w:tr>
        <w:trPr>
          <w:trHeight w:val="245"/>
        </w:trPr>
        <w:tc>
          <w:tcPr>
            <w:tcW w:w="3120" w:type="dxa"/>
            <w:vAlign w:val="bottom"/>
            <w:tcBorders>
              <w:left w:val="single" w:sz="8" w:color="auto"/>
              <w:right w:val="single" w:sz="8" w:color="auto"/>
            </w:tcBorders>
          </w:tcPr>
          <w:p>
            <w:pPr>
              <w:ind w:left="120"/>
              <w:spacing w:after="0"/>
              <w:rPr>
                <w:sz w:val="20"/>
                <w:szCs w:val="20"/>
                <w:color w:val="auto"/>
              </w:rPr>
            </w:pPr>
            <w:r>
              <w:rPr>
                <w:rFonts w:ascii="Verdana" w:cs="Verdana" w:eastAsia="Verdana" w:hAnsi="Verdana"/>
                <w:sz w:val="18"/>
                <w:szCs w:val="18"/>
                <w:b w:val="1"/>
                <w:bCs w:val="1"/>
                <w:color w:val="auto"/>
              </w:rPr>
              <w:t>TSR Performance Relative to</w:t>
            </w:r>
          </w:p>
        </w:tc>
        <w:tc>
          <w:tcPr>
            <w:tcW w:w="3080" w:type="dxa"/>
            <w:vAlign w:val="bottom"/>
            <w:tcBorders>
              <w:right w:val="single" w:sz="8" w:color="auto"/>
            </w:tcBorders>
          </w:tcPr>
          <w:p>
            <w:pPr>
              <w:ind w:left="100"/>
              <w:spacing w:after="0"/>
              <w:rPr>
                <w:sz w:val="20"/>
                <w:szCs w:val="20"/>
                <w:color w:val="auto"/>
              </w:rPr>
            </w:pPr>
            <w:r>
              <w:rPr>
                <w:rFonts w:ascii="Verdana" w:cs="Verdana" w:eastAsia="Verdana" w:hAnsi="Verdana"/>
                <w:sz w:val="18"/>
                <w:szCs w:val="18"/>
                <w:b w:val="1"/>
                <w:bCs w:val="1"/>
                <w:color w:val="auto"/>
              </w:rPr>
              <w:t>Payout</w:t>
            </w:r>
          </w:p>
        </w:tc>
      </w:tr>
      <w:tr>
        <w:trPr>
          <w:trHeight w:val="242"/>
        </w:trPr>
        <w:tc>
          <w:tcPr>
            <w:tcW w:w="3120" w:type="dxa"/>
            <w:vAlign w:val="bottom"/>
            <w:tcBorders>
              <w:left w:val="single" w:sz="8" w:color="auto"/>
              <w:bottom w:val="single" w:sz="8" w:color="auto"/>
              <w:right w:val="single" w:sz="8" w:color="auto"/>
            </w:tcBorders>
          </w:tcPr>
          <w:p>
            <w:pPr>
              <w:ind w:left="120"/>
              <w:spacing w:after="0"/>
              <w:rPr>
                <w:sz w:val="20"/>
                <w:szCs w:val="20"/>
                <w:color w:val="auto"/>
              </w:rPr>
            </w:pPr>
            <w:r>
              <w:rPr>
                <w:rFonts w:ascii="Verdana" w:cs="Verdana" w:eastAsia="Verdana" w:hAnsi="Verdana"/>
                <w:sz w:val="18"/>
                <w:szCs w:val="18"/>
                <w:b w:val="1"/>
                <w:bCs w:val="1"/>
                <w:color w:val="auto"/>
              </w:rPr>
              <w:t>Companies in Peer Group</w:t>
            </w:r>
          </w:p>
        </w:tc>
        <w:tc>
          <w:tcPr>
            <w:tcW w:w="3080" w:type="dxa"/>
            <w:vAlign w:val="bottom"/>
            <w:tcBorders>
              <w:bottom w:val="single" w:sz="8" w:color="auto"/>
              <w:right w:val="single" w:sz="8" w:color="auto"/>
            </w:tcBorders>
          </w:tcPr>
          <w:p>
            <w:pPr>
              <w:ind w:left="100"/>
              <w:spacing w:after="0"/>
              <w:rPr>
                <w:sz w:val="20"/>
                <w:szCs w:val="20"/>
                <w:color w:val="auto"/>
              </w:rPr>
            </w:pPr>
            <w:r>
              <w:rPr>
                <w:rFonts w:ascii="Verdana" w:cs="Verdana" w:eastAsia="Verdana" w:hAnsi="Verdana"/>
                <w:sz w:val="18"/>
                <w:szCs w:val="18"/>
                <w:b w:val="1"/>
                <w:bCs w:val="1"/>
                <w:color w:val="auto"/>
              </w:rPr>
              <w:t>(% of Target)</w:t>
            </w:r>
          </w:p>
        </w:tc>
      </w:tr>
      <w:tr>
        <w:trPr>
          <w:trHeight w:val="316"/>
        </w:trPr>
        <w:tc>
          <w:tcPr>
            <w:tcW w:w="3120" w:type="dxa"/>
            <w:vAlign w:val="bottom"/>
            <w:tcBorders>
              <w:left w:val="single" w:sz="8" w:color="auto"/>
              <w:bottom w:val="single" w:sz="8" w:color="auto"/>
              <w:right w:val="single" w:sz="8" w:color="auto"/>
            </w:tcBorders>
          </w:tcPr>
          <w:p>
            <w:pPr>
              <w:ind w:left="120"/>
              <w:spacing w:after="0"/>
              <w:rPr>
                <w:sz w:val="20"/>
                <w:szCs w:val="20"/>
                <w:color w:val="auto"/>
              </w:rPr>
            </w:pPr>
            <w:r>
              <w:rPr>
                <w:rFonts w:ascii="Verdana" w:cs="Verdana" w:eastAsia="Verdana" w:hAnsi="Verdana"/>
                <w:sz w:val="18"/>
                <w:szCs w:val="18"/>
                <w:b w:val="1"/>
                <w:bCs w:val="1"/>
                <w:color w:val="auto"/>
              </w:rPr>
              <w:t>75th Percentile or Above</w:t>
            </w:r>
          </w:p>
        </w:tc>
        <w:tc>
          <w:tcPr>
            <w:tcW w:w="3080" w:type="dxa"/>
            <w:vAlign w:val="bottom"/>
            <w:tcBorders>
              <w:bottom w:val="single" w:sz="8" w:color="auto"/>
              <w:right w:val="single" w:sz="8" w:color="auto"/>
            </w:tcBorders>
          </w:tcPr>
          <w:p>
            <w:pPr>
              <w:ind w:left="100"/>
              <w:spacing w:after="0"/>
              <w:rPr>
                <w:sz w:val="20"/>
                <w:szCs w:val="20"/>
                <w:color w:val="auto"/>
              </w:rPr>
            </w:pPr>
            <w:r>
              <w:rPr>
                <w:rFonts w:ascii="Verdana" w:cs="Verdana" w:eastAsia="Verdana" w:hAnsi="Verdana"/>
                <w:sz w:val="18"/>
                <w:szCs w:val="18"/>
                <w:b w:val="1"/>
                <w:bCs w:val="1"/>
                <w:color w:val="auto"/>
              </w:rPr>
              <w:t>200%</w:t>
            </w:r>
          </w:p>
        </w:tc>
      </w:tr>
      <w:tr>
        <w:trPr>
          <w:trHeight w:val="269"/>
        </w:trPr>
        <w:tc>
          <w:tcPr>
            <w:tcW w:w="3120" w:type="dxa"/>
            <w:vAlign w:val="bottom"/>
            <w:tcBorders>
              <w:left w:val="single" w:sz="8" w:color="auto"/>
              <w:bottom w:val="single" w:sz="8" w:color="auto"/>
              <w:right w:val="single" w:sz="8" w:color="auto"/>
            </w:tcBorders>
          </w:tcPr>
          <w:p>
            <w:pPr>
              <w:ind w:left="120"/>
              <w:spacing w:after="0"/>
              <w:rPr>
                <w:sz w:val="20"/>
                <w:szCs w:val="20"/>
                <w:color w:val="auto"/>
              </w:rPr>
            </w:pPr>
            <w:r>
              <w:rPr>
                <w:rFonts w:ascii="Verdana" w:cs="Verdana" w:eastAsia="Verdana" w:hAnsi="Verdana"/>
                <w:sz w:val="18"/>
                <w:szCs w:val="18"/>
                <w:b w:val="1"/>
                <w:bCs w:val="1"/>
                <w:color w:val="auto"/>
              </w:rPr>
              <w:t>65th Percentile - TARGET</w:t>
            </w:r>
          </w:p>
        </w:tc>
        <w:tc>
          <w:tcPr>
            <w:tcW w:w="3080" w:type="dxa"/>
            <w:vAlign w:val="bottom"/>
            <w:tcBorders>
              <w:bottom w:val="single" w:sz="8" w:color="auto"/>
              <w:right w:val="single" w:sz="8" w:color="auto"/>
            </w:tcBorders>
          </w:tcPr>
          <w:p>
            <w:pPr>
              <w:ind w:left="100"/>
              <w:spacing w:after="0"/>
              <w:rPr>
                <w:sz w:val="20"/>
                <w:szCs w:val="20"/>
                <w:color w:val="auto"/>
              </w:rPr>
            </w:pPr>
            <w:r>
              <w:rPr>
                <w:rFonts w:ascii="Verdana" w:cs="Verdana" w:eastAsia="Verdana" w:hAnsi="Verdana"/>
                <w:sz w:val="18"/>
                <w:szCs w:val="18"/>
                <w:b w:val="1"/>
                <w:bCs w:val="1"/>
                <w:color w:val="auto"/>
              </w:rPr>
              <w:t>100%</w:t>
            </w:r>
          </w:p>
        </w:tc>
      </w:tr>
      <w:tr>
        <w:trPr>
          <w:trHeight w:val="269"/>
        </w:trPr>
        <w:tc>
          <w:tcPr>
            <w:tcW w:w="3120" w:type="dxa"/>
            <w:vAlign w:val="bottom"/>
            <w:tcBorders>
              <w:left w:val="single" w:sz="8" w:color="auto"/>
              <w:bottom w:val="single" w:sz="8" w:color="auto"/>
              <w:right w:val="single" w:sz="8" w:color="auto"/>
            </w:tcBorders>
          </w:tcPr>
          <w:p>
            <w:pPr>
              <w:ind w:left="120"/>
              <w:spacing w:after="0"/>
              <w:rPr>
                <w:sz w:val="20"/>
                <w:szCs w:val="20"/>
                <w:color w:val="auto"/>
              </w:rPr>
            </w:pPr>
            <w:r>
              <w:rPr>
                <w:rFonts w:ascii="Verdana" w:cs="Verdana" w:eastAsia="Verdana" w:hAnsi="Verdana"/>
                <w:sz w:val="18"/>
                <w:szCs w:val="18"/>
                <w:b w:val="1"/>
                <w:bCs w:val="1"/>
                <w:color w:val="auto"/>
              </w:rPr>
              <w:t>25th Percentile</w:t>
            </w:r>
          </w:p>
        </w:tc>
        <w:tc>
          <w:tcPr>
            <w:tcW w:w="3080" w:type="dxa"/>
            <w:vAlign w:val="bottom"/>
            <w:tcBorders>
              <w:bottom w:val="single" w:sz="8" w:color="auto"/>
              <w:right w:val="single" w:sz="8" w:color="auto"/>
            </w:tcBorders>
          </w:tcPr>
          <w:p>
            <w:pPr>
              <w:ind w:left="100"/>
              <w:spacing w:after="0"/>
              <w:rPr>
                <w:sz w:val="20"/>
                <w:szCs w:val="20"/>
                <w:color w:val="auto"/>
              </w:rPr>
            </w:pPr>
            <w:r>
              <w:rPr>
                <w:rFonts w:ascii="Verdana" w:cs="Verdana" w:eastAsia="Verdana" w:hAnsi="Verdana"/>
                <w:sz w:val="18"/>
                <w:szCs w:val="18"/>
                <w:b w:val="1"/>
                <w:bCs w:val="1"/>
                <w:color w:val="auto"/>
              </w:rPr>
              <w:t>25%</w:t>
            </w:r>
          </w:p>
        </w:tc>
      </w:tr>
      <w:tr>
        <w:trPr>
          <w:trHeight w:val="276"/>
        </w:trPr>
        <w:tc>
          <w:tcPr>
            <w:tcW w:w="3120" w:type="dxa"/>
            <w:vAlign w:val="bottom"/>
            <w:tcBorders>
              <w:left w:val="single" w:sz="8" w:color="auto"/>
              <w:bottom w:val="single" w:sz="8" w:color="auto"/>
              <w:right w:val="single" w:sz="8" w:color="auto"/>
            </w:tcBorders>
          </w:tcPr>
          <w:p>
            <w:pPr>
              <w:ind w:left="120"/>
              <w:spacing w:after="0"/>
              <w:rPr>
                <w:sz w:val="20"/>
                <w:szCs w:val="20"/>
                <w:color w:val="auto"/>
              </w:rPr>
            </w:pPr>
            <w:r>
              <w:rPr>
                <w:rFonts w:ascii="Verdana" w:cs="Verdana" w:eastAsia="Verdana" w:hAnsi="Verdana"/>
                <w:sz w:val="18"/>
                <w:szCs w:val="18"/>
                <w:b w:val="1"/>
                <w:bCs w:val="1"/>
                <w:color w:val="auto"/>
              </w:rPr>
              <w:t>Below the 25th Percentile</w:t>
            </w:r>
          </w:p>
        </w:tc>
        <w:tc>
          <w:tcPr>
            <w:tcW w:w="3080" w:type="dxa"/>
            <w:vAlign w:val="bottom"/>
            <w:tcBorders>
              <w:bottom w:val="single" w:sz="8" w:color="auto"/>
              <w:right w:val="single" w:sz="8" w:color="auto"/>
            </w:tcBorders>
          </w:tcPr>
          <w:p>
            <w:pPr>
              <w:ind w:left="100"/>
              <w:spacing w:after="0"/>
              <w:rPr>
                <w:sz w:val="20"/>
                <w:szCs w:val="20"/>
                <w:color w:val="auto"/>
              </w:rPr>
            </w:pPr>
            <w:r>
              <w:rPr>
                <w:rFonts w:ascii="Verdana" w:cs="Verdana" w:eastAsia="Verdana" w:hAnsi="Verdana"/>
                <w:sz w:val="18"/>
                <w:szCs w:val="18"/>
                <w:b w:val="1"/>
                <w:bCs w:val="1"/>
                <w:color w:val="auto"/>
              </w:rPr>
              <w:t>0%</w:t>
            </w:r>
          </w:p>
        </w:tc>
      </w:tr>
    </w:tbl>
    <w:p>
      <w:pPr>
        <w:spacing w:after="0" w:line="200" w:lineRule="exact"/>
        <w:rPr>
          <w:sz w:val="20"/>
          <w:szCs w:val="20"/>
          <w:color w:val="auto"/>
        </w:rPr>
      </w:pPr>
    </w:p>
    <w:p>
      <w:pPr>
        <w:spacing w:after="0" w:line="387" w:lineRule="exact"/>
        <w:rPr>
          <w:sz w:val="20"/>
          <w:szCs w:val="20"/>
          <w:color w:val="auto"/>
        </w:rPr>
      </w:pPr>
    </w:p>
    <w:p>
      <w:pPr>
        <w:ind w:left="360"/>
        <w:spacing w:after="0"/>
        <w:rPr>
          <w:sz w:val="20"/>
          <w:szCs w:val="20"/>
          <w:color w:val="auto"/>
        </w:rPr>
      </w:pPr>
      <w:r>
        <w:rPr>
          <w:rFonts w:ascii="Verdana" w:cs="Verdana" w:eastAsia="Verdana" w:hAnsi="Verdana"/>
          <w:sz w:val="18"/>
          <w:szCs w:val="18"/>
          <w:b w:val="1"/>
          <w:bCs w:val="1"/>
          <w:color w:val="auto"/>
        </w:rPr>
        <w:t>2. Measuring Performance and relative TSR Ranking</w:t>
      </w:r>
    </w:p>
    <w:p>
      <w:pPr>
        <w:spacing w:after="0" w:line="202" w:lineRule="exact"/>
        <w:rPr>
          <w:sz w:val="20"/>
          <w:szCs w:val="20"/>
          <w:color w:val="auto"/>
        </w:rPr>
      </w:pPr>
    </w:p>
    <w:p>
      <w:pPr>
        <w:ind w:left="600"/>
        <w:spacing w:after="0"/>
        <w:rPr>
          <w:sz w:val="20"/>
          <w:szCs w:val="20"/>
          <w:color w:val="auto"/>
        </w:rPr>
      </w:pPr>
      <w:r>
        <w:rPr>
          <w:rFonts w:ascii="Verdana" w:cs="Verdana" w:eastAsia="Verdana" w:hAnsi="Verdana"/>
          <w:sz w:val="18"/>
          <w:szCs w:val="18"/>
          <w:b w:val="1"/>
          <w:bCs w:val="1"/>
          <w:color w:val="auto"/>
        </w:rPr>
        <w:t>(a) Performance Measure and RPSUs</w:t>
      </w:r>
    </w:p>
    <w:p>
      <w:pPr>
        <w:spacing w:after="0" w:line="202" w:lineRule="exact"/>
        <w:rPr>
          <w:sz w:val="20"/>
          <w:szCs w:val="20"/>
          <w:color w:val="auto"/>
        </w:rPr>
      </w:pPr>
    </w:p>
    <w:p>
      <w:pPr>
        <w:ind w:left="600"/>
        <w:spacing w:after="0"/>
        <w:rPr>
          <w:sz w:val="20"/>
          <w:szCs w:val="20"/>
          <w:color w:val="auto"/>
        </w:rPr>
      </w:pPr>
      <w:r>
        <w:rPr>
          <w:rFonts w:ascii="Verdana" w:cs="Verdana" w:eastAsia="Verdana" w:hAnsi="Verdana"/>
          <w:sz w:val="16"/>
          <w:szCs w:val="16"/>
          <w:color w:val="auto"/>
        </w:rPr>
        <w:t>For purposes of determining the Final Award, as soon as practicable after the completion of the Performance Period,</w:t>
      </w:r>
    </w:p>
    <w:p>
      <w:pPr>
        <w:spacing w:after="0" w:line="16" w:lineRule="exact"/>
        <w:rPr>
          <w:sz w:val="20"/>
          <w:szCs w:val="20"/>
          <w:color w:val="auto"/>
        </w:rPr>
      </w:pPr>
    </w:p>
    <w:p>
      <w:pPr>
        <w:jc w:val="both"/>
        <w:ind w:left="600" w:hanging="3"/>
        <w:spacing w:after="0" w:line="234" w:lineRule="auto"/>
        <w:tabs>
          <w:tab w:leader="none" w:pos="872" w:val="left"/>
        </w:tabs>
        <w:numPr>
          <w:ilvl w:val="0"/>
          <w:numId w:val="266"/>
        </w:numPr>
        <w:rPr>
          <w:rFonts w:ascii="Verdana" w:cs="Verdana" w:eastAsia="Verdana" w:hAnsi="Verdana"/>
          <w:sz w:val="18"/>
          <w:szCs w:val="18"/>
          <w:color w:val="auto"/>
        </w:rPr>
      </w:pPr>
      <w:r>
        <w:rPr>
          <w:rFonts w:ascii="Verdana" w:cs="Verdana" w:eastAsia="Verdana" w:hAnsi="Verdana"/>
          <w:sz w:val="18"/>
          <w:szCs w:val="18"/>
          <w:color w:val="auto"/>
        </w:rPr>
        <w:t xml:space="preserve">the TSRs of the Company and the companies set forth on </w:t>
      </w:r>
      <w:r>
        <w:rPr>
          <w:rFonts w:ascii="Verdana" w:cs="Verdana" w:eastAsia="Verdana" w:hAnsi="Verdana"/>
          <w:sz w:val="18"/>
          <w:szCs w:val="18"/>
          <w:u w:val="single" w:color="auto"/>
          <w:color w:val="auto"/>
        </w:rPr>
        <w:t>Exhibit A</w:t>
      </w:r>
      <w:r>
        <w:rPr>
          <w:rFonts w:ascii="Verdana" w:cs="Verdana" w:eastAsia="Verdana" w:hAnsi="Verdana"/>
          <w:sz w:val="18"/>
          <w:szCs w:val="18"/>
          <w:color w:val="auto"/>
        </w:rPr>
        <w:t>, which comprise the peer group for purposes of this Agreement (each company is referred to as a “</w:t>
      </w:r>
      <w:r>
        <w:rPr>
          <w:rFonts w:ascii="Verdana" w:cs="Verdana" w:eastAsia="Verdana" w:hAnsi="Verdana"/>
          <w:sz w:val="18"/>
          <w:szCs w:val="18"/>
          <w:u w:val="single" w:color="auto"/>
          <w:color w:val="auto"/>
        </w:rPr>
        <w:t>Peer Group Member</w:t>
      </w:r>
      <w:r>
        <w:rPr>
          <w:rFonts w:ascii="Verdana" w:cs="Verdana" w:eastAsia="Verdana" w:hAnsi="Verdana"/>
          <w:sz w:val="18"/>
          <w:szCs w:val="18"/>
          <w:color w:val="auto"/>
        </w:rPr>
        <w:t xml:space="preserve">”), shall be calculated pursuant to </w:t>
      </w:r>
      <w:r>
        <w:rPr>
          <w:rFonts w:ascii="Verdana" w:cs="Verdana" w:eastAsia="Verdana" w:hAnsi="Verdana"/>
          <w:sz w:val="18"/>
          <w:szCs w:val="18"/>
          <w:u w:val="single" w:color="auto"/>
          <w:color w:val="auto"/>
        </w:rPr>
        <w:t>Section</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auto"/>
        </w:rPr>
        <w:t>2(d)</w:t>
      </w:r>
      <w:r>
        <w:rPr>
          <w:rFonts w:ascii="Verdana" w:cs="Verdana" w:eastAsia="Verdana" w:hAnsi="Verdana"/>
          <w:sz w:val="18"/>
          <w:szCs w:val="18"/>
          <w:color w:val="auto"/>
        </w:rPr>
        <w:t xml:space="preserve"> and (ii) the relative ranking of the Company’s TSR for the Performance Period, as compared to the TSR for each Peer Group Member for the Performance Period, shall be determined and expressed as a percentile ranking as described in </w:t>
      </w:r>
      <w:r>
        <w:rPr>
          <w:rFonts w:ascii="Verdana" w:cs="Verdana" w:eastAsia="Verdana" w:hAnsi="Verdana"/>
          <w:sz w:val="18"/>
          <w:szCs w:val="18"/>
          <w:u w:val="single" w:color="auto"/>
          <w:color w:val="auto"/>
        </w:rPr>
        <w:t>Section 2(b)</w:t>
      </w:r>
      <w:r>
        <w:rPr>
          <w:rFonts w:ascii="Verdana" w:cs="Verdana" w:eastAsia="Verdana" w:hAnsi="Verdana"/>
          <w:sz w:val="18"/>
          <w:szCs w:val="18"/>
          <w:color w:val="auto"/>
        </w:rPr>
        <w:t>.</w:t>
      </w:r>
    </w:p>
    <w:p>
      <w:pPr>
        <w:spacing w:after="0" w:line="197" w:lineRule="exact"/>
        <w:rPr>
          <w:sz w:val="20"/>
          <w:szCs w:val="20"/>
          <w:color w:val="auto"/>
        </w:rPr>
      </w:pPr>
    </w:p>
    <w:p>
      <w:pPr>
        <w:ind w:left="600"/>
        <w:spacing w:after="0"/>
        <w:rPr>
          <w:sz w:val="20"/>
          <w:szCs w:val="20"/>
          <w:color w:val="auto"/>
        </w:rPr>
      </w:pPr>
      <w:r>
        <w:rPr>
          <w:rFonts w:ascii="Verdana" w:cs="Verdana" w:eastAsia="Verdana" w:hAnsi="Verdana"/>
          <w:sz w:val="18"/>
          <w:szCs w:val="18"/>
          <w:b w:val="1"/>
          <w:bCs w:val="1"/>
          <w:color w:val="auto"/>
        </w:rPr>
        <w:t>(b) Total Shareholder Percentile Ranking</w:t>
      </w:r>
    </w:p>
    <w:p>
      <w:pPr>
        <w:spacing w:after="0" w:line="202" w:lineRule="exact"/>
        <w:rPr>
          <w:sz w:val="20"/>
          <w:szCs w:val="20"/>
          <w:color w:val="auto"/>
        </w:rPr>
      </w:pPr>
    </w:p>
    <w:p>
      <w:pPr>
        <w:jc w:val="both"/>
        <w:ind w:left="600"/>
        <w:spacing w:after="0" w:line="237" w:lineRule="auto"/>
        <w:rPr>
          <w:sz w:val="20"/>
          <w:szCs w:val="20"/>
          <w:color w:val="auto"/>
        </w:rPr>
      </w:pPr>
      <w:r>
        <w:rPr>
          <w:rFonts w:ascii="Verdana" w:cs="Verdana" w:eastAsia="Verdana" w:hAnsi="Verdana"/>
          <w:sz w:val="18"/>
          <w:szCs w:val="18"/>
          <w:color w:val="auto"/>
        </w:rPr>
        <w:t>The Company’s TSR percentile ranking is based on the TSR to the Company’s stockholders during the Performance Period, inclusive of dividends paid, relative to the TSR during the Performance Period, inclusive of dividends paid, achieved by each of the Peer Group Members.</w:t>
      </w:r>
    </w:p>
    <w:p>
      <w:pPr>
        <w:spacing w:after="0" w:line="194" w:lineRule="exact"/>
        <w:rPr>
          <w:sz w:val="20"/>
          <w:szCs w:val="20"/>
          <w:color w:val="auto"/>
        </w:rPr>
      </w:pPr>
    </w:p>
    <w:p>
      <w:pPr>
        <w:jc w:val="both"/>
        <w:ind w:left="600"/>
        <w:spacing w:after="0" w:line="235" w:lineRule="auto"/>
        <w:rPr>
          <w:sz w:val="20"/>
          <w:szCs w:val="20"/>
          <w:color w:val="auto"/>
        </w:rPr>
      </w:pPr>
      <w:r>
        <w:rPr>
          <w:rFonts w:ascii="Verdana" w:cs="Verdana" w:eastAsia="Verdana" w:hAnsi="Verdana"/>
          <w:sz w:val="18"/>
          <w:szCs w:val="18"/>
          <w:color w:val="auto"/>
        </w:rPr>
        <w:t>The Company’s TSR percentile ranking shall be determined as follows: the TSR percentile ranking shall be determined by ranking ranking the Company and each of the Peer Group Members from highest to lowest according to their respective TSRs. After this ranking, the percentile performance of the Company relative to the Peer Group Members will be determined as follows:</w:t>
      </w:r>
    </w:p>
    <w:p>
      <w:pPr>
        <w:spacing w:after="0" w:line="188" w:lineRule="exact"/>
        <w:rPr>
          <w:sz w:val="20"/>
          <w:szCs w:val="20"/>
          <w:color w:val="auto"/>
        </w:rPr>
      </w:pPr>
    </w:p>
    <w:p>
      <w:pPr>
        <w:jc w:val="center"/>
        <w:ind w:right="-279"/>
        <w:spacing w:after="0"/>
        <w:rPr>
          <w:sz w:val="20"/>
          <w:szCs w:val="20"/>
          <w:color w:val="auto"/>
        </w:rPr>
      </w:pPr>
      <w:r>
        <w:rPr>
          <w:rFonts w:ascii="Verdana" w:cs="Verdana" w:eastAsia="Verdana" w:hAnsi="Verdana"/>
          <w:sz w:val="18"/>
          <w:szCs w:val="18"/>
          <w:color w:val="auto"/>
        </w:rPr>
        <w:t xml:space="preserve">P=1 – </w:t>
      </w:r>
      <w:r>
        <w:rPr>
          <w:rFonts w:ascii="Verdana" w:cs="Verdana" w:eastAsia="Verdana" w:hAnsi="Verdana"/>
          <w:sz w:val="18"/>
          <w:szCs w:val="18"/>
          <w:u w:val="single" w:color="auto"/>
          <w:color w:val="auto"/>
        </w:rPr>
        <w:t>R-1</w:t>
      </w:r>
    </w:p>
    <w:p>
      <w:pPr>
        <w:jc w:val="center"/>
        <w:ind w:right="-279"/>
        <w:spacing w:after="0"/>
        <w:rPr>
          <w:sz w:val="20"/>
          <w:szCs w:val="20"/>
          <w:color w:val="auto"/>
        </w:rPr>
      </w:pPr>
      <w:r>
        <w:rPr>
          <w:rFonts w:ascii="Verdana" w:cs="Verdana" w:eastAsia="Verdana" w:hAnsi="Verdana"/>
          <w:sz w:val="18"/>
          <w:szCs w:val="18"/>
          <w:color w:val="auto"/>
        </w:rPr>
        <w:t>N-1</w:t>
      </w:r>
    </w:p>
    <w:p>
      <w:pPr>
        <w:spacing w:after="0" w:line="202" w:lineRule="exact"/>
        <w:rPr>
          <w:sz w:val="20"/>
          <w:szCs w:val="20"/>
          <w:color w:val="auto"/>
        </w:rPr>
      </w:pPr>
    </w:p>
    <w:p>
      <w:pPr>
        <w:ind w:left="600"/>
        <w:spacing w:after="0"/>
        <w:rPr>
          <w:sz w:val="20"/>
          <w:szCs w:val="20"/>
          <w:color w:val="auto"/>
        </w:rPr>
      </w:pPr>
      <w:r>
        <w:rPr>
          <w:rFonts w:ascii="Verdana" w:cs="Verdana" w:eastAsia="Verdana" w:hAnsi="Verdana"/>
          <w:sz w:val="18"/>
          <w:szCs w:val="18"/>
          <w:color w:val="auto"/>
        </w:rPr>
        <w:t>where: “P” represents the percentile performance</w:t>
      </w:r>
    </w:p>
    <w:p>
      <w:pPr>
        <w:spacing w:after="0" w:line="194" w:lineRule="exact"/>
        <w:rPr>
          <w:sz w:val="20"/>
          <w:szCs w:val="20"/>
          <w:color w:val="auto"/>
        </w:rPr>
      </w:pPr>
    </w:p>
    <w:p>
      <w:pPr>
        <w:ind w:left="1540"/>
        <w:spacing w:after="0"/>
        <w:rPr>
          <w:sz w:val="20"/>
          <w:szCs w:val="20"/>
          <w:color w:val="auto"/>
        </w:rPr>
      </w:pPr>
      <w:r>
        <w:rPr>
          <w:rFonts w:ascii="Verdana" w:cs="Verdana" w:eastAsia="Verdana" w:hAnsi="Verdana"/>
          <w:sz w:val="18"/>
          <w:szCs w:val="18"/>
          <w:color w:val="auto"/>
        </w:rPr>
        <w:t>“N” represents the number of Peer Group Members, including the Company, as of the vesting date.</w:t>
      </w:r>
    </w:p>
    <w:p>
      <w:pPr>
        <w:ind w:left="1540"/>
        <w:spacing w:after="0"/>
        <w:rPr>
          <w:sz w:val="20"/>
          <w:szCs w:val="20"/>
          <w:color w:val="auto"/>
        </w:rPr>
      </w:pPr>
      <w:r>
        <w:rPr>
          <w:rFonts w:ascii="Verdana" w:cs="Verdana" w:eastAsia="Verdana" w:hAnsi="Verdana"/>
          <w:sz w:val="18"/>
          <w:szCs w:val="18"/>
          <w:color w:val="auto"/>
        </w:rPr>
        <w:t>“R” represents the Company’s ranking among the Peer Group Members.</w:t>
      </w:r>
    </w:p>
    <w:p>
      <w:pPr>
        <w:spacing w:after="0" w:line="202" w:lineRule="exact"/>
        <w:rPr>
          <w:sz w:val="20"/>
          <w:szCs w:val="20"/>
          <w:color w:val="auto"/>
        </w:rPr>
      </w:pPr>
    </w:p>
    <w:p>
      <w:pPr>
        <w:jc w:val="both"/>
        <w:ind w:left="1220" w:hanging="432"/>
        <w:spacing w:after="0" w:line="235" w:lineRule="auto"/>
        <w:tabs>
          <w:tab w:leader="none" w:pos="1219" w:val="left"/>
        </w:tabs>
        <w:numPr>
          <w:ilvl w:val="0"/>
          <w:numId w:val="267"/>
        </w:numPr>
        <w:rPr>
          <w:rFonts w:ascii="Verdana" w:cs="Verdana" w:eastAsia="Verdana" w:hAnsi="Verdana"/>
          <w:sz w:val="18"/>
          <w:szCs w:val="18"/>
          <w:b w:val="1"/>
          <w:bCs w:val="1"/>
          <w:color w:val="auto"/>
        </w:rPr>
      </w:pPr>
      <w:r>
        <w:rPr>
          <w:rFonts w:ascii="Verdana" w:cs="Verdana" w:eastAsia="Verdana" w:hAnsi="Verdana"/>
          <w:sz w:val="18"/>
          <w:szCs w:val="18"/>
          <w:color w:val="auto"/>
        </w:rPr>
        <w:t>In the event a bankruptcy proceeding is commenced during the Performance Period with respect to any Peer Group Member, or if at any time during the Performance Period a Peer Group Member is liquidated or delisted, such company shall be treated as having a TSR of negative one hundred (-100%) for the Performance Period for purposes of TSR percentile ranking.</w:t>
      </w:r>
    </w:p>
    <w:p>
      <w:pPr>
        <w:spacing w:after="0" w:line="195" w:lineRule="exact"/>
        <w:rPr>
          <w:rFonts w:ascii="Verdana" w:cs="Verdana" w:eastAsia="Verdana" w:hAnsi="Verdana"/>
          <w:sz w:val="18"/>
          <w:szCs w:val="18"/>
          <w:b w:val="1"/>
          <w:bCs w:val="1"/>
          <w:color w:val="auto"/>
        </w:rPr>
      </w:pPr>
    </w:p>
    <w:p>
      <w:pPr>
        <w:ind w:left="1220" w:hanging="491"/>
        <w:spacing w:after="0" w:line="241" w:lineRule="auto"/>
        <w:tabs>
          <w:tab w:leader="none" w:pos="1220" w:val="left"/>
        </w:tabs>
        <w:numPr>
          <w:ilvl w:val="0"/>
          <w:numId w:val="267"/>
        </w:numPr>
        <w:rPr>
          <w:rFonts w:ascii="Verdana" w:cs="Verdana" w:eastAsia="Verdana" w:hAnsi="Verdana"/>
          <w:sz w:val="18"/>
          <w:szCs w:val="18"/>
          <w:b w:val="1"/>
          <w:bCs w:val="1"/>
          <w:color w:val="auto"/>
        </w:rPr>
      </w:pPr>
      <w:r>
        <w:rPr>
          <w:rFonts w:ascii="Verdana" w:cs="Verdana" w:eastAsia="Verdana" w:hAnsi="Verdana"/>
          <w:sz w:val="18"/>
          <w:szCs w:val="18"/>
          <w:color w:val="auto"/>
        </w:rPr>
        <w:t>In the event that a merger, acquisition or business combination of a Peer Group Member by or with another Peer Group Member is consummated during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280" w:val="left"/>
          <w:tab w:leader="none" w:pos="1680" w:val="left"/>
        </w:tabs>
        <w:rPr>
          <w:sz w:val="20"/>
          <w:szCs w:val="20"/>
          <w:color w:val="auto"/>
        </w:rPr>
      </w:pPr>
      <w:r>
        <w:rPr>
          <w:rFonts w:ascii="Verdana" w:cs="Verdana" w:eastAsia="Verdana" w:hAnsi="Verdana"/>
          <w:sz w:val="18"/>
          <w:szCs w:val="18"/>
          <w:color w:val="auto"/>
        </w:rPr>
        <w:t>3</w:t>
      </w:r>
      <w:r>
        <w:rPr>
          <w:sz w:val="20"/>
          <w:szCs w:val="20"/>
          <w:color w:val="auto"/>
        </w:rPr>
        <w:tab/>
      </w:r>
      <w:r>
        <w:rPr>
          <w:rFonts w:ascii="Arial" w:cs="Arial" w:eastAsia="Arial" w:hAnsi="Arial"/>
          <w:sz w:val="12"/>
          <w:szCs w:val="12"/>
          <w:color w:val="auto"/>
        </w:rPr>
        <w:t>LEGAL\61899936\12</w:t>
      </w:r>
      <w:r>
        <w:rPr>
          <w:sz w:val="20"/>
          <w:szCs w:val="20"/>
          <w:color w:val="auto"/>
        </w:rPr>
        <w:tab/>
      </w:r>
      <w:r>
        <w:rPr>
          <w:rFonts w:ascii="Arial" w:cs="Arial" w:eastAsia="Arial" w:hAnsi="Arial"/>
          <w:sz w:val="12"/>
          <w:szCs w:val="12"/>
          <w:color w:val="auto"/>
        </w:rPr>
        <w:t>LEGAL\74461641\3</w:t>
      </w:r>
    </w:p>
    <w:p>
      <w:pPr>
        <w:sectPr>
          <w:pgSz w:w="11900" w:h="16838" w:orient="portrait"/>
          <w:cols w:equalWidth="0" w:num="1">
            <w:col w:w="10880"/>
          </w:cols>
          <w:pgMar w:left="360" w:top="1440" w:right="659" w:bottom="1440" w:gutter="0" w:footer="0" w:header="0"/>
        </w:sectPr>
      </w:pPr>
    </w:p>
    <w:bookmarkStart w:id="278" w:name="page279"/>
    <w:bookmarkEnd w:id="278"/>
    <w:p>
      <w:pPr>
        <w:jc w:val="both"/>
        <w:ind w:left="1220" w:right="20"/>
        <w:spacing w:after="0" w:line="234" w:lineRule="auto"/>
        <w:rPr>
          <w:sz w:val="20"/>
          <w:szCs w:val="20"/>
          <w:color w:val="auto"/>
        </w:rPr>
      </w:pPr>
      <w:r>
        <w:rPr>
          <w:rFonts w:ascii="Verdana" w:cs="Verdana" w:eastAsia="Verdana" w:hAnsi="Verdana"/>
          <w:sz w:val="18"/>
          <w:szCs w:val="18"/>
          <w:color w:val="auto"/>
        </w:rPr>
        <w:t>then the entity that survives as a result of such merger, acquisition, or business combination will be considered a Peer Group Member for purposes of TSR percentile ranking for the Performance Period; the Peer Group Member that is not the entity that survives as a result of such merger, acquisition or business combination, shall be removed and treated as if it had never been in the peer group for purposes of the TSR percentile ranking for the Performance Period.</w:t>
      </w:r>
    </w:p>
    <w:p>
      <w:pPr>
        <w:spacing w:after="0" w:line="197" w:lineRule="exact"/>
        <w:rPr>
          <w:sz w:val="20"/>
          <w:szCs w:val="20"/>
          <w:color w:val="auto"/>
        </w:rPr>
      </w:pPr>
    </w:p>
    <w:p>
      <w:pPr>
        <w:jc w:val="both"/>
        <w:ind w:left="1220" w:right="20" w:hanging="552"/>
        <w:spacing w:after="0" w:line="234" w:lineRule="auto"/>
        <w:tabs>
          <w:tab w:leader="none" w:pos="1218" w:val="left"/>
        </w:tabs>
        <w:numPr>
          <w:ilvl w:val="1"/>
          <w:numId w:val="268"/>
        </w:numPr>
        <w:rPr>
          <w:rFonts w:ascii="Verdana" w:cs="Verdana" w:eastAsia="Verdana" w:hAnsi="Verdana"/>
          <w:sz w:val="18"/>
          <w:szCs w:val="18"/>
          <w:b w:val="1"/>
          <w:bCs w:val="1"/>
          <w:color w:val="auto"/>
        </w:rPr>
      </w:pPr>
      <w:r>
        <w:rPr>
          <w:rFonts w:ascii="Verdana" w:cs="Verdana" w:eastAsia="Verdana" w:hAnsi="Verdana"/>
          <w:sz w:val="18"/>
          <w:szCs w:val="18"/>
          <w:color w:val="auto"/>
        </w:rPr>
        <w:t>In the event that a merger, acquisition or business combination of a Peer Group Member by or with an entity that is not a Peer Group Member is consummated during the Performance Period, and such Peer Group Member is the entity that survives as a result of such merger, acquisition, or business combination, then such Peer Group Member will continue to be considered a Peer Group Member for purposes of TSR percentile ranking for the Performance Period.</w:t>
      </w:r>
    </w:p>
    <w:p>
      <w:pPr>
        <w:spacing w:after="0" w:line="188" w:lineRule="exact"/>
        <w:rPr>
          <w:rFonts w:ascii="Verdana" w:cs="Verdana" w:eastAsia="Verdana" w:hAnsi="Verdana"/>
          <w:sz w:val="18"/>
          <w:szCs w:val="18"/>
          <w:b w:val="1"/>
          <w:bCs w:val="1"/>
          <w:color w:val="auto"/>
        </w:rPr>
      </w:pPr>
    </w:p>
    <w:p>
      <w:pPr>
        <w:ind w:left="1220" w:hanging="545"/>
        <w:spacing w:after="0"/>
        <w:tabs>
          <w:tab w:leader="none" w:pos="1220" w:val="left"/>
        </w:tabs>
        <w:numPr>
          <w:ilvl w:val="1"/>
          <w:numId w:val="268"/>
        </w:numPr>
        <w:rPr>
          <w:rFonts w:ascii="Verdana" w:cs="Verdana" w:eastAsia="Verdana" w:hAnsi="Verdana"/>
          <w:sz w:val="18"/>
          <w:szCs w:val="18"/>
          <w:b w:val="1"/>
          <w:bCs w:val="1"/>
          <w:color w:val="auto"/>
        </w:rPr>
      </w:pPr>
      <w:r>
        <w:rPr>
          <w:rFonts w:ascii="Verdana" w:cs="Verdana" w:eastAsia="Verdana" w:hAnsi="Verdana"/>
          <w:sz w:val="18"/>
          <w:szCs w:val="18"/>
          <w:color w:val="auto"/>
        </w:rPr>
        <w:t>In the event that (i) a Peer Group Member ceases to be a publicly-traded company, or</w:t>
      </w:r>
    </w:p>
    <w:p>
      <w:pPr>
        <w:jc w:val="both"/>
        <w:ind w:left="1220" w:right="20"/>
        <w:spacing w:after="0" w:line="234" w:lineRule="auto"/>
        <w:rPr>
          <w:rFonts w:ascii="Verdana" w:cs="Verdana" w:eastAsia="Verdana" w:hAnsi="Verdana"/>
          <w:sz w:val="18"/>
          <w:szCs w:val="18"/>
          <w:b w:val="1"/>
          <w:bCs w:val="1"/>
          <w:color w:val="auto"/>
        </w:rPr>
      </w:pPr>
      <w:r>
        <w:rPr>
          <w:rFonts w:ascii="Verdana" w:cs="Verdana" w:eastAsia="Verdana" w:hAnsi="Verdana"/>
          <w:sz w:val="18"/>
          <w:szCs w:val="18"/>
          <w:color w:val="auto"/>
        </w:rPr>
        <w:t>(ii) a merger, acquisition or business combination of a Peer Group Member by or with an entity that is not Peer Group Member is consummated during the Performance Period, and such Peer Group Member is not the entity that survives as a result of such merger, acquisition, or business combination, then such Peer Group Member shall be removed and treated as if it had never been in the peer group for purposes of TSR percentile ranking for the Performance Period.</w:t>
      </w:r>
    </w:p>
    <w:p>
      <w:pPr>
        <w:spacing w:after="0" w:line="196" w:lineRule="exact"/>
        <w:rPr>
          <w:rFonts w:ascii="Verdana" w:cs="Verdana" w:eastAsia="Verdana" w:hAnsi="Verdana"/>
          <w:sz w:val="18"/>
          <w:szCs w:val="18"/>
          <w:b w:val="1"/>
          <w:bCs w:val="1"/>
          <w:color w:val="auto"/>
        </w:rPr>
      </w:pPr>
    </w:p>
    <w:p>
      <w:pPr>
        <w:jc w:val="both"/>
        <w:ind w:left="1220" w:right="20" w:hanging="484"/>
        <w:spacing w:after="0" w:line="234" w:lineRule="auto"/>
        <w:tabs>
          <w:tab w:leader="none" w:pos="1220" w:val="left"/>
        </w:tabs>
        <w:numPr>
          <w:ilvl w:val="1"/>
          <w:numId w:val="268"/>
        </w:numPr>
        <w:rPr>
          <w:rFonts w:ascii="Verdana" w:cs="Verdana" w:eastAsia="Verdana" w:hAnsi="Verdana"/>
          <w:sz w:val="18"/>
          <w:szCs w:val="18"/>
          <w:b w:val="1"/>
          <w:bCs w:val="1"/>
          <w:color w:val="auto"/>
        </w:rPr>
      </w:pPr>
      <w:r>
        <w:rPr>
          <w:rFonts w:ascii="Verdana" w:cs="Verdana" w:eastAsia="Verdana" w:hAnsi="Verdana"/>
          <w:sz w:val="18"/>
          <w:szCs w:val="18"/>
          <w:color w:val="auto"/>
        </w:rPr>
        <w:t>In the event of a distribution of stock from a Peer Group Member (including the Company) consisting of shares of a new publicly traded company (a “spin-off”), the Peer Group Member shall remain a Peer Group Member and the stock distribution will be treated as a dividend from the Peer Group Member (including the Company) based on the closing price of the shares of the spin-off company on its first day of trading. The performance of the shares of the spin-off company shall not thereafter be treated for purposes of calculating TSR.</w:t>
      </w:r>
    </w:p>
    <w:p>
      <w:pPr>
        <w:spacing w:after="0" w:line="194" w:lineRule="exact"/>
        <w:rPr>
          <w:rFonts w:ascii="Verdana" w:cs="Verdana" w:eastAsia="Verdana" w:hAnsi="Verdana"/>
          <w:sz w:val="18"/>
          <w:szCs w:val="18"/>
          <w:b w:val="1"/>
          <w:bCs w:val="1"/>
          <w:color w:val="auto"/>
        </w:rPr>
      </w:pPr>
    </w:p>
    <w:p>
      <w:pPr>
        <w:ind w:left="980" w:hanging="383"/>
        <w:spacing w:after="0"/>
        <w:tabs>
          <w:tab w:leader="none" w:pos="980" w:val="left"/>
        </w:tabs>
        <w:numPr>
          <w:ilvl w:val="0"/>
          <w:numId w:val="269"/>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Performance Period</w:t>
      </w:r>
    </w:p>
    <w:p>
      <w:pPr>
        <w:spacing w:after="0" w:line="202" w:lineRule="exact"/>
        <w:rPr>
          <w:sz w:val="20"/>
          <w:szCs w:val="20"/>
          <w:color w:val="auto"/>
        </w:rPr>
      </w:pPr>
    </w:p>
    <w:p>
      <w:pPr>
        <w:jc w:val="both"/>
        <w:ind w:left="600" w:right="20"/>
        <w:spacing w:after="0" w:line="241" w:lineRule="auto"/>
        <w:rPr>
          <w:sz w:val="20"/>
          <w:szCs w:val="20"/>
          <w:color w:val="auto"/>
        </w:rPr>
      </w:pPr>
      <w:r>
        <w:rPr>
          <w:rFonts w:ascii="Verdana" w:cs="Verdana" w:eastAsia="Verdana" w:hAnsi="Verdana"/>
          <w:sz w:val="18"/>
          <w:szCs w:val="18"/>
          <w:color w:val="auto"/>
        </w:rPr>
        <w:t>The Performance Period, for purposes of this Agreement, shall be determined by the Compensation Committee and shall be the period set forth in the Grant Notice.</w:t>
      </w:r>
    </w:p>
    <w:p>
      <w:pPr>
        <w:spacing w:after="0" w:line="192" w:lineRule="exact"/>
        <w:rPr>
          <w:sz w:val="20"/>
          <w:szCs w:val="20"/>
          <w:color w:val="auto"/>
        </w:rPr>
      </w:pPr>
    </w:p>
    <w:p>
      <w:pPr>
        <w:ind w:left="600"/>
        <w:spacing w:after="0"/>
        <w:rPr>
          <w:sz w:val="20"/>
          <w:szCs w:val="20"/>
          <w:color w:val="auto"/>
        </w:rPr>
      </w:pPr>
      <w:r>
        <w:rPr>
          <w:rFonts w:ascii="Verdana" w:cs="Verdana" w:eastAsia="Verdana" w:hAnsi="Verdana"/>
          <w:sz w:val="18"/>
          <w:szCs w:val="18"/>
          <w:b w:val="1"/>
          <w:bCs w:val="1"/>
          <w:color w:val="auto"/>
        </w:rPr>
        <w:t>(d) Performance Goal and TSR</w:t>
      </w:r>
    </w:p>
    <w:p>
      <w:pPr>
        <w:spacing w:after="0" w:line="202" w:lineRule="exact"/>
        <w:rPr>
          <w:sz w:val="20"/>
          <w:szCs w:val="20"/>
          <w:color w:val="auto"/>
        </w:rPr>
      </w:pPr>
    </w:p>
    <w:p>
      <w:pPr>
        <w:jc w:val="both"/>
        <w:ind w:left="600"/>
        <w:spacing w:after="0" w:line="233" w:lineRule="auto"/>
        <w:rPr>
          <w:sz w:val="20"/>
          <w:szCs w:val="20"/>
          <w:color w:val="auto"/>
        </w:rPr>
      </w:pPr>
      <w:r>
        <w:rPr>
          <w:rFonts w:ascii="Verdana" w:cs="Verdana" w:eastAsia="Verdana" w:hAnsi="Verdana"/>
          <w:sz w:val="18"/>
          <w:szCs w:val="18"/>
          <w:color w:val="auto"/>
        </w:rPr>
        <w:t>For purposes of this Agreement, TSR for the Company and each of the Peer Group Members shall be measured by dividing (A) the difference between the average closing price of a share of such company’s common stock on the principal exchange on which such stock trades for the twenty (20) trading days occurring immediately prior to and including the first day of the Performance Period (the “</w:t>
      </w:r>
      <w:r>
        <w:rPr>
          <w:rFonts w:ascii="Verdana" w:cs="Verdana" w:eastAsia="Verdana" w:hAnsi="Verdana"/>
          <w:sz w:val="18"/>
          <w:szCs w:val="18"/>
          <w:u w:val="single" w:color="auto"/>
          <w:color w:val="auto"/>
        </w:rPr>
        <w:t>Beginning Average Value</w:t>
      </w:r>
      <w:r>
        <w:rPr>
          <w:rFonts w:ascii="Verdana" w:cs="Verdana" w:eastAsia="Verdana" w:hAnsi="Verdana"/>
          <w:sz w:val="18"/>
          <w:szCs w:val="18"/>
          <w:color w:val="auto"/>
        </w:rPr>
        <w:t>”) including the impact of dividends that are reinvested on the ex-dividend date and the average closing price of a share of such stock on the principal exchange on which such stock trades for the twenty (20) trading days immediately prior to and including the last day of the Performance Period (the “</w:t>
      </w:r>
      <w:r>
        <w:rPr>
          <w:rFonts w:ascii="Verdana" w:cs="Verdana" w:eastAsia="Verdana" w:hAnsi="Verdana"/>
          <w:sz w:val="18"/>
          <w:szCs w:val="18"/>
          <w:u w:val="single" w:color="auto"/>
          <w:color w:val="auto"/>
        </w:rPr>
        <w:t>Ending Average Value</w:t>
      </w:r>
      <w:r>
        <w:rPr>
          <w:rFonts w:ascii="Verdana" w:cs="Verdana" w:eastAsia="Verdana" w:hAnsi="Verdana"/>
          <w:sz w:val="18"/>
          <w:szCs w:val="18"/>
          <w:color w:val="auto"/>
        </w:rPr>
        <w:t>”) (appropriately adjusted for any stock dividend, stock split, spin-off, merger or other similar corporate events affecting such stock) including the impact of dividends that are reinvested on the ex-dividend date, by (B) the Beginning Average Value.</w:t>
      </w:r>
    </w:p>
    <w:p>
      <w:pPr>
        <w:spacing w:after="0" w:line="194" w:lineRule="exact"/>
        <w:rPr>
          <w:sz w:val="20"/>
          <w:szCs w:val="20"/>
          <w:color w:val="auto"/>
        </w:rPr>
      </w:pPr>
    </w:p>
    <w:p>
      <w:pPr>
        <w:jc w:val="both"/>
        <w:ind w:left="600" w:right="20"/>
        <w:spacing w:after="0" w:line="237" w:lineRule="auto"/>
        <w:rPr>
          <w:sz w:val="20"/>
          <w:szCs w:val="20"/>
          <w:color w:val="auto"/>
        </w:rPr>
      </w:pPr>
      <w:r>
        <w:rPr>
          <w:rFonts w:ascii="Verdana" w:cs="Verdana" w:eastAsia="Verdana" w:hAnsi="Verdana"/>
          <w:sz w:val="18"/>
          <w:szCs w:val="18"/>
          <w:color w:val="auto"/>
        </w:rPr>
        <w:t>For the avoidance of doubt, it is intended that the foregoing calculation of TSR shall take into account not only the reinvestment of dividends in a share of common stock of the Company or any Peer Group Member, as applicable, but also capital appreciation or depreciation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280" w:val="left"/>
          <w:tab w:leader="none" w:pos="1680" w:val="left"/>
        </w:tabs>
        <w:rPr>
          <w:sz w:val="20"/>
          <w:szCs w:val="20"/>
          <w:color w:val="auto"/>
        </w:rPr>
      </w:pPr>
      <w:r>
        <w:rPr>
          <w:rFonts w:ascii="Verdana" w:cs="Verdana" w:eastAsia="Verdana" w:hAnsi="Verdana"/>
          <w:sz w:val="18"/>
          <w:szCs w:val="18"/>
          <w:color w:val="auto"/>
        </w:rPr>
        <w:t>4</w:t>
      </w:r>
      <w:r>
        <w:rPr>
          <w:sz w:val="20"/>
          <w:szCs w:val="20"/>
          <w:color w:val="auto"/>
        </w:rPr>
        <w:tab/>
      </w:r>
      <w:r>
        <w:rPr>
          <w:rFonts w:ascii="Arial" w:cs="Arial" w:eastAsia="Arial" w:hAnsi="Arial"/>
          <w:sz w:val="12"/>
          <w:szCs w:val="12"/>
          <w:color w:val="auto"/>
        </w:rPr>
        <w:t>LEGAL\61899936\12</w:t>
      </w:r>
      <w:r>
        <w:rPr>
          <w:sz w:val="20"/>
          <w:szCs w:val="20"/>
          <w:color w:val="auto"/>
        </w:rPr>
        <w:tab/>
      </w:r>
      <w:r>
        <w:rPr>
          <w:rFonts w:ascii="Arial" w:cs="Arial" w:eastAsia="Arial" w:hAnsi="Arial"/>
          <w:sz w:val="12"/>
          <w:szCs w:val="12"/>
          <w:color w:val="auto"/>
        </w:rPr>
        <w:t>LEGAL\74461641\3</w:t>
      </w:r>
    </w:p>
    <w:p>
      <w:pPr>
        <w:sectPr>
          <w:pgSz w:w="11900" w:h="16838" w:orient="portrait"/>
          <w:cols w:equalWidth="0" w:num="1">
            <w:col w:w="10900"/>
          </w:cols>
          <w:pgMar w:left="360" w:top="1227" w:right="639" w:bottom="1440" w:gutter="0" w:footer="0" w:header="0"/>
        </w:sectPr>
      </w:pPr>
    </w:p>
    <w:bookmarkStart w:id="279" w:name="page280"/>
    <w:bookmarkEnd w:id="279"/>
    <w:p>
      <w:pPr>
        <w:jc w:val="both"/>
        <w:ind w:left="600" w:right="20"/>
        <w:spacing w:after="0" w:line="241" w:lineRule="auto"/>
        <w:rPr>
          <w:sz w:val="20"/>
          <w:szCs w:val="20"/>
          <w:color w:val="auto"/>
        </w:rPr>
      </w:pPr>
      <w:r>
        <w:rPr>
          <w:rFonts w:ascii="Verdana" w:cs="Verdana" w:eastAsia="Verdana" w:hAnsi="Verdana"/>
          <w:sz w:val="18"/>
          <w:szCs w:val="18"/>
          <w:color w:val="auto"/>
        </w:rPr>
        <w:t xml:space="preserve">shares deemed acquired by such reinvestment. All determinations under this </w:t>
      </w:r>
      <w:r>
        <w:rPr>
          <w:rFonts w:ascii="Verdana" w:cs="Verdana" w:eastAsia="Verdana" w:hAnsi="Verdana"/>
          <w:sz w:val="18"/>
          <w:szCs w:val="18"/>
          <w:u w:val="single" w:color="auto"/>
          <w:color w:val="auto"/>
        </w:rPr>
        <w:t>Section 2(d)</w:t>
      </w:r>
      <w:r>
        <w:rPr>
          <w:rFonts w:ascii="Verdana" w:cs="Verdana" w:eastAsia="Verdana" w:hAnsi="Verdana"/>
          <w:sz w:val="18"/>
          <w:szCs w:val="18"/>
          <w:color w:val="auto"/>
        </w:rPr>
        <w:t xml:space="preserve"> shall be made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158750</wp:posOffset>
            </wp:positionV>
            <wp:extent cx="4921250" cy="5016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72">
                      <a:extLst>
                        <a:ext uri="{28A0092B-C50C-407E-A947-70E740481C1C}"/>
                      </a:extLst>
                    </a:blip>
                    <a:srcRect/>
                    <a:stretch>
                      <a:fillRect/>
                    </a:stretch>
                  </pic:blipFill>
                  <pic:spPr bwMode="auto">
                    <a:xfrm>
                      <a:off x="0" y="0"/>
                      <a:ext cx="4921250" cy="501650"/>
                    </a:xfrm>
                    <a:prstGeom prst="rect">
                      <a:avLst/>
                    </a:prstGeom>
                    <a:noFill/>
                  </pic:spPr>
                </pic:pic>
              </a:graphicData>
            </a:graphic>
          </wp:anchor>
        </w:drawing>
      </w:r>
    </w:p>
    <w:p>
      <w:pPr>
        <w:spacing w:after="0" w:line="264" w:lineRule="exact"/>
        <w:rPr>
          <w:sz w:val="20"/>
          <w:szCs w:val="20"/>
          <w:color w:val="auto"/>
        </w:rPr>
      </w:pPr>
    </w:p>
    <w:p>
      <w:pPr>
        <w:ind w:left="980"/>
        <w:spacing w:after="0"/>
        <w:rPr>
          <w:sz w:val="20"/>
          <w:szCs w:val="20"/>
          <w:color w:val="auto"/>
        </w:rPr>
      </w:pPr>
      <w:r>
        <w:rPr>
          <w:rFonts w:ascii="Verdana" w:cs="Verdana" w:eastAsia="Verdana" w:hAnsi="Verdana"/>
          <w:sz w:val="18"/>
          <w:szCs w:val="18"/>
          <w:b w:val="1"/>
          <w:bCs w:val="1"/>
          <w:color w:val="auto"/>
        </w:rPr>
        <w:t>Illustration of formula described above</w:t>
      </w:r>
    </w:p>
    <w:p>
      <w:pPr>
        <w:spacing w:after="0" w:line="68" w:lineRule="exact"/>
        <w:rPr>
          <w:sz w:val="20"/>
          <w:szCs w:val="20"/>
          <w:color w:val="auto"/>
        </w:rPr>
      </w:pPr>
    </w:p>
    <w:tbl>
      <w:tblPr>
        <w:tblLayout w:type="fixed"/>
        <w:tblInd w:w="940" w:type="dxa"/>
        <w:tblCellMar>
          <w:top w:w="0" w:type="dxa"/>
          <w:left w:w="0" w:type="dxa"/>
          <w:bottom w:w="0" w:type="dxa"/>
          <w:right w:w="0" w:type="dxa"/>
        </w:tblCellMar>
      </w:tblPr>
      <w:tr>
        <w:trPr>
          <w:trHeight w:val="219"/>
        </w:trPr>
        <w:tc>
          <w:tcPr>
            <w:tcW w:w="2520" w:type="dxa"/>
            <w:vAlign w:val="bottom"/>
          </w:tcPr>
          <w:p>
            <w:pPr>
              <w:spacing w:after="0"/>
              <w:rPr>
                <w:sz w:val="20"/>
                <w:szCs w:val="20"/>
                <w:color w:val="auto"/>
              </w:rPr>
            </w:pPr>
            <w:r>
              <w:rPr>
                <w:rFonts w:ascii="Verdana" w:cs="Verdana" w:eastAsia="Verdana" w:hAnsi="Verdana"/>
                <w:sz w:val="18"/>
                <w:szCs w:val="18"/>
                <w:color w:val="auto"/>
              </w:rPr>
              <w:t>Total Shareholder Return</w:t>
            </w:r>
          </w:p>
        </w:tc>
        <w:tc>
          <w:tcPr>
            <w:tcW w:w="4840" w:type="dxa"/>
            <w:vAlign w:val="bottom"/>
            <w:gridSpan w:val="5"/>
          </w:tcPr>
          <w:p>
            <w:pPr>
              <w:ind w:left="300"/>
              <w:spacing w:after="0"/>
              <w:rPr>
                <w:sz w:val="20"/>
                <w:szCs w:val="20"/>
                <w:color w:val="auto"/>
              </w:rPr>
            </w:pPr>
            <w:r>
              <w:rPr>
                <w:rFonts w:ascii="Verdana" w:cs="Verdana" w:eastAsia="Verdana" w:hAnsi="Verdana"/>
                <w:sz w:val="18"/>
                <w:szCs w:val="18"/>
                <w:color w:val="auto"/>
                <w:w w:val="96"/>
              </w:rPr>
              <w:t>= Ending Average Value - Beginning Average Value</w:t>
            </w:r>
          </w:p>
        </w:tc>
      </w:tr>
      <w:tr>
        <w:trPr>
          <w:trHeight w:val="221"/>
        </w:trPr>
        <w:tc>
          <w:tcPr>
            <w:tcW w:w="2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780" w:type="dxa"/>
            <w:vAlign w:val="bottom"/>
            <w:tcBorders>
              <w:top w:val="single" w:sz="8" w:color="auto"/>
            </w:tcBorders>
          </w:tcPr>
          <w:p>
            <w:pPr>
              <w:spacing w:after="0"/>
              <w:rPr>
                <w:sz w:val="20"/>
                <w:szCs w:val="20"/>
                <w:color w:val="auto"/>
              </w:rPr>
            </w:pPr>
            <w:r>
              <w:rPr>
                <w:rFonts w:ascii="Verdana" w:cs="Verdana" w:eastAsia="Verdana" w:hAnsi="Verdana"/>
                <w:sz w:val="18"/>
                <w:szCs w:val="18"/>
                <w:color w:val="auto"/>
              </w:rPr>
              <w:t>Beginning Average Value</w:t>
            </w:r>
          </w:p>
        </w:tc>
        <w:tc>
          <w:tcPr>
            <w:tcW w:w="6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343" w:lineRule="exact"/>
        <w:rPr>
          <w:sz w:val="20"/>
          <w:szCs w:val="20"/>
          <w:color w:val="auto"/>
        </w:rPr>
      </w:pPr>
    </w:p>
    <w:p>
      <w:pPr>
        <w:ind w:left="360"/>
        <w:spacing w:after="0"/>
        <w:rPr>
          <w:sz w:val="20"/>
          <w:szCs w:val="20"/>
          <w:color w:val="auto"/>
        </w:rPr>
      </w:pPr>
      <w:r>
        <w:rPr>
          <w:rFonts w:ascii="Verdana" w:cs="Verdana" w:eastAsia="Verdana" w:hAnsi="Verdana"/>
          <w:sz w:val="18"/>
          <w:szCs w:val="18"/>
          <w:b w:val="1"/>
          <w:bCs w:val="1"/>
          <w:color w:val="auto"/>
        </w:rPr>
        <w:t>3. Settlement of Final Award</w:t>
      </w:r>
    </w:p>
    <w:p>
      <w:pPr>
        <w:spacing w:after="0" w:line="202" w:lineRule="exact"/>
        <w:rPr>
          <w:sz w:val="20"/>
          <w:szCs w:val="20"/>
          <w:color w:val="auto"/>
        </w:rPr>
      </w:pPr>
    </w:p>
    <w:p>
      <w:pPr>
        <w:jc w:val="both"/>
        <w:ind w:left="600"/>
        <w:spacing w:after="0" w:line="264" w:lineRule="auto"/>
        <w:rPr>
          <w:sz w:val="20"/>
          <w:szCs w:val="20"/>
          <w:color w:val="auto"/>
        </w:rPr>
      </w:pPr>
      <w:r>
        <w:rPr>
          <w:rFonts w:ascii="Verdana" w:cs="Verdana" w:eastAsia="Verdana" w:hAnsi="Verdana"/>
          <w:sz w:val="16"/>
          <w:szCs w:val="16"/>
          <w:color w:val="auto"/>
        </w:rPr>
        <w:t xml:space="preserve">As soon as reasonably practicable following completion of all determinations and certifications contemplated by </w:t>
      </w:r>
      <w:r>
        <w:rPr>
          <w:rFonts w:ascii="Verdana" w:cs="Verdana" w:eastAsia="Verdana" w:hAnsi="Verdana"/>
          <w:sz w:val="16"/>
          <w:szCs w:val="16"/>
          <w:u w:val="single" w:color="auto"/>
          <w:color w:val="auto"/>
        </w:rPr>
        <w:t>Sections 1</w:t>
      </w:r>
      <w:r>
        <w:rPr>
          <w:rFonts w:ascii="Verdana" w:cs="Verdana" w:eastAsia="Verdana" w:hAnsi="Verdana"/>
          <w:sz w:val="16"/>
          <w:szCs w:val="16"/>
          <w:color w:val="auto"/>
        </w:rPr>
        <w:t xml:space="preserve"> and </w:t>
      </w:r>
      <w:r>
        <w:rPr>
          <w:rFonts w:ascii="Verdana" w:cs="Verdana" w:eastAsia="Verdana" w:hAnsi="Verdana"/>
          <w:sz w:val="16"/>
          <w:szCs w:val="16"/>
          <w:u w:val="single" w:color="auto"/>
          <w:color w:val="auto"/>
        </w:rPr>
        <w:t>2</w:t>
      </w:r>
      <w:r>
        <w:rPr>
          <w:rFonts w:ascii="Verdana" w:cs="Verdana" w:eastAsia="Verdana" w:hAnsi="Verdana"/>
          <w:sz w:val="16"/>
          <w:szCs w:val="16"/>
          <w:color w:val="auto"/>
        </w:rPr>
        <w:t xml:space="preserve">, but in no event later than March 15 of the year following the year in which the Performance Period ends, subject to satisfaction of applicable tax withholding obligations in accordance with </w:t>
      </w:r>
      <w:r>
        <w:rPr>
          <w:rFonts w:ascii="Verdana" w:cs="Verdana" w:eastAsia="Verdana" w:hAnsi="Verdana"/>
          <w:sz w:val="16"/>
          <w:szCs w:val="16"/>
          <w:u w:val="single" w:color="auto"/>
          <w:color w:val="auto"/>
        </w:rPr>
        <w:t>Section 12(g)</w:t>
      </w:r>
      <w:r>
        <w:rPr>
          <w:rFonts w:ascii="Verdana" w:cs="Verdana" w:eastAsia="Verdana" w:hAnsi="Verdana"/>
          <w:sz w:val="16"/>
          <w:szCs w:val="16"/>
          <w:color w:val="auto"/>
        </w:rPr>
        <w:t xml:space="preserve">, the Company shall cause to be paid to the Participant the number of shares of the Company’s Common Stock equal to the product of the number of RPSUs representing the Final Award, as determined under </w:t>
      </w:r>
      <w:r>
        <w:rPr>
          <w:rFonts w:ascii="Verdana" w:cs="Verdana" w:eastAsia="Verdana" w:hAnsi="Verdana"/>
          <w:sz w:val="16"/>
          <w:szCs w:val="16"/>
          <w:u w:val="single" w:color="auto"/>
          <w:color w:val="auto"/>
        </w:rPr>
        <w:t>Section 1</w:t>
      </w:r>
      <w:r>
        <w:rPr>
          <w:rFonts w:ascii="Verdana" w:cs="Verdana" w:eastAsia="Verdana" w:hAnsi="Verdana"/>
          <w:sz w:val="16"/>
          <w:szCs w:val="16"/>
          <w:color w:val="auto"/>
        </w:rPr>
        <w:t xml:space="preserve"> of this Agreement, multiplied by the Fair Market Value of a share of Common Stock as of the last trading day of the Performance Period, </w:t>
      </w:r>
      <w:r>
        <w:rPr>
          <w:rFonts w:ascii="Verdana" w:cs="Verdana" w:eastAsia="Verdana" w:hAnsi="Verdana"/>
          <w:sz w:val="16"/>
          <w:szCs w:val="16"/>
          <w:u w:val="single" w:color="auto"/>
          <w:color w:val="auto"/>
        </w:rPr>
        <w:t>provided</w:t>
      </w:r>
      <w:r>
        <w:rPr>
          <w:rFonts w:ascii="Verdana" w:cs="Verdana" w:eastAsia="Verdana" w:hAnsi="Verdana"/>
          <w:sz w:val="16"/>
          <w:szCs w:val="16"/>
          <w:color w:val="auto"/>
        </w:rPr>
        <w:t xml:space="preserve">, </w:t>
      </w:r>
      <w:r>
        <w:rPr>
          <w:rFonts w:ascii="Verdana" w:cs="Verdana" w:eastAsia="Verdana" w:hAnsi="Verdana"/>
          <w:sz w:val="16"/>
          <w:szCs w:val="16"/>
          <w:u w:val="single" w:color="auto"/>
          <w:color w:val="auto"/>
        </w:rPr>
        <w:t>however</w:t>
      </w:r>
      <w:r>
        <w:rPr>
          <w:rFonts w:ascii="Verdana" w:cs="Verdana" w:eastAsia="Verdana" w:hAnsi="Verdana"/>
          <w:sz w:val="16"/>
          <w:szCs w:val="16"/>
          <w:color w:val="auto"/>
        </w:rPr>
        <w:t xml:space="preserve">, that if the Participant incurs a Termination of Service that qualifies for payment of a Final Award as described in </w:t>
      </w:r>
      <w:r>
        <w:rPr>
          <w:rFonts w:ascii="Verdana" w:cs="Verdana" w:eastAsia="Verdana" w:hAnsi="Verdana"/>
          <w:sz w:val="16"/>
          <w:szCs w:val="16"/>
          <w:u w:val="single" w:color="auto"/>
          <w:color w:val="auto"/>
        </w:rPr>
        <w:t>Section 8</w:t>
      </w:r>
      <w:r>
        <w:rPr>
          <w:rFonts w:ascii="Verdana" w:cs="Verdana" w:eastAsia="Verdana" w:hAnsi="Verdana"/>
          <w:sz w:val="16"/>
          <w:szCs w:val="16"/>
          <w:color w:val="auto"/>
        </w:rPr>
        <w:t xml:space="preserve">, then such payment shall be made on the next administratively feasible regularly scheduled payroll date but at no time more than sixty (60) days after the date a Final Award, if any, is determined or becomes payable, as described in the applicable subsection of </w:t>
      </w:r>
      <w:r>
        <w:rPr>
          <w:rFonts w:ascii="Verdana" w:cs="Verdana" w:eastAsia="Verdana" w:hAnsi="Verdana"/>
          <w:sz w:val="16"/>
          <w:szCs w:val="16"/>
          <w:u w:val="single" w:color="auto"/>
          <w:color w:val="auto"/>
        </w:rPr>
        <w:t>Section 8</w:t>
      </w:r>
      <w:r>
        <w:rPr>
          <w:rFonts w:ascii="Verdana" w:cs="Verdana" w:eastAsia="Verdana" w:hAnsi="Verdana"/>
          <w:sz w:val="16"/>
          <w:szCs w:val="16"/>
          <w:color w:val="auto"/>
        </w:rPr>
        <w:t xml:space="preserve">, and, in accordance with </w:t>
      </w:r>
      <w:r>
        <w:rPr>
          <w:rFonts w:ascii="Verdana" w:cs="Verdana" w:eastAsia="Verdana" w:hAnsi="Verdana"/>
          <w:sz w:val="16"/>
          <w:szCs w:val="16"/>
          <w:u w:val="single" w:color="auto"/>
          <w:color w:val="auto"/>
        </w:rPr>
        <w:t>Section 12(g)</w:t>
      </w:r>
      <w:r>
        <w:rPr>
          <w:rFonts w:ascii="Verdana" w:cs="Verdana" w:eastAsia="Verdana" w:hAnsi="Verdana"/>
          <w:sz w:val="16"/>
          <w:szCs w:val="16"/>
          <w:color w:val="auto"/>
        </w:rPr>
        <w:t>, the Fair Market Value of the RPSUs shall be determined as of such date, less applicable taxes.</w:t>
      </w:r>
    </w:p>
    <w:p>
      <w:pPr>
        <w:spacing w:after="0" w:line="387" w:lineRule="exact"/>
        <w:rPr>
          <w:sz w:val="20"/>
          <w:szCs w:val="20"/>
          <w:color w:val="auto"/>
        </w:rPr>
      </w:pPr>
    </w:p>
    <w:p>
      <w:pPr>
        <w:jc w:val="both"/>
        <w:ind w:left="600" w:right="20"/>
        <w:spacing w:after="0" w:line="233" w:lineRule="auto"/>
        <w:rPr>
          <w:sz w:val="20"/>
          <w:szCs w:val="20"/>
          <w:color w:val="auto"/>
        </w:rPr>
      </w:pPr>
      <w:r>
        <w:rPr>
          <w:rFonts w:ascii="Verdana" w:cs="Verdana" w:eastAsia="Verdana" w:hAnsi="Verdana"/>
          <w:sz w:val="18"/>
          <w:szCs w:val="18"/>
          <w:color w:val="auto"/>
        </w:rPr>
        <w:t xml:space="preserve">Notwithstanding the foregoing provisions of this </w:t>
      </w:r>
      <w:r>
        <w:rPr>
          <w:rFonts w:ascii="Verdana" w:cs="Verdana" w:eastAsia="Verdana" w:hAnsi="Verdana"/>
          <w:sz w:val="18"/>
          <w:szCs w:val="18"/>
          <w:u w:val="single" w:color="auto"/>
          <w:color w:val="auto"/>
        </w:rPr>
        <w:t>Section 3</w:t>
      </w:r>
      <w:r>
        <w:rPr>
          <w:rFonts w:ascii="Verdana" w:cs="Verdana" w:eastAsia="Verdana" w:hAnsi="Verdana"/>
          <w:sz w:val="18"/>
          <w:szCs w:val="18"/>
          <w:color w:val="auto"/>
        </w:rPr>
        <w:t xml:space="preserve"> to the contrary, if at the time of the Participant’s separation from service within the meaning of Code Section 409A, the Participant is a “specified employee” within the meaning of Code Section 409A, any payment hereunder that constitutes a “deferral of compensation” under Code Section 409A and that would otherwise become due on account of such separation from service shall be delayed, and payment shall be made in full upon the earlier of (a) a date during the thirty (30) day period commencing six (6) months and one (1) day following such separation from service and (b) the date of the Participant’s death.</w:t>
      </w:r>
    </w:p>
    <w:p>
      <w:pPr>
        <w:spacing w:after="0" w:line="198" w:lineRule="exact"/>
        <w:rPr>
          <w:sz w:val="20"/>
          <w:szCs w:val="20"/>
          <w:color w:val="auto"/>
        </w:rPr>
      </w:pPr>
    </w:p>
    <w:p>
      <w:pPr>
        <w:ind w:left="360"/>
        <w:spacing w:after="0"/>
        <w:rPr>
          <w:sz w:val="20"/>
          <w:szCs w:val="20"/>
          <w:color w:val="auto"/>
        </w:rPr>
      </w:pPr>
      <w:r>
        <w:rPr>
          <w:rFonts w:ascii="Verdana" w:cs="Verdana" w:eastAsia="Verdana" w:hAnsi="Verdana"/>
          <w:sz w:val="18"/>
          <w:szCs w:val="18"/>
          <w:b w:val="1"/>
          <w:bCs w:val="1"/>
          <w:color w:val="auto"/>
        </w:rPr>
        <w:t>4. Dividend Equivalent Rights</w:t>
      </w:r>
    </w:p>
    <w:p>
      <w:pPr>
        <w:spacing w:after="0" w:line="202" w:lineRule="exact"/>
        <w:rPr>
          <w:sz w:val="20"/>
          <w:szCs w:val="20"/>
          <w:color w:val="auto"/>
        </w:rPr>
      </w:pPr>
    </w:p>
    <w:p>
      <w:pPr>
        <w:jc w:val="both"/>
        <w:ind w:left="600" w:right="20"/>
        <w:spacing w:after="0" w:line="263" w:lineRule="auto"/>
        <w:rPr>
          <w:sz w:val="20"/>
          <w:szCs w:val="20"/>
          <w:color w:val="auto"/>
        </w:rPr>
      </w:pPr>
      <w:r>
        <w:rPr>
          <w:rFonts w:ascii="Verdana" w:cs="Verdana" w:eastAsia="Verdana" w:hAnsi="Verdana"/>
          <w:sz w:val="16"/>
          <w:szCs w:val="16"/>
          <w:color w:val="auto"/>
        </w:rPr>
        <w:t xml:space="preserve">Cash dividends on shares of Common Stock issuable hereunder shall be credited to a dividend book entry account on behalf of the Participant with respect to the Target Award; </w:t>
      </w:r>
      <w:r>
        <w:rPr>
          <w:rFonts w:ascii="Verdana" w:cs="Verdana" w:eastAsia="Verdana" w:hAnsi="Verdana"/>
          <w:sz w:val="16"/>
          <w:szCs w:val="16"/>
          <w:u w:val="single" w:color="auto"/>
          <w:color w:val="auto"/>
        </w:rPr>
        <w:t>provided</w:t>
      </w:r>
      <w:r>
        <w:rPr>
          <w:rFonts w:ascii="Verdana" w:cs="Verdana" w:eastAsia="Verdana" w:hAnsi="Verdana"/>
          <w:sz w:val="16"/>
          <w:szCs w:val="16"/>
          <w:color w:val="auto"/>
        </w:rPr>
        <w:t xml:space="preserve"> that such cash dividends shall be deemed to be reinvested in shares of Common Stock immediately following the time declared at the then Fair Market Value of the Common Stock and shall be paid at the same time that the Final Award is delivered to the Participant in accordance with the provisions hereof. Stock dividends on shares of Common Stock issuable hereunder shall be credited to a dividend book entry account on behalf of the Participant with respect to the Target Award; </w:t>
      </w:r>
      <w:r>
        <w:rPr>
          <w:rFonts w:ascii="Verdana" w:cs="Verdana" w:eastAsia="Verdana" w:hAnsi="Verdana"/>
          <w:sz w:val="16"/>
          <w:szCs w:val="16"/>
          <w:u w:val="single" w:color="auto"/>
          <w:color w:val="auto"/>
        </w:rPr>
        <w:t>provided</w:t>
      </w:r>
      <w:r>
        <w:rPr>
          <w:rFonts w:ascii="Verdana" w:cs="Verdana" w:eastAsia="Verdana" w:hAnsi="Verdana"/>
          <w:sz w:val="16"/>
          <w:szCs w:val="16"/>
          <w:color w:val="auto"/>
        </w:rPr>
        <w:t xml:space="preserve"> that such stock dividends shall be paid at the same time that the Final Award is delivered to the Participant in accordance with the provisions hereof. Notwithstanding the foregoing, in the event that there are insufficient shares of Common Stock available in the Plan to settle the accrued dividend book entry account in shares of Common Stock, such accrued book entry account shall be settled in cash in an amount equal to the Fair Market Value of such shares of Common Stock at the time of settlement. Except as otherwise provided herein, the Participant shall have no rights as a stockholder with respect to any shares of Common Stock underlying any RPSU unless and until the Participant has become the holder of record of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280" w:val="left"/>
          <w:tab w:leader="none" w:pos="1680" w:val="left"/>
        </w:tabs>
        <w:rPr>
          <w:sz w:val="20"/>
          <w:szCs w:val="20"/>
          <w:color w:val="auto"/>
        </w:rPr>
      </w:pPr>
      <w:r>
        <w:rPr>
          <w:rFonts w:ascii="Verdana" w:cs="Verdana" w:eastAsia="Verdana" w:hAnsi="Verdana"/>
          <w:sz w:val="18"/>
          <w:szCs w:val="18"/>
          <w:color w:val="auto"/>
        </w:rPr>
        <w:t>5</w:t>
      </w:r>
      <w:r>
        <w:rPr>
          <w:sz w:val="20"/>
          <w:szCs w:val="20"/>
          <w:color w:val="auto"/>
        </w:rPr>
        <w:tab/>
      </w:r>
      <w:r>
        <w:rPr>
          <w:rFonts w:ascii="Arial" w:cs="Arial" w:eastAsia="Arial" w:hAnsi="Arial"/>
          <w:sz w:val="12"/>
          <w:szCs w:val="12"/>
          <w:color w:val="auto"/>
        </w:rPr>
        <w:t>LEGAL\61899936\12</w:t>
      </w:r>
      <w:r>
        <w:rPr>
          <w:sz w:val="20"/>
          <w:szCs w:val="20"/>
          <w:color w:val="auto"/>
        </w:rPr>
        <w:tab/>
      </w:r>
      <w:r>
        <w:rPr>
          <w:rFonts w:ascii="Arial" w:cs="Arial" w:eastAsia="Arial" w:hAnsi="Arial"/>
          <w:sz w:val="12"/>
          <w:szCs w:val="12"/>
          <w:color w:val="auto"/>
        </w:rPr>
        <w:t>LEGAL\74461641\3</w:t>
      </w:r>
    </w:p>
    <w:p>
      <w:pPr>
        <w:sectPr>
          <w:pgSz w:w="11900" w:h="16838" w:orient="portrait"/>
          <w:cols w:equalWidth="0" w:num="1">
            <w:col w:w="10900"/>
          </w:cols>
          <w:pgMar w:left="360" w:top="1227" w:right="639" w:bottom="1440" w:gutter="0" w:footer="0" w:header="0"/>
        </w:sectPr>
      </w:pPr>
    </w:p>
    <w:bookmarkStart w:id="280" w:name="page281"/>
    <w:bookmarkEnd w:id="280"/>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60"/>
        <w:spacing w:after="0"/>
        <w:rPr>
          <w:sz w:val="20"/>
          <w:szCs w:val="20"/>
          <w:color w:val="auto"/>
        </w:rPr>
      </w:pPr>
      <w:r>
        <w:rPr>
          <w:rFonts w:ascii="Verdana" w:cs="Verdana" w:eastAsia="Verdana" w:hAnsi="Verdana"/>
          <w:sz w:val="18"/>
          <w:szCs w:val="18"/>
          <w:b w:val="1"/>
          <w:bCs w:val="1"/>
          <w:color w:val="auto"/>
        </w:rPr>
        <w:t>5. Transfer of RPSUs</w:t>
      </w:r>
    </w:p>
    <w:p>
      <w:pPr>
        <w:spacing w:after="0" w:line="202" w:lineRule="exact"/>
        <w:rPr>
          <w:sz w:val="20"/>
          <w:szCs w:val="20"/>
          <w:color w:val="auto"/>
        </w:rPr>
      </w:pPr>
    </w:p>
    <w:p>
      <w:pPr>
        <w:jc w:val="both"/>
        <w:ind w:left="600"/>
        <w:spacing w:after="0" w:line="235" w:lineRule="auto"/>
        <w:rPr>
          <w:sz w:val="20"/>
          <w:szCs w:val="20"/>
          <w:color w:val="auto"/>
        </w:rPr>
      </w:pPr>
      <w:r>
        <w:rPr>
          <w:rFonts w:ascii="Verdana" w:cs="Verdana" w:eastAsia="Verdana" w:hAnsi="Verdana"/>
          <w:sz w:val="18"/>
          <w:szCs w:val="18"/>
          <w:color w:val="auto"/>
        </w:rPr>
        <w:t xml:space="preserve">Unless otherwise permitted by the Committee or </w:t>
      </w:r>
      <w:r>
        <w:rPr>
          <w:rFonts w:ascii="Verdana" w:cs="Verdana" w:eastAsia="Verdana" w:hAnsi="Verdana"/>
          <w:sz w:val="18"/>
          <w:szCs w:val="18"/>
          <w:u w:val="single" w:color="auto"/>
          <w:color w:val="auto"/>
        </w:rPr>
        <w:t>Section 13</w:t>
      </w:r>
      <w:r>
        <w:rPr>
          <w:rFonts w:ascii="Verdana" w:cs="Verdana" w:eastAsia="Verdana" w:hAnsi="Verdana"/>
          <w:sz w:val="18"/>
          <w:szCs w:val="18"/>
          <w:color w:val="auto"/>
        </w:rPr>
        <w:t xml:space="preserve"> of the Plan, no award or right granted hereunder may be sold, transferred, pledged, assigned or otherwise alienated or hypothecated, other than pursuant to a will or the laws of descent and distribution. Any attempted disposition in violation of this </w:t>
      </w:r>
      <w:r>
        <w:rPr>
          <w:rFonts w:ascii="Verdana" w:cs="Verdana" w:eastAsia="Verdana" w:hAnsi="Verdana"/>
          <w:sz w:val="18"/>
          <w:szCs w:val="18"/>
          <w:u w:val="single" w:color="auto"/>
          <w:color w:val="auto"/>
        </w:rPr>
        <w:t>Section 5</w:t>
      </w:r>
      <w:r>
        <w:rPr>
          <w:rFonts w:ascii="Verdana" w:cs="Verdana" w:eastAsia="Verdana" w:hAnsi="Verdana"/>
          <w:sz w:val="18"/>
          <w:szCs w:val="18"/>
          <w:color w:val="auto"/>
        </w:rPr>
        <w:t xml:space="preserve"> and </w:t>
      </w:r>
      <w:r>
        <w:rPr>
          <w:rFonts w:ascii="Verdana" w:cs="Verdana" w:eastAsia="Verdana" w:hAnsi="Verdana"/>
          <w:sz w:val="18"/>
          <w:szCs w:val="18"/>
          <w:u w:val="single" w:color="auto"/>
          <w:color w:val="auto"/>
        </w:rPr>
        <w:t>Section 13</w:t>
      </w:r>
      <w:r>
        <w:rPr>
          <w:rFonts w:ascii="Verdana" w:cs="Verdana" w:eastAsia="Verdana" w:hAnsi="Verdana"/>
          <w:sz w:val="18"/>
          <w:szCs w:val="18"/>
          <w:color w:val="auto"/>
        </w:rPr>
        <w:t xml:space="preserve"> of the Plan shall be void.</w:t>
      </w:r>
    </w:p>
    <w:p>
      <w:pPr>
        <w:spacing w:after="0" w:line="196" w:lineRule="exact"/>
        <w:rPr>
          <w:sz w:val="20"/>
          <w:szCs w:val="20"/>
          <w:color w:val="auto"/>
        </w:rPr>
      </w:pPr>
    </w:p>
    <w:p>
      <w:pPr>
        <w:ind w:left="360"/>
        <w:spacing w:after="0"/>
        <w:rPr>
          <w:sz w:val="20"/>
          <w:szCs w:val="20"/>
          <w:color w:val="auto"/>
        </w:rPr>
      </w:pPr>
      <w:r>
        <w:rPr>
          <w:rFonts w:ascii="Verdana" w:cs="Verdana" w:eastAsia="Verdana" w:hAnsi="Verdana"/>
          <w:sz w:val="18"/>
          <w:szCs w:val="18"/>
          <w:b w:val="1"/>
          <w:bCs w:val="1"/>
          <w:color w:val="auto"/>
        </w:rPr>
        <w:t>6. Status of Participant</w:t>
      </w:r>
    </w:p>
    <w:p>
      <w:pPr>
        <w:spacing w:after="0" w:line="202" w:lineRule="exact"/>
        <w:rPr>
          <w:sz w:val="20"/>
          <w:szCs w:val="20"/>
          <w:color w:val="auto"/>
        </w:rPr>
      </w:pPr>
    </w:p>
    <w:p>
      <w:pPr>
        <w:jc w:val="both"/>
        <w:ind w:left="600"/>
        <w:spacing w:after="0" w:line="234" w:lineRule="auto"/>
        <w:rPr>
          <w:sz w:val="20"/>
          <w:szCs w:val="20"/>
          <w:color w:val="auto"/>
        </w:rPr>
      </w:pPr>
      <w:r>
        <w:rPr>
          <w:rFonts w:ascii="Verdana" w:cs="Verdana" w:eastAsia="Verdana" w:hAnsi="Verdana"/>
          <w:sz w:val="18"/>
          <w:szCs w:val="18"/>
          <w:color w:val="auto"/>
        </w:rPr>
        <w:t>The Participant shall not be, and, except as otherwise provided herein, shall not have rights as, a stockholder of the Company with respect to any of the shares of Common Stock subject to, or underlying, the Target Award or Final Award, unless such shares have been issued and delivered to the Participant pursuant to the terms of this Agreement. The Company shall not be required to issue or transfer any certificates for shares of Common Stock until all applicable requirements of law have been complied with and such shares have been duly listed on any securities exchange on which the Common Stock may then be listed.</w:t>
      </w:r>
    </w:p>
    <w:p>
      <w:pPr>
        <w:spacing w:after="0" w:line="194" w:lineRule="exact"/>
        <w:rPr>
          <w:sz w:val="20"/>
          <w:szCs w:val="20"/>
          <w:color w:val="auto"/>
        </w:rPr>
      </w:pPr>
    </w:p>
    <w:p>
      <w:pPr>
        <w:ind w:left="360"/>
        <w:spacing w:after="0"/>
        <w:rPr>
          <w:sz w:val="20"/>
          <w:szCs w:val="20"/>
          <w:color w:val="auto"/>
        </w:rPr>
      </w:pPr>
      <w:r>
        <w:rPr>
          <w:rFonts w:ascii="Verdana" w:cs="Verdana" w:eastAsia="Verdana" w:hAnsi="Verdana"/>
          <w:sz w:val="18"/>
          <w:szCs w:val="18"/>
          <w:b w:val="1"/>
          <w:bCs w:val="1"/>
          <w:color w:val="auto"/>
        </w:rPr>
        <w:t>7. No Effect on Capital Structure</w:t>
      </w:r>
    </w:p>
    <w:p>
      <w:pPr>
        <w:spacing w:after="0" w:line="202" w:lineRule="exact"/>
        <w:rPr>
          <w:sz w:val="20"/>
          <w:szCs w:val="20"/>
          <w:color w:val="auto"/>
        </w:rPr>
      </w:pPr>
    </w:p>
    <w:p>
      <w:pPr>
        <w:jc w:val="both"/>
        <w:ind w:left="600"/>
        <w:spacing w:after="0" w:line="237" w:lineRule="auto"/>
        <w:rPr>
          <w:sz w:val="20"/>
          <w:szCs w:val="20"/>
          <w:color w:val="auto"/>
        </w:rPr>
      </w:pPr>
      <w:r>
        <w:rPr>
          <w:rFonts w:ascii="Verdana" w:cs="Verdana" w:eastAsia="Verdana" w:hAnsi="Verdana"/>
          <w:sz w:val="18"/>
          <w:szCs w:val="18"/>
          <w:color w:val="auto"/>
        </w:rPr>
        <w:t>No award or right granted hereunder shall affect the right of the Company or any Subsidiary to reclassify, recapitalize or otherwise change its capital or debt structure or to merge, consolidate, convey any or all of its assets, dissolve, liquidate, windup, or otherwise reorganize.</w:t>
      </w:r>
    </w:p>
    <w:p>
      <w:pPr>
        <w:spacing w:after="0" w:line="194" w:lineRule="exact"/>
        <w:rPr>
          <w:sz w:val="20"/>
          <w:szCs w:val="20"/>
          <w:color w:val="auto"/>
        </w:rPr>
      </w:pPr>
    </w:p>
    <w:p>
      <w:pPr>
        <w:ind w:left="360"/>
        <w:spacing w:after="0"/>
        <w:rPr>
          <w:sz w:val="20"/>
          <w:szCs w:val="20"/>
          <w:color w:val="auto"/>
        </w:rPr>
      </w:pPr>
      <w:r>
        <w:rPr>
          <w:rFonts w:ascii="Verdana" w:cs="Verdana" w:eastAsia="Verdana" w:hAnsi="Verdana"/>
          <w:sz w:val="18"/>
          <w:szCs w:val="18"/>
          <w:b w:val="1"/>
          <w:bCs w:val="1"/>
          <w:color w:val="auto"/>
        </w:rPr>
        <w:t>8. Expiration and Forfeiture of Award</w:t>
      </w:r>
    </w:p>
    <w:p>
      <w:pPr>
        <w:spacing w:after="0" w:line="202" w:lineRule="exact"/>
        <w:rPr>
          <w:sz w:val="20"/>
          <w:szCs w:val="20"/>
          <w:color w:val="auto"/>
        </w:rPr>
      </w:pPr>
    </w:p>
    <w:p>
      <w:pPr>
        <w:jc w:val="both"/>
        <w:ind w:left="600"/>
        <w:spacing w:after="0" w:line="237" w:lineRule="auto"/>
        <w:rPr>
          <w:sz w:val="20"/>
          <w:szCs w:val="20"/>
          <w:color w:val="auto"/>
        </w:rPr>
      </w:pPr>
      <w:r>
        <w:rPr>
          <w:rFonts w:ascii="Verdana" w:cs="Verdana" w:eastAsia="Verdana" w:hAnsi="Verdana"/>
          <w:sz w:val="18"/>
          <w:szCs w:val="18"/>
          <w:color w:val="auto"/>
        </w:rPr>
        <w:t xml:space="preserve">The Final Award, if any, shall be paid and/or expire in the circumstances described in this </w:t>
      </w:r>
      <w:r>
        <w:rPr>
          <w:rFonts w:ascii="Verdana" w:cs="Verdana" w:eastAsia="Verdana" w:hAnsi="Verdana"/>
          <w:sz w:val="18"/>
          <w:szCs w:val="18"/>
          <w:u w:val="single" w:color="auto"/>
          <w:color w:val="auto"/>
        </w:rPr>
        <w:t>Section 8</w:t>
      </w:r>
      <w:r>
        <w:rPr>
          <w:rFonts w:ascii="Verdana" w:cs="Verdana" w:eastAsia="Verdana" w:hAnsi="Verdana"/>
          <w:sz w:val="18"/>
          <w:szCs w:val="18"/>
          <w:color w:val="auto"/>
        </w:rPr>
        <w:t>. As used herein, “</w:t>
      </w:r>
      <w:r>
        <w:rPr>
          <w:rFonts w:ascii="Verdana" w:cs="Verdana" w:eastAsia="Verdana" w:hAnsi="Verdana"/>
          <w:sz w:val="18"/>
          <w:szCs w:val="18"/>
          <w:u w:val="single" w:color="auto"/>
          <w:color w:val="auto"/>
        </w:rPr>
        <w:t>Termination of Service</w:t>
      </w:r>
      <w:r>
        <w:rPr>
          <w:rFonts w:ascii="Verdana" w:cs="Verdana" w:eastAsia="Verdana" w:hAnsi="Verdana"/>
          <w:sz w:val="18"/>
          <w:szCs w:val="18"/>
          <w:color w:val="auto"/>
        </w:rPr>
        <w:t>” means termination of a Participant’s employment by, or service to, the Company, including any of its Subsidiaries.</w:t>
      </w:r>
    </w:p>
    <w:p>
      <w:pPr>
        <w:spacing w:after="0" w:line="194" w:lineRule="exact"/>
        <w:rPr>
          <w:sz w:val="20"/>
          <w:szCs w:val="20"/>
          <w:color w:val="auto"/>
        </w:rPr>
      </w:pPr>
    </w:p>
    <w:p>
      <w:pPr>
        <w:ind w:left="600"/>
        <w:spacing w:after="0"/>
        <w:rPr>
          <w:sz w:val="20"/>
          <w:szCs w:val="20"/>
          <w:color w:val="auto"/>
        </w:rPr>
      </w:pPr>
      <w:r>
        <w:rPr>
          <w:rFonts w:ascii="Verdana" w:cs="Verdana" w:eastAsia="Verdana" w:hAnsi="Verdana"/>
          <w:sz w:val="18"/>
          <w:szCs w:val="18"/>
          <w:b w:val="1"/>
          <w:bCs w:val="1"/>
          <w:color w:val="auto"/>
        </w:rPr>
        <w:t>(a) Death</w:t>
      </w:r>
    </w:p>
    <w:p>
      <w:pPr>
        <w:spacing w:after="0" w:line="202" w:lineRule="exact"/>
        <w:rPr>
          <w:sz w:val="20"/>
          <w:szCs w:val="20"/>
          <w:color w:val="auto"/>
        </w:rPr>
      </w:pPr>
    </w:p>
    <w:p>
      <w:pPr>
        <w:jc w:val="both"/>
        <w:ind w:left="600"/>
        <w:spacing w:after="0" w:line="237" w:lineRule="auto"/>
        <w:rPr>
          <w:sz w:val="20"/>
          <w:szCs w:val="20"/>
          <w:color w:val="auto"/>
        </w:rPr>
      </w:pPr>
      <w:r>
        <w:rPr>
          <w:rFonts w:ascii="Verdana" w:cs="Verdana" w:eastAsia="Verdana" w:hAnsi="Verdana"/>
          <w:sz w:val="18"/>
          <w:szCs w:val="18"/>
          <w:color w:val="auto"/>
        </w:rPr>
        <w:t xml:space="preserve">Upon a Termination of Service by reason of death, a Final Award equal to one hundred percent (100%) of the Target Award shall be paid to the Participant’s legal representatives, heirs, legatees, or distributees in accordance with </w:t>
      </w:r>
      <w:r>
        <w:rPr>
          <w:rFonts w:ascii="Verdana" w:cs="Verdana" w:eastAsia="Verdana" w:hAnsi="Verdana"/>
          <w:sz w:val="18"/>
          <w:szCs w:val="18"/>
          <w:u w:val="single" w:color="auto"/>
          <w:color w:val="auto"/>
        </w:rPr>
        <w:t>Section 3</w:t>
      </w:r>
      <w:r>
        <w:rPr>
          <w:rFonts w:ascii="Verdana" w:cs="Verdana" w:eastAsia="Verdana" w:hAnsi="Verdana"/>
          <w:sz w:val="18"/>
          <w:szCs w:val="18"/>
          <w:color w:val="auto"/>
        </w:rPr>
        <w:t>.</w:t>
      </w:r>
    </w:p>
    <w:p>
      <w:pPr>
        <w:spacing w:after="0" w:line="194" w:lineRule="exact"/>
        <w:rPr>
          <w:sz w:val="20"/>
          <w:szCs w:val="20"/>
          <w:color w:val="auto"/>
        </w:rPr>
      </w:pPr>
    </w:p>
    <w:p>
      <w:pPr>
        <w:ind w:left="600"/>
        <w:spacing w:after="0"/>
        <w:rPr>
          <w:sz w:val="20"/>
          <w:szCs w:val="20"/>
          <w:color w:val="auto"/>
        </w:rPr>
      </w:pPr>
      <w:r>
        <w:rPr>
          <w:rFonts w:ascii="Verdana" w:cs="Verdana" w:eastAsia="Verdana" w:hAnsi="Verdana"/>
          <w:sz w:val="18"/>
          <w:szCs w:val="18"/>
          <w:b w:val="1"/>
          <w:bCs w:val="1"/>
          <w:color w:val="auto"/>
        </w:rPr>
        <w:t>(b) Retirement</w:t>
      </w:r>
    </w:p>
    <w:p>
      <w:pPr>
        <w:spacing w:after="0" w:line="202" w:lineRule="exact"/>
        <w:rPr>
          <w:sz w:val="20"/>
          <w:szCs w:val="20"/>
          <w:color w:val="auto"/>
        </w:rPr>
      </w:pPr>
    </w:p>
    <w:p>
      <w:pPr>
        <w:jc w:val="both"/>
        <w:ind w:left="600"/>
        <w:spacing w:after="0" w:line="235" w:lineRule="auto"/>
        <w:rPr>
          <w:sz w:val="20"/>
          <w:szCs w:val="20"/>
          <w:color w:val="auto"/>
        </w:rPr>
      </w:pPr>
      <w:r>
        <w:rPr>
          <w:rFonts w:ascii="Verdana" w:cs="Verdana" w:eastAsia="Verdana" w:hAnsi="Verdana"/>
          <w:sz w:val="18"/>
          <w:szCs w:val="18"/>
          <w:color w:val="auto"/>
        </w:rPr>
        <w:t xml:space="preserve">Retirement means (i) for any non-director, unless otherwise determined by the Committee, means (A) termination of service as a non-director after at least 10 years of service by such non-director </w:t>
      </w:r>
      <w:r>
        <w:rPr>
          <w:rFonts w:ascii="Verdana" w:cs="Verdana" w:eastAsia="Verdana" w:hAnsi="Verdana"/>
          <w:sz w:val="18"/>
          <w:szCs w:val="18"/>
          <w:u w:val="single" w:color="auto"/>
          <w:color w:val="auto"/>
        </w:rPr>
        <w:t>and</w:t>
      </w:r>
      <w:r>
        <w:rPr>
          <w:rFonts w:ascii="Verdana" w:cs="Verdana" w:eastAsia="Verdana" w:hAnsi="Verdana"/>
          <w:sz w:val="18"/>
          <w:szCs w:val="18"/>
          <w:color w:val="auto"/>
        </w:rPr>
        <w:t xml:space="preserve"> (B) attaining at least 55 years of age, and (ii) for any director, unless otherwise determined by the Committee, means termination of service as a director after at least five years of Board service by such director.</w:t>
      </w:r>
    </w:p>
    <w:p>
      <w:pPr>
        <w:spacing w:after="0" w:line="196" w:lineRule="exact"/>
        <w:rPr>
          <w:sz w:val="20"/>
          <w:szCs w:val="20"/>
          <w:color w:val="auto"/>
        </w:rPr>
      </w:pPr>
    </w:p>
    <w:p>
      <w:pPr>
        <w:jc w:val="both"/>
        <w:ind w:left="600"/>
        <w:spacing w:after="0" w:line="235" w:lineRule="auto"/>
        <w:rPr>
          <w:sz w:val="20"/>
          <w:szCs w:val="20"/>
          <w:color w:val="auto"/>
        </w:rPr>
      </w:pPr>
      <w:r>
        <w:rPr>
          <w:rFonts w:ascii="Verdana" w:cs="Verdana" w:eastAsia="Verdana" w:hAnsi="Verdana"/>
          <w:sz w:val="18"/>
          <w:szCs w:val="18"/>
          <w:color w:val="auto"/>
        </w:rPr>
        <w:t xml:space="preserve">Upon a Termination of Service in the event of Retirement, the Award shall continue to vest according to the vesting schedule; provided that Retirement occurs more than twelve (12) months following the Date of Grant. Upon vesting, the Award shall be issued and delivered to the Participant in accordance with </w:t>
      </w:r>
      <w:r>
        <w:rPr>
          <w:rFonts w:ascii="Verdana" w:cs="Verdana" w:eastAsia="Verdana" w:hAnsi="Verdana"/>
          <w:sz w:val="18"/>
          <w:szCs w:val="18"/>
          <w:u w:val="single" w:color="auto"/>
          <w:color w:val="auto"/>
        </w:rPr>
        <w:t>Sections 1</w:t>
      </w:r>
      <w:r>
        <w:rPr>
          <w:rFonts w:ascii="Verdana" w:cs="Verdana" w:eastAsia="Verdana" w:hAnsi="Verdana"/>
          <w:sz w:val="18"/>
          <w:szCs w:val="18"/>
          <w:color w:val="auto"/>
        </w:rPr>
        <w:t xml:space="preserve"> and </w:t>
      </w:r>
      <w:r>
        <w:rPr>
          <w:rFonts w:ascii="Verdana" w:cs="Verdana" w:eastAsia="Verdana" w:hAnsi="Verdana"/>
          <w:sz w:val="18"/>
          <w:szCs w:val="18"/>
          <w:u w:val="single" w:color="auto"/>
          <w:color w:val="auto"/>
        </w:rPr>
        <w:t>2</w:t>
      </w:r>
      <w:r>
        <w:rPr>
          <w:rFonts w:ascii="Verdana" w:cs="Verdana" w:eastAsia="Verdana" w:hAnsi="Verdana"/>
          <w:sz w:val="18"/>
          <w:szCs w:val="18"/>
          <w:color w:val="auto"/>
        </w:rPr>
        <w:t xml:space="preserve">, and any such Final Award shall be paid to the Participant in accordance with </w:t>
      </w:r>
      <w:r>
        <w:rPr>
          <w:rFonts w:ascii="Verdana" w:cs="Verdana" w:eastAsia="Verdana" w:hAnsi="Verdana"/>
          <w:sz w:val="18"/>
          <w:szCs w:val="18"/>
          <w:u w:val="single" w:color="auto"/>
          <w:color w:val="auto"/>
        </w:rPr>
        <w:t>Section 3</w:t>
      </w:r>
      <w:r>
        <w:rPr>
          <w:rFonts w:ascii="Verdana" w:cs="Verdana" w:eastAsia="Verdana" w:hAnsi="Verdana"/>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280" w:val="left"/>
          <w:tab w:leader="none" w:pos="1680" w:val="left"/>
        </w:tabs>
        <w:rPr>
          <w:sz w:val="20"/>
          <w:szCs w:val="20"/>
          <w:color w:val="auto"/>
        </w:rPr>
      </w:pPr>
      <w:r>
        <w:rPr>
          <w:rFonts w:ascii="Verdana" w:cs="Verdana" w:eastAsia="Verdana" w:hAnsi="Verdana"/>
          <w:sz w:val="18"/>
          <w:szCs w:val="18"/>
          <w:color w:val="auto"/>
        </w:rPr>
        <w:t>6</w:t>
      </w:r>
      <w:r>
        <w:rPr>
          <w:sz w:val="20"/>
          <w:szCs w:val="20"/>
          <w:color w:val="auto"/>
        </w:rPr>
        <w:tab/>
      </w:r>
      <w:r>
        <w:rPr>
          <w:rFonts w:ascii="Arial" w:cs="Arial" w:eastAsia="Arial" w:hAnsi="Arial"/>
          <w:sz w:val="12"/>
          <w:szCs w:val="12"/>
          <w:color w:val="auto"/>
        </w:rPr>
        <w:t>LEGAL\61899936\12</w:t>
      </w:r>
      <w:r>
        <w:rPr>
          <w:sz w:val="20"/>
          <w:szCs w:val="20"/>
          <w:color w:val="auto"/>
        </w:rPr>
        <w:tab/>
      </w:r>
      <w:r>
        <w:rPr>
          <w:rFonts w:ascii="Arial" w:cs="Arial" w:eastAsia="Arial" w:hAnsi="Arial"/>
          <w:sz w:val="12"/>
          <w:szCs w:val="12"/>
          <w:color w:val="auto"/>
        </w:rPr>
        <w:t>LEGAL\74461641\3</w:t>
      </w:r>
    </w:p>
    <w:p>
      <w:pPr>
        <w:sectPr>
          <w:pgSz w:w="11900" w:h="16838" w:orient="portrait"/>
          <w:cols w:equalWidth="0" w:num="1">
            <w:col w:w="10880"/>
          </w:cols>
          <w:pgMar w:left="360" w:top="1440" w:right="659" w:bottom="1440" w:gutter="0" w:footer="0" w:header="0"/>
        </w:sectPr>
      </w:pPr>
    </w:p>
    <w:bookmarkStart w:id="281" w:name="page282"/>
    <w:bookmarkEnd w:id="281"/>
    <w:p>
      <w:pPr>
        <w:ind w:left="600"/>
        <w:spacing w:after="0"/>
        <w:rPr>
          <w:sz w:val="20"/>
          <w:szCs w:val="20"/>
          <w:color w:val="auto"/>
        </w:rPr>
      </w:pPr>
      <w:r>
        <w:rPr>
          <w:rFonts w:ascii="Verdana" w:cs="Verdana" w:eastAsia="Verdana" w:hAnsi="Verdana"/>
          <w:sz w:val="18"/>
          <w:szCs w:val="18"/>
          <w:b w:val="1"/>
          <w:bCs w:val="1"/>
          <w:color w:val="auto"/>
        </w:rPr>
        <w:t>(c) Disability</w:t>
      </w:r>
    </w:p>
    <w:p>
      <w:pPr>
        <w:spacing w:after="0" w:line="202" w:lineRule="exact"/>
        <w:rPr>
          <w:sz w:val="20"/>
          <w:szCs w:val="20"/>
          <w:color w:val="auto"/>
        </w:rPr>
      </w:pPr>
    </w:p>
    <w:p>
      <w:pPr>
        <w:jc w:val="both"/>
        <w:ind w:left="600" w:right="20"/>
        <w:spacing w:after="0" w:line="230" w:lineRule="auto"/>
        <w:rPr>
          <w:sz w:val="20"/>
          <w:szCs w:val="20"/>
          <w:color w:val="auto"/>
        </w:rPr>
      </w:pPr>
      <w:r>
        <w:rPr>
          <w:rFonts w:ascii="Verdana" w:cs="Verdana" w:eastAsia="Verdana" w:hAnsi="Verdana"/>
          <w:sz w:val="18"/>
          <w:szCs w:val="18"/>
          <w:color w:val="auto"/>
        </w:rPr>
        <w:t xml:space="preserve">Upon a Termination of Service as a result of Disability, a Final Award equal to one hundred percent (100%) of the Target Award shall be paid to the Participant in accordance with </w:t>
      </w:r>
      <w:r>
        <w:rPr>
          <w:rFonts w:ascii="Verdana" w:cs="Verdana" w:eastAsia="Verdana" w:hAnsi="Verdana"/>
          <w:sz w:val="18"/>
          <w:szCs w:val="18"/>
          <w:u w:val="single" w:color="auto"/>
          <w:color w:val="auto"/>
        </w:rPr>
        <w:t>Section</w:t>
      </w:r>
    </w:p>
    <w:p>
      <w:pPr>
        <w:spacing w:after="0" w:line="2" w:lineRule="exact"/>
        <w:rPr>
          <w:sz w:val="20"/>
          <w:szCs w:val="20"/>
          <w:color w:val="auto"/>
        </w:rPr>
      </w:pPr>
    </w:p>
    <w:p>
      <w:pPr>
        <w:jc w:val="both"/>
        <w:ind w:left="600" w:right="20"/>
        <w:spacing w:after="0" w:line="237" w:lineRule="auto"/>
        <w:rPr>
          <w:sz w:val="20"/>
          <w:szCs w:val="20"/>
          <w:color w:val="auto"/>
        </w:rPr>
      </w:pPr>
      <w:r>
        <w:rPr>
          <w:rFonts w:ascii="Verdana" w:cs="Verdana" w:eastAsia="Verdana" w:hAnsi="Verdana"/>
          <w:sz w:val="18"/>
          <w:szCs w:val="18"/>
          <w:u w:val="single" w:color="auto"/>
          <w:color w:val="auto"/>
        </w:rPr>
        <w:t>3</w:t>
      </w:r>
      <w:r>
        <w:rPr>
          <w:rFonts w:ascii="Verdana" w:cs="Verdana" w:eastAsia="Verdana" w:hAnsi="Verdana"/>
          <w:sz w:val="18"/>
          <w:szCs w:val="18"/>
          <w:color w:val="auto"/>
        </w:rPr>
        <w:t>. For purposes of this Agreement, “Disability” means a disability that would entitle an eligible Participant to payment of monthly disability payments under any Company long-term disability plan or as otherwise determined by the Committee.</w:t>
      </w:r>
    </w:p>
    <w:p>
      <w:pPr>
        <w:spacing w:after="0" w:line="194" w:lineRule="exact"/>
        <w:rPr>
          <w:sz w:val="20"/>
          <w:szCs w:val="20"/>
          <w:color w:val="auto"/>
        </w:rPr>
      </w:pPr>
    </w:p>
    <w:p>
      <w:pPr>
        <w:ind w:left="600"/>
        <w:spacing w:after="0"/>
        <w:rPr>
          <w:sz w:val="20"/>
          <w:szCs w:val="20"/>
          <w:color w:val="auto"/>
        </w:rPr>
      </w:pPr>
      <w:r>
        <w:rPr>
          <w:rFonts w:ascii="Verdana" w:cs="Verdana" w:eastAsia="Verdana" w:hAnsi="Verdana"/>
          <w:sz w:val="18"/>
          <w:szCs w:val="18"/>
          <w:b w:val="1"/>
          <w:bCs w:val="1"/>
          <w:color w:val="auto"/>
        </w:rPr>
        <w:t>(d) Change in Control</w:t>
      </w:r>
    </w:p>
    <w:p>
      <w:pPr>
        <w:spacing w:after="0" w:line="202" w:lineRule="exact"/>
        <w:rPr>
          <w:sz w:val="20"/>
          <w:szCs w:val="20"/>
          <w:color w:val="auto"/>
        </w:rPr>
      </w:pPr>
    </w:p>
    <w:p>
      <w:pPr>
        <w:jc w:val="both"/>
        <w:ind w:left="600"/>
        <w:spacing w:after="0" w:line="268" w:lineRule="auto"/>
        <w:rPr>
          <w:sz w:val="20"/>
          <w:szCs w:val="20"/>
          <w:color w:val="auto"/>
        </w:rPr>
      </w:pPr>
      <w:r>
        <w:rPr>
          <w:rFonts w:ascii="Verdana" w:cs="Verdana" w:eastAsia="Verdana" w:hAnsi="Verdana"/>
          <w:sz w:val="16"/>
          <w:szCs w:val="16"/>
          <w:color w:val="auto"/>
        </w:rPr>
        <w:t xml:space="preserve">Notwithstanding any provision in this </w:t>
      </w:r>
      <w:r>
        <w:rPr>
          <w:rFonts w:ascii="Verdana" w:cs="Verdana" w:eastAsia="Verdana" w:hAnsi="Verdana"/>
          <w:sz w:val="16"/>
          <w:szCs w:val="16"/>
          <w:u w:val="single" w:color="auto"/>
          <w:color w:val="auto"/>
        </w:rPr>
        <w:t>Section 8</w:t>
      </w:r>
      <w:r>
        <w:rPr>
          <w:rFonts w:ascii="Verdana" w:cs="Verdana" w:eastAsia="Verdana" w:hAnsi="Verdana"/>
          <w:sz w:val="16"/>
          <w:szCs w:val="16"/>
          <w:color w:val="auto"/>
        </w:rPr>
        <w:t xml:space="preserve"> to the contrary, if the Company terminates the Participant’s employment without Cause in connection with a Change in Control (other than the Merger, as hereinafter defined), the Final Award payable to the Participant, if any, shall be determined by the Committee and shall be paid to the Participant in accordance with </w:t>
      </w:r>
      <w:r>
        <w:rPr>
          <w:rFonts w:ascii="Verdana" w:cs="Verdana" w:eastAsia="Verdana" w:hAnsi="Verdana"/>
          <w:sz w:val="16"/>
          <w:szCs w:val="16"/>
          <w:u w:val="single" w:color="auto"/>
          <w:color w:val="auto"/>
        </w:rPr>
        <w:t>Section 3</w:t>
      </w:r>
      <w:r>
        <w:rPr>
          <w:rFonts w:ascii="Verdana" w:cs="Verdana" w:eastAsia="Verdana" w:hAnsi="Verdana"/>
          <w:sz w:val="16"/>
          <w:szCs w:val="16"/>
          <w:color w:val="auto"/>
        </w:rPr>
        <w:t>. The Company’s termination of the Participant’s employment may be treated as being in connection with a Change in Control only if such termination occurs during the period beginning six (6) months prior to the Change in Control and ending twenty-four (24) months following the Change in Control.</w:t>
      </w:r>
    </w:p>
    <w:p>
      <w:pPr>
        <w:spacing w:after="0" w:line="171" w:lineRule="exact"/>
        <w:rPr>
          <w:sz w:val="20"/>
          <w:szCs w:val="20"/>
          <w:color w:val="auto"/>
        </w:rPr>
      </w:pPr>
    </w:p>
    <w:p>
      <w:pPr>
        <w:ind w:left="600"/>
        <w:spacing w:after="0"/>
        <w:rPr>
          <w:sz w:val="20"/>
          <w:szCs w:val="20"/>
          <w:color w:val="auto"/>
        </w:rPr>
      </w:pPr>
      <w:r>
        <w:rPr>
          <w:rFonts w:ascii="Verdana" w:cs="Verdana" w:eastAsia="Verdana" w:hAnsi="Verdana"/>
          <w:sz w:val="18"/>
          <w:szCs w:val="18"/>
          <w:b w:val="1"/>
          <w:bCs w:val="1"/>
          <w:color w:val="auto"/>
        </w:rPr>
        <w:t>(e) Eligible Termination</w:t>
      </w:r>
    </w:p>
    <w:p>
      <w:pPr>
        <w:spacing w:after="0" w:line="202" w:lineRule="exact"/>
        <w:rPr>
          <w:sz w:val="20"/>
          <w:szCs w:val="20"/>
          <w:color w:val="auto"/>
        </w:rPr>
      </w:pPr>
    </w:p>
    <w:p>
      <w:pPr>
        <w:jc w:val="both"/>
        <w:ind w:left="600"/>
        <w:spacing w:after="0" w:line="262" w:lineRule="auto"/>
        <w:rPr>
          <w:sz w:val="20"/>
          <w:szCs w:val="20"/>
          <w:color w:val="auto"/>
        </w:rPr>
      </w:pPr>
      <w:r>
        <w:rPr>
          <w:rFonts w:ascii="Verdana" w:cs="Verdana" w:eastAsia="Verdana" w:hAnsi="Verdana"/>
          <w:sz w:val="16"/>
          <w:szCs w:val="16"/>
          <w:color w:val="auto"/>
        </w:rPr>
        <w:t xml:space="preserve">Upon a Termination of Service by reason of an Eligible Termination (as defined below), the Participant shall continue to be eligible to receive a Final Award, if any, as though the Participant was continuously employed by the Company throughout the Performance Period. At the end of the Performance Period, the Company will determine the Final Award that the Participant would have received had the Participant been continuously employed by the Company throughout the Performance Period in accordance with </w:t>
      </w:r>
      <w:r>
        <w:rPr>
          <w:rFonts w:ascii="Verdana" w:cs="Verdana" w:eastAsia="Verdana" w:hAnsi="Verdana"/>
          <w:sz w:val="16"/>
          <w:szCs w:val="16"/>
          <w:u w:val="single" w:color="auto"/>
          <w:color w:val="auto"/>
        </w:rPr>
        <w:t>Sections 1</w:t>
      </w:r>
      <w:r>
        <w:rPr>
          <w:rFonts w:ascii="Verdana" w:cs="Verdana" w:eastAsia="Verdana" w:hAnsi="Verdana"/>
          <w:sz w:val="16"/>
          <w:szCs w:val="16"/>
          <w:color w:val="auto"/>
        </w:rPr>
        <w:t xml:space="preserve"> and </w:t>
      </w:r>
      <w:r>
        <w:rPr>
          <w:rFonts w:ascii="Verdana" w:cs="Verdana" w:eastAsia="Verdana" w:hAnsi="Verdana"/>
          <w:sz w:val="16"/>
          <w:szCs w:val="16"/>
          <w:u w:val="single" w:color="auto"/>
          <w:color w:val="auto"/>
        </w:rPr>
        <w:t>2</w:t>
      </w:r>
      <w:r>
        <w:rPr>
          <w:rFonts w:ascii="Verdana" w:cs="Verdana" w:eastAsia="Verdana" w:hAnsi="Verdana"/>
          <w:sz w:val="16"/>
          <w:szCs w:val="16"/>
          <w:color w:val="auto"/>
        </w:rPr>
        <w:t xml:space="preserve"> (the “</w:t>
      </w:r>
      <w:r>
        <w:rPr>
          <w:rFonts w:ascii="Verdana" w:cs="Verdana" w:eastAsia="Verdana" w:hAnsi="Verdana"/>
          <w:sz w:val="16"/>
          <w:szCs w:val="16"/>
          <w:u w:val="single" w:color="auto"/>
          <w:color w:val="auto"/>
        </w:rPr>
        <w:t>Performance Award</w:t>
      </w:r>
      <w:r>
        <w:rPr>
          <w:rFonts w:ascii="Verdana" w:cs="Verdana" w:eastAsia="Verdana" w:hAnsi="Verdana"/>
          <w:sz w:val="16"/>
          <w:szCs w:val="16"/>
          <w:color w:val="auto"/>
        </w:rPr>
        <w:t>”). The Performance Award shall then be pro-rated such that the total number of shares of Common Stock paid to the Participant shall be the percentage of the Performance Award that is equal to the percentage of time that the Participant was actually continuously employed by the Company during the Performance Period (the “</w:t>
      </w:r>
      <w:r>
        <w:rPr>
          <w:rFonts w:ascii="Verdana" w:cs="Verdana" w:eastAsia="Verdana" w:hAnsi="Verdana"/>
          <w:sz w:val="16"/>
          <w:szCs w:val="16"/>
          <w:u w:val="single" w:color="auto"/>
          <w:color w:val="auto"/>
        </w:rPr>
        <w:t>Pro-rated</w:t>
      </w:r>
      <w:r>
        <w:rPr>
          <w:rFonts w:ascii="Verdana" w:cs="Verdana" w:eastAsia="Verdana" w:hAnsi="Verdana"/>
          <w:sz w:val="16"/>
          <w:szCs w:val="16"/>
          <w:color w:val="auto"/>
        </w:rPr>
        <w:t xml:space="preserve"> </w:t>
      </w:r>
      <w:r>
        <w:rPr>
          <w:rFonts w:ascii="Verdana" w:cs="Verdana" w:eastAsia="Verdana" w:hAnsi="Verdana"/>
          <w:sz w:val="16"/>
          <w:szCs w:val="16"/>
          <w:u w:val="single" w:color="auto"/>
          <w:color w:val="auto"/>
        </w:rPr>
        <w:t>Performance Award</w:t>
      </w:r>
      <w:r>
        <w:rPr>
          <w:rFonts w:ascii="Verdana" w:cs="Verdana" w:eastAsia="Verdana" w:hAnsi="Verdana"/>
          <w:sz w:val="16"/>
          <w:szCs w:val="16"/>
          <w:color w:val="auto"/>
        </w:rPr>
        <w:t xml:space="preserve">”). The Pro-rated Performance Award shall become payable to the Participant on the later to occur of (A) the date that the Final Award would have be delivered in accordance with </w:t>
      </w:r>
      <w:r>
        <w:rPr>
          <w:rFonts w:ascii="Verdana" w:cs="Verdana" w:eastAsia="Verdana" w:hAnsi="Verdana"/>
          <w:sz w:val="16"/>
          <w:szCs w:val="16"/>
          <w:u w:val="single" w:color="auto"/>
          <w:color w:val="auto"/>
        </w:rPr>
        <w:t>Section 3</w:t>
      </w:r>
      <w:r>
        <w:rPr>
          <w:rFonts w:ascii="Verdana" w:cs="Verdana" w:eastAsia="Verdana" w:hAnsi="Verdana"/>
          <w:sz w:val="16"/>
          <w:szCs w:val="16"/>
          <w:color w:val="auto"/>
        </w:rPr>
        <w:t xml:space="preserve"> had the Participant been continuously employed by the Company throughout the Performance Period, and (B) on or about the fifteenth (15th) day of the month that follows the month in which the Release (as defined below) becomes irrevocable; </w:t>
      </w:r>
      <w:r>
        <w:rPr>
          <w:rFonts w:ascii="Verdana" w:cs="Verdana" w:eastAsia="Verdana" w:hAnsi="Verdana"/>
          <w:sz w:val="16"/>
          <w:szCs w:val="16"/>
          <w:u w:val="single" w:color="auto"/>
          <w:color w:val="auto"/>
        </w:rPr>
        <w:t>provided</w:t>
      </w:r>
      <w:r>
        <w:rPr>
          <w:rFonts w:ascii="Verdana" w:cs="Verdana" w:eastAsia="Verdana" w:hAnsi="Verdana"/>
          <w:sz w:val="16"/>
          <w:szCs w:val="16"/>
          <w:color w:val="auto"/>
        </w:rPr>
        <w:t xml:space="preserve">, that (i) in the event the aggregate consideration and revocation period applicable to the Release ends after December 15 or spans two (2) calendar years, the applicable date under this Clause (B) will be on or about January 15 of the second calendar year and, (ii) in the event the aggregate consideration and revocation period applicable to the Release ends on or before December 15, the applicable date under this Clause (B) will be December 20th. Upon becoming payable, the Pro-rated Performance Award shall be paid to the Participant in accordance with </w:t>
      </w:r>
      <w:r>
        <w:rPr>
          <w:rFonts w:ascii="Verdana" w:cs="Verdana" w:eastAsia="Verdana" w:hAnsi="Verdana"/>
          <w:sz w:val="16"/>
          <w:szCs w:val="16"/>
          <w:u w:val="single" w:color="auto"/>
          <w:color w:val="auto"/>
        </w:rPr>
        <w:t>Section 3</w:t>
      </w:r>
      <w:r>
        <w:rPr>
          <w:rFonts w:ascii="Verdana" w:cs="Verdana" w:eastAsia="Verdana" w:hAnsi="Verdana"/>
          <w:sz w:val="16"/>
          <w:szCs w:val="16"/>
          <w:color w:val="auto"/>
        </w:rPr>
        <w:t>, provided, for the avoidance of doubt, that any payment pursuant to Section 3 with respect to a Pro-Rated Award shall be made within two and one-half months of the end of such calendar year.</w:t>
      </w:r>
    </w:p>
    <w:p>
      <w:pPr>
        <w:spacing w:after="0" w:line="390" w:lineRule="exact"/>
        <w:rPr>
          <w:sz w:val="20"/>
          <w:szCs w:val="20"/>
          <w:color w:val="auto"/>
        </w:rPr>
      </w:pPr>
    </w:p>
    <w:p>
      <w:pPr>
        <w:jc w:val="both"/>
        <w:ind w:left="600" w:right="20"/>
        <w:spacing w:after="0" w:line="234" w:lineRule="auto"/>
        <w:rPr>
          <w:sz w:val="20"/>
          <w:szCs w:val="20"/>
          <w:color w:val="auto"/>
        </w:rPr>
      </w:pPr>
      <w:r>
        <w:rPr>
          <w:rFonts w:ascii="Verdana" w:cs="Verdana" w:eastAsia="Verdana" w:hAnsi="Verdana"/>
          <w:sz w:val="18"/>
          <w:szCs w:val="18"/>
          <w:color w:val="auto"/>
        </w:rPr>
        <w:t xml:space="preserve">For purposes of this </w:t>
      </w:r>
      <w:r>
        <w:rPr>
          <w:rFonts w:ascii="Verdana" w:cs="Verdana" w:eastAsia="Verdana" w:hAnsi="Verdana"/>
          <w:sz w:val="18"/>
          <w:szCs w:val="18"/>
          <w:u w:val="single" w:color="auto"/>
          <w:color w:val="auto"/>
        </w:rPr>
        <w:t>Section 8(e)</w:t>
      </w:r>
      <w:r>
        <w:rPr>
          <w:rFonts w:ascii="Verdana" w:cs="Verdana" w:eastAsia="Verdana" w:hAnsi="Verdana"/>
          <w:sz w:val="18"/>
          <w:szCs w:val="18"/>
          <w:color w:val="auto"/>
        </w:rPr>
        <w:t>, “</w:t>
      </w:r>
      <w:r>
        <w:rPr>
          <w:rFonts w:ascii="Verdana" w:cs="Verdana" w:eastAsia="Verdana" w:hAnsi="Verdana"/>
          <w:sz w:val="18"/>
          <w:szCs w:val="18"/>
          <w:u w:val="single" w:color="auto"/>
          <w:color w:val="auto"/>
        </w:rPr>
        <w:t>Eligible Termination</w:t>
      </w:r>
      <w:r>
        <w:rPr>
          <w:rFonts w:ascii="Verdana" w:cs="Verdana" w:eastAsia="Verdana" w:hAnsi="Verdana"/>
          <w:sz w:val="18"/>
          <w:szCs w:val="18"/>
          <w:color w:val="auto"/>
        </w:rPr>
        <w:t>” means an involuntary Termination of Service in connection with the sale of a business segment, restructuring or reduction in workforce. In order to be deemed an Eligible Termination, the Participant must execute and not revoke a general release of claims in favor of the Company in a form and with terms and conditions drafted by and acceptable to the Company, which is executed, and not revoked, by the Participant as a condition to receiving the benefit described herein (the “</w:t>
      </w:r>
      <w:r>
        <w:rPr>
          <w:rFonts w:ascii="Verdana" w:cs="Verdana" w:eastAsia="Verdana" w:hAnsi="Verdana"/>
          <w:sz w:val="18"/>
          <w:szCs w:val="18"/>
          <w:u w:val="single" w:color="auto"/>
          <w:color w:val="auto"/>
        </w:rPr>
        <w:t>Release</w:t>
      </w:r>
      <w:r>
        <w:rPr>
          <w:rFonts w:ascii="Verdana" w:cs="Verdana" w:eastAsia="Verdana" w:hAnsi="Verdana"/>
          <w:sz w:val="18"/>
          <w:szCs w:val="18"/>
          <w:color w:val="auto"/>
        </w:rPr>
        <w:t>”). For the avoidance of doubt: (i) an involuntary Termination of Service by reason of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280" w:val="left"/>
          <w:tab w:leader="none" w:pos="1680" w:val="left"/>
        </w:tabs>
        <w:rPr>
          <w:sz w:val="20"/>
          <w:szCs w:val="20"/>
          <w:color w:val="auto"/>
        </w:rPr>
      </w:pPr>
      <w:r>
        <w:rPr>
          <w:rFonts w:ascii="Verdana" w:cs="Verdana" w:eastAsia="Verdana" w:hAnsi="Verdana"/>
          <w:sz w:val="18"/>
          <w:szCs w:val="18"/>
          <w:color w:val="auto"/>
        </w:rPr>
        <w:t>7</w:t>
      </w:r>
      <w:r>
        <w:rPr>
          <w:sz w:val="20"/>
          <w:szCs w:val="20"/>
          <w:color w:val="auto"/>
        </w:rPr>
        <w:tab/>
      </w:r>
      <w:r>
        <w:rPr>
          <w:rFonts w:ascii="Arial" w:cs="Arial" w:eastAsia="Arial" w:hAnsi="Arial"/>
          <w:sz w:val="12"/>
          <w:szCs w:val="12"/>
          <w:color w:val="auto"/>
        </w:rPr>
        <w:t>LEGAL\61899936\12</w:t>
      </w:r>
      <w:r>
        <w:rPr>
          <w:sz w:val="20"/>
          <w:szCs w:val="20"/>
          <w:color w:val="auto"/>
        </w:rPr>
        <w:tab/>
      </w:r>
      <w:r>
        <w:rPr>
          <w:rFonts w:ascii="Arial" w:cs="Arial" w:eastAsia="Arial" w:hAnsi="Arial"/>
          <w:sz w:val="12"/>
          <w:szCs w:val="12"/>
          <w:color w:val="auto"/>
        </w:rPr>
        <w:t>LEGAL\74461641\3</w:t>
      </w:r>
    </w:p>
    <w:p>
      <w:pPr>
        <w:sectPr>
          <w:pgSz w:w="11900" w:h="16838" w:orient="portrait"/>
          <w:cols w:equalWidth="0" w:num="1">
            <w:col w:w="10900"/>
          </w:cols>
          <w:pgMar w:left="360" w:top="1227" w:right="639" w:bottom="1440" w:gutter="0" w:footer="0" w:header="0"/>
        </w:sectPr>
      </w:pPr>
    </w:p>
    <w:bookmarkStart w:id="282" w:name="page283"/>
    <w:bookmarkEnd w:id="282"/>
    <w:p>
      <w:pPr>
        <w:spacing w:after="0" w:line="24" w:lineRule="exact"/>
        <w:rPr>
          <w:sz w:val="20"/>
          <w:szCs w:val="20"/>
          <w:color w:val="auto"/>
        </w:rPr>
      </w:pPr>
    </w:p>
    <w:p>
      <w:pPr>
        <w:jc w:val="both"/>
        <w:ind w:left="600" w:right="20"/>
        <w:spacing w:after="0" w:line="237" w:lineRule="auto"/>
        <w:rPr>
          <w:sz w:val="20"/>
          <w:szCs w:val="20"/>
          <w:color w:val="auto"/>
        </w:rPr>
      </w:pPr>
      <w:r>
        <w:rPr>
          <w:rFonts w:ascii="Verdana" w:cs="Verdana" w:eastAsia="Verdana" w:hAnsi="Verdana"/>
          <w:sz w:val="18"/>
          <w:szCs w:val="18"/>
          <w:color w:val="auto"/>
        </w:rPr>
        <w:t xml:space="preserve">Cause, death, Disability, Good Reason, or not for Cause is not an Eligible Termination and (ii) in the event an Eligible Termination occurs and the Participant also meets the requirements for Retirement, the Award shall be paid in accordance with </w:t>
      </w:r>
      <w:r>
        <w:rPr>
          <w:rFonts w:ascii="Verdana" w:cs="Verdana" w:eastAsia="Verdana" w:hAnsi="Verdana"/>
          <w:sz w:val="18"/>
          <w:szCs w:val="18"/>
          <w:u w:val="single" w:color="auto"/>
          <w:color w:val="auto"/>
        </w:rPr>
        <w:t>Section 8(b)</w:t>
      </w:r>
      <w:r>
        <w:rPr>
          <w:rFonts w:ascii="Verdana" w:cs="Verdana" w:eastAsia="Verdana" w:hAnsi="Verdana"/>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900" w:hanging="540"/>
        <w:spacing w:after="0"/>
        <w:tabs>
          <w:tab w:leader="none" w:pos="900" w:val="left"/>
        </w:tabs>
        <w:numPr>
          <w:ilvl w:val="0"/>
          <w:numId w:val="270"/>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Termination of Service other than as a result of Death, Retirement, Disability, or Change in Control</w:t>
      </w:r>
    </w:p>
    <w:p>
      <w:pPr>
        <w:spacing w:after="0" w:line="202" w:lineRule="exact"/>
        <w:rPr>
          <w:sz w:val="20"/>
          <w:szCs w:val="20"/>
          <w:color w:val="auto"/>
        </w:rPr>
      </w:pPr>
    </w:p>
    <w:p>
      <w:pPr>
        <w:jc w:val="both"/>
        <w:ind w:left="600" w:right="20"/>
        <w:spacing w:after="0" w:line="234" w:lineRule="auto"/>
        <w:rPr>
          <w:sz w:val="20"/>
          <w:szCs w:val="20"/>
          <w:color w:val="auto"/>
        </w:rPr>
      </w:pPr>
      <w:r>
        <w:rPr>
          <w:rFonts w:ascii="Verdana" w:cs="Verdana" w:eastAsia="Verdana" w:hAnsi="Verdana"/>
          <w:sz w:val="18"/>
          <w:szCs w:val="18"/>
          <w:color w:val="auto"/>
        </w:rPr>
        <w:t>Except as provided in Section 8(h), upon a Termination of Service by any reason other than death, Retirement, Disability or without Cause in connection with a Change in Control, including, without limitation, as a result of retirement or disability that does not meet the requirements set forth in the definitions of such terms in the Plan or this Agreement, any award or right granted hereunder shall expire and be forfeited, and no Final Award or dividend equivalent related thereto shall be paid.</w:t>
      </w:r>
    </w:p>
    <w:p>
      <w:pPr>
        <w:spacing w:after="0" w:line="197" w:lineRule="exact"/>
        <w:rPr>
          <w:sz w:val="20"/>
          <w:szCs w:val="20"/>
          <w:color w:val="auto"/>
        </w:rPr>
      </w:pPr>
    </w:p>
    <w:p>
      <w:pPr>
        <w:ind w:left="600"/>
        <w:spacing w:after="0"/>
        <w:rPr>
          <w:sz w:val="20"/>
          <w:szCs w:val="20"/>
          <w:color w:val="auto"/>
        </w:rPr>
      </w:pPr>
      <w:r>
        <w:rPr>
          <w:rFonts w:ascii="Verdana" w:cs="Verdana" w:eastAsia="Verdana" w:hAnsi="Verdana"/>
          <w:sz w:val="18"/>
          <w:szCs w:val="18"/>
          <w:b w:val="1"/>
          <w:bCs w:val="1"/>
          <w:color w:val="auto"/>
        </w:rPr>
        <w:t>(g) Clawback/Repayment</w:t>
      </w:r>
    </w:p>
    <w:p>
      <w:pPr>
        <w:spacing w:after="0" w:line="202" w:lineRule="exact"/>
        <w:rPr>
          <w:sz w:val="20"/>
          <w:szCs w:val="20"/>
          <w:color w:val="auto"/>
        </w:rPr>
      </w:pPr>
    </w:p>
    <w:p>
      <w:pPr>
        <w:jc w:val="both"/>
        <w:ind w:left="600"/>
        <w:spacing w:after="0" w:line="265" w:lineRule="auto"/>
        <w:rPr>
          <w:sz w:val="20"/>
          <w:szCs w:val="20"/>
          <w:color w:val="auto"/>
        </w:rPr>
      </w:pPr>
      <w:r>
        <w:rPr>
          <w:rFonts w:ascii="Verdana" w:cs="Verdana" w:eastAsia="Verdana" w:hAnsi="Verdana"/>
          <w:sz w:val="16"/>
          <w:szCs w:val="16"/>
          <w:color w:val="auto"/>
        </w:rPr>
        <w:t>All RPSUs shall be subject to reduction, cancellation, forfeiture, or recoupment to the extent necessary to comply with (i) any clawback, forfeiture, or other similar policy adopted by the Board or the Committee and is in effect from time to time and (ii) applicable law. Further, unless otherwise determined by the Committee, to the extent that the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shall be required to repay any such excess amount to the Company. To the extent that the Participant is subject to the Company’s Clawback Policy, effective as of October 1, 2023, as it may be amended from time to time (the “Clawback Policy”), notwithstanding the foregoing, the Clawback Policy shall be applicable to this Agreement and any award or right granted hereunder.</w:t>
      </w:r>
    </w:p>
    <w:p>
      <w:pPr>
        <w:spacing w:after="0" w:line="173" w:lineRule="exact"/>
        <w:rPr>
          <w:sz w:val="20"/>
          <w:szCs w:val="20"/>
          <w:color w:val="auto"/>
        </w:rPr>
      </w:pPr>
    </w:p>
    <w:p>
      <w:pPr>
        <w:ind w:left="600"/>
        <w:spacing w:after="0"/>
        <w:rPr>
          <w:sz w:val="20"/>
          <w:szCs w:val="20"/>
          <w:color w:val="auto"/>
        </w:rPr>
      </w:pPr>
      <w:r>
        <w:rPr>
          <w:rFonts w:ascii="Verdana" w:cs="Verdana" w:eastAsia="Verdana" w:hAnsi="Verdana"/>
          <w:sz w:val="18"/>
          <w:szCs w:val="18"/>
          <w:b w:val="1"/>
          <w:bCs w:val="1"/>
          <w:color w:val="auto"/>
        </w:rPr>
        <w:t>(h) Detrimental Activity</w:t>
      </w:r>
    </w:p>
    <w:p>
      <w:pPr>
        <w:spacing w:after="0" w:line="97" w:lineRule="exact"/>
        <w:rPr>
          <w:sz w:val="20"/>
          <w:szCs w:val="20"/>
          <w:color w:val="auto"/>
        </w:rPr>
      </w:pPr>
    </w:p>
    <w:p>
      <w:pPr>
        <w:jc w:val="both"/>
        <w:ind w:left="600" w:right="20"/>
        <w:spacing w:after="0" w:line="232" w:lineRule="auto"/>
        <w:rPr>
          <w:sz w:val="20"/>
          <w:szCs w:val="20"/>
          <w:color w:val="auto"/>
        </w:rPr>
      </w:pPr>
      <w:r>
        <w:rPr>
          <w:rFonts w:ascii="Verdana" w:cs="Verdana" w:eastAsia="Verdana" w:hAnsi="Verdana"/>
          <w:sz w:val="18"/>
          <w:szCs w:val="18"/>
          <w:color w:val="auto"/>
        </w:rPr>
        <w:t>Notwithstanding anything to the contrary contained herein, if a Participant has engaged in any Detrimental Activity, as determined by the Committee, the Committee may, in its sole discretion, provide for one or more of the following: (i) cancellation of any or all of such Participant’s outstanding Awards; or (ii) forfeiture by the Participant of any gain realized on the vesting of the Award, and repayment of any such gain promptly to the Company. For purposes of this Agreement “Detrimental Activity” means any of the following: (i) unauthorized disclosure of any confidential or proprietary information of the Company or any Subsidiary; (ii) any activity that would be grounds to terminate the Participant’s employment with the Company or any Subsidiary for Cause; (iii) the Participant having engaged in a violation of any provisions of any agreement with the Company or a Subsidiary, containing covenants regarding non- competition, non-solicitation, non-disparagement and/or non-disclosure obligations; or (iv) fraud or conduct contributing to any financial restatements or irregularities, as determined by the Committee in its sole discretion.</w:t>
      </w:r>
    </w:p>
    <w:p>
      <w:pPr>
        <w:spacing w:after="0" w:line="200" w:lineRule="exact"/>
        <w:rPr>
          <w:sz w:val="20"/>
          <w:szCs w:val="20"/>
          <w:color w:val="auto"/>
        </w:rPr>
      </w:pPr>
    </w:p>
    <w:p>
      <w:pPr>
        <w:ind w:left="940" w:hanging="421"/>
        <w:spacing w:after="0"/>
        <w:tabs>
          <w:tab w:leader="none" w:pos="940" w:val="left"/>
        </w:tabs>
        <w:numPr>
          <w:ilvl w:val="0"/>
          <w:numId w:val="271"/>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Definition of Cause</w:t>
      </w:r>
    </w:p>
    <w:p>
      <w:pPr>
        <w:spacing w:after="0" w:line="202" w:lineRule="exact"/>
        <w:rPr>
          <w:sz w:val="20"/>
          <w:szCs w:val="20"/>
          <w:color w:val="auto"/>
        </w:rPr>
      </w:pPr>
    </w:p>
    <w:p>
      <w:pPr>
        <w:jc w:val="both"/>
        <w:ind w:left="600" w:right="20"/>
        <w:spacing w:after="0" w:line="235" w:lineRule="auto"/>
        <w:rPr>
          <w:sz w:val="20"/>
          <w:szCs w:val="20"/>
          <w:color w:val="auto"/>
        </w:rPr>
      </w:pPr>
      <w:r>
        <w:rPr>
          <w:rFonts w:ascii="Verdana" w:cs="Verdana" w:eastAsia="Verdana" w:hAnsi="Verdana"/>
          <w:sz w:val="18"/>
          <w:szCs w:val="18"/>
          <w:color w:val="auto"/>
        </w:rPr>
        <w:t>For purposes of this Agreement “Cause”, unless otherwise defined in a Participant’s written employment arrangement with the Company or any of its Subsidiaries in effect on the date of grant (as amended from time to time thereafter), means the occurrence of one or more of the following events: (i) conviction of, or agreement to a plea of nolo contendere to, a felony,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280" w:val="left"/>
          <w:tab w:leader="none" w:pos="1680" w:val="left"/>
        </w:tabs>
        <w:rPr>
          <w:sz w:val="20"/>
          <w:szCs w:val="20"/>
          <w:color w:val="auto"/>
        </w:rPr>
      </w:pPr>
      <w:r>
        <w:rPr>
          <w:rFonts w:ascii="Verdana" w:cs="Verdana" w:eastAsia="Verdana" w:hAnsi="Verdana"/>
          <w:sz w:val="18"/>
          <w:szCs w:val="18"/>
          <w:color w:val="auto"/>
        </w:rPr>
        <w:t>8</w:t>
      </w:r>
      <w:r>
        <w:rPr>
          <w:sz w:val="20"/>
          <w:szCs w:val="20"/>
          <w:color w:val="auto"/>
        </w:rPr>
        <w:tab/>
      </w:r>
      <w:r>
        <w:rPr>
          <w:rFonts w:ascii="Arial" w:cs="Arial" w:eastAsia="Arial" w:hAnsi="Arial"/>
          <w:sz w:val="12"/>
          <w:szCs w:val="12"/>
          <w:color w:val="auto"/>
        </w:rPr>
        <w:t>LEGAL\61899936\12</w:t>
      </w:r>
      <w:r>
        <w:rPr>
          <w:sz w:val="20"/>
          <w:szCs w:val="20"/>
          <w:color w:val="auto"/>
        </w:rPr>
        <w:tab/>
      </w:r>
      <w:r>
        <w:rPr>
          <w:rFonts w:ascii="Arial" w:cs="Arial" w:eastAsia="Arial" w:hAnsi="Arial"/>
          <w:sz w:val="12"/>
          <w:szCs w:val="12"/>
          <w:color w:val="auto"/>
        </w:rPr>
        <w:t>LEGAL\74461641\3</w:t>
      </w:r>
    </w:p>
    <w:p>
      <w:pPr>
        <w:sectPr>
          <w:pgSz w:w="11900" w:h="16838" w:orient="portrait"/>
          <w:cols w:equalWidth="0" w:num="1">
            <w:col w:w="10900"/>
          </w:cols>
          <w:pgMar w:left="360" w:top="1440" w:right="639" w:bottom="1440" w:gutter="0" w:footer="0" w:header="0"/>
        </w:sectPr>
      </w:pPr>
    </w:p>
    <w:bookmarkStart w:id="283" w:name="page284"/>
    <w:bookmarkEnd w:id="2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280" w:val="left"/>
          <w:tab w:leader="none" w:pos="1680" w:val="left"/>
        </w:tabs>
        <w:rPr>
          <w:sz w:val="20"/>
          <w:szCs w:val="20"/>
          <w:color w:val="auto"/>
        </w:rPr>
      </w:pPr>
      <w:r>
        <w:rPr>
          <w:rFonts w:ascii="Verdana" w:cs="Verdana" w:eastAsia="Verdana" w:hAnsi="Verdana"/>
          <w:sz w:val="18"/>
          <w:szCs w:val="18"/>
          <w:color w:val="auto"/>
        </w:rPr>
        <w:t>9</w:t>
      </w:r>
      <w:r>
        <w:rPr>
          <w:sz w:val="20"/>
          <w:szCs w:val="20"/>
          <w:color w:val="auto"/>
        </w:rPr>
        <w:tab/>
      </w:r>
      <w:r>
        <w:rPr>
          <w:rFonts w:ascii="Arial" w:cs="Arial" w:eastAsia="Arial" w:hAnsi="Arial"/>
          <w:sz w:val="12"/>
          <w:szCs w:val="12"/>
          <w:color w:val="auto"/>
        </w:rPr>
        <w:t>LEGAL\61899936\12</w:t>
      </w:r>
      <w:r>
        <w:rPr>
          <w:sz w:val="20"/>
          <w:szCs w:val="20"/>
          <w:color w:val="auto"/>
        </w:rPr>
        <w:tab/>
      </w:r>
      <w:r>
        <w:rPr>
          <w:rFonts w:ascii="Arial" w:cs="Arial" w:eastAsia="Arial" w:hAnsi="Arial"/>
          <w:sz w:val="12"/>
          <w:szCs w:val="12"/>
          <w:color w:val="auto"/>
        </w:rPr>
        <w:t>LEGAL\74461641\3</w:t>
      </w:r>
    </w:p>
    <w:p>
      <w:pPr>
        <w:sectPr>
          <w:pgSz w:w="11900" w:h="16838" w:orient="portrait"/>
          <w:cols w:equalWidth="0" w:num="1">
            <w:col w:w="10099"/>
          </w:cols>
          <w:pgMar w:left="360" w:top="1440" w:right="1440" w:bottom="1440" w:gutter="0" w:footer="0" w:header="0"/>
        </w:sectPr>
      </w:pPr>
    </w:p>
    <w:bookmarkStart w:id="284" w:name="page285"/>
    <w:bookmarkEnd w:id="284"/>
    <w:p>
      <w:pPr>
        <w:spacing w:after="0" w:line="24" w:lineRule="exact"/>
        <w:rPr>
          <w:sz w:val="20"/>
          <w:szCs w:val="20"/>
          <w:color w:val="auto"/>
        </w:rPr>
      </w:pPr>
    </w:p>
    <w:p>
      <w:pPr>
        <w:jc w:val="both"/>
        <w:ind w:left="600" w:right="20"/>
        <w:spacing w:after="0" w:line="234" w:lineRule="auto"/>
        <w:rPr>
          <w:sz w:val="20"/>
          <w:szCs w:val="20"/>
          <w:color w:val="auto"/>
        </w:rPr>
      </w:pPr>
      <w:r>
        <w:rPr>
          <w:rFonts w:ascii="Verdana" w:cs="Verdana" w:eastAsia="Verdana" w:hAnsi="Verdana"/>
          <w:sz w:val="18"/>
          <w:szCs w:val="18"/>
          <w:color w:val="auto"/>
        </w:rPr>
        <w:t>any crime or offense lesser than a felony involving the property of the Company or a Subsidiary; (ii) conduct that has caused demonstrable and serious injury to the Company or a Subsidiary, monetary or otherwise; (iii) willful refusal to perform or substantial disregard of duties properly assigned, as determined by the Company; (iv) breach of duty of loyalty to the Company or a Subsidiary or other act of fraud or dishonesty with respect to the Company or a Subsidiary; or (v) violation of the Company’s code of conduct.</w:t>
      </w:r>
    </w:p>
    <w:p>
      <w:pPr>
        <w:spacing w:after="0" w:line="197" w:lineRule="exact"/>
        <w:rPr>
          <w:sz w:val="20"/>
          <w:szCs w:val="20"/>
          <w:color w:val="auto"/>
        </w:rPr>
      </w:pPr>
    </w:p>
    <w:p>
      <w:pPr>
        <w:ind w:left="360"/>
        <w:spacing w:after="0"/>
        <w:rPr>
          <w:sz w:val="20"/>
          <w:szCs w:val="20"/>
          <w:color w:val="auto"/>
        </w:rPr>
      </w:pPr>
      <w:r>
        <w:rPr>
          <w:rFonts w:ascii="Verdana" w:cs="Verdana" w:eastAsia="Verdana" w:hAnsi="Verdana"/>
          <w:sz w:val="18"/>
          <w:szCs w:val="18"/>
          <w:b w:val="1"/>
          <w:bCs w:val="1"/>
          <w:color w:val="auto"/>
        </w:rPr>
        <w:t>10.Committee Authority</w:t>
      </w:r>
    </w:p>
    <w:p>
      <w:pPr>
        <w:spacing w:after="0" w:line="202" w:lineRule="exact"/>
        <w:rPr>
          <w:sz w:val="20"/>
          <w:szCs w:val="20"/>
          <w:color w:val="auto"/>
        </w:rPr>
      </w:pPr>
    </w:p>
    <w:p>
      <w:pPr>
        <w:jc w:val="both"/>
        <w:ind w:left="600" w:right="20"/>
        <w:spacing w:after="0" w:line="235" w:lineRule="auto"/>
        <w:rPr>
          <w:sz w:val="20"/>
          <w:szCs w:val="20"/>
          <w:color w:val="auto"/>
        </w:rPr>
      </w:pPr>
      <w:r>
        <w:rPr>
          <w:rFonts w:ascii="Verdana" w:cs="Verdana" w:eastAsia="Verdana" w:hAnsi="Verdana"/>
          <w:sz w:val="18"/>
          <w:szCs w:val="18"/>
          <w:color w:val="auto"/>
        </w:rPr>
        <w:t>Any question concerning the interpretation of this Agreement, any adjustments required to be made under the Plan, and any controversy that may arise under the Plan or the Grant Agreement shall be determined by the Committee in its sole discretion. Any decisions by the Committee regarding the Plan or this Agreement shall be final and binding.</w:t>
      </w:r>
    </w:p>
    <w:p>
      <w:pPr>
        <w:spacing w:after="0" w:line="196" w:lineRule="exact"/>
        <w:rPr>
          <w:sz w:val="20"/>
          <w:szCs w:val="20"/>
          <w:color w:val="auto"/>
        </w:rPr>
      </w:pPr>
    </w:p>
    <w:p>
      <w:pPr>
        <w:ind w:left="360"/>
        <w:spacing w:after="0"/>
        <w:rPr>
          <w:sz w:val="20"/>
          <w:szCs w:val="20"/>
          <w:color w:val="auto"/>
        </w:rPr>
      </w:pPr>
      <w:r>
        <w:rPr>
          <w:rFonts w:ascii="Verdana" w:cs="Verdana" w:eastAsia="Verdana" w:hAnsi="Verdana"/>
          <w:sz w:val="18"/>
          <w:szCs w:val="18"/>
          <w:b w:val="1"/>
          <w:bCs w:val="1"/>
          <w:color w:val="auto"/>
        </w:rPr>
        <w:t>11. Plan Controls</w:t>
      </w:r>
    </w:p>
    <w:p>
      <w:pPr>
        <w:spacing w:after="0" w:line="202" w:lineRule="exact"/>
        <w:rPr>
          <w:sz w:val="20"/>
          <w:szCs w:val="20"/>
          <w:color w:val="auto"/>
        </w:rPr>
      </w:pPr>
    </w:p>
    <w:p>
      <w:pPr>
        <w:jc w:val="both"/>
        <w:ind w:left="600" w:right="20"/>
        <w:spacing w:after="0" w:line="237" w:lineRule="auto"/>
        <w:rPr>
          <w:sz w:val="20"/>
          <w:szCs w:val="20"/>
          <w:color w:val="auto"/>
        </w:rPr>
      </w:pPr>
      <w:r>
        <w:rPr>
          <w:rFonts w:ascii="Verdana" w:cs="Verdana" w:eastAsia="Verdana" w:hAnsi="Verdana"/>
          <w:sz w:val="18"/>
          <w:szCs w:val="18"/>
          <w:color w:val="auto"/>
        </w:rPr>
        <w:t>The terms of this Agreement are governed by the terms of the Plan, as it exists on the Date of the Grant and as the Plan may be amended from time to time thereafter. In the event of any conflict between the provisions of this Agreement and the provisions of the Plan, the terms of the Plan shall control.</w:t>
      </w:r>
    </w:p>
    <w:p>
      <w:pPr>
        <w:spacing w:after="0" w:line="194" w:lineRule="exact"/>
        <w:rPr>
          <w:sz w:val="20"/>
          <w:szCs w:val="20"/>
          <w:color w:val="auto"/>
        </w:rPr>
      </w:pPr>
    </w:p>
    <w:p>
      <w:pPr>
        <w:ind w:left="360"/>
        <w:spacing w:after="0"/>
        <w:rPr>
          <w:sz w:val="20"/>
          <w:szCs w:val="20"/>
          <w:color w:val="auto"/>
        </w:rPr>
      </w:pPr>
      <w:r>
        <w:rPr>
          <w:rFonts w:ascii="Verdana" w:cs="Verdana" w:eastAsia="Verdana" w:hAnsi="Verdana"/>
          <w:sz w:val="18"/>
          <w:szCs w:val="18"/>
          <w:b w:val="1"/>
          <w:bCs w:val="1"/>
          <w:color w:val="auto"/>
        </w:rPr>
        <w:t>12. Limitation on Rights; No Right to Future Grants</w:t>
      </w:r>
    </w:p>
    <w:p>
      <w:pPr>
        <w:spacing w:after="0" w:line="202" w:lineRule="exact"/>
        <w:rPr>
          <w:sz w:val="20"/>
          <w:szCs w:val="20"/>
          <w:color w:val="auto"/>
        </w:rPr>
      </w:pPr>
    </w:p>
    <w:p>
      <w:pPr>
        <w:jc w:val="both"/>
        <w:ind w:left="600"/>
        <w:spacing w:after="0" w:line="262" w:lineRule="auto"/>
        <w:rPr>
          <w:sz w:val="20"/>
          <w:szCs w:val="20"/>
          <w:color w:val="auto"/>
        </w:rPr>
      </w:pPr>
      <w:r>
        <w:rPr>
          <w:rFonts w:ascii="Verdana" w:cs="Verdana" w:eastAsia="Verdana" w:hAnsi="Verdana"/>
          <w:sz w:val="16"/>
          <w:szCs w:val="16"/>
          <w:color w:val="auto"/>
        </w:rPr>
        <w:t xml:space="preserve">By entering into this Agreement, the Participant acknowledges that: (a) the Plan is discretionary and may be modified, suspended or terminated by the Company at any time, as provided in the Plan; </w:t>
      </w:r>
      <w:r>
        <w:rPr>
          <w:rFonts w:ascii="Verdana" w:cs="Verdana" w:eastAsia="Verdana" w:hAnsi="Verdana"/>
          <w:sz w:val="16"/>
          <w:szCs w:val="16"/>
          <w:u w:val="single" w:color="auto"/>
          <w:color w:val="auto"/>
        </w:rPr>
        <w:t>provided</w:t>
      </w:r>
      <w:r>
        <w:rPr>
          <w:rFonts w:ascii="Verdana" w:cs="Verdana" w:eastAsia="Verdana" w:hAnsi="Verdana"/>
          <w:sz w:val="16"/>
          <w:szCs w:val="16"/>
          <w:color w:val="auto"/>
        </w:rPr>
        <w:t xml:space="preserve"> that, except as provided in </w:t>
      </w:r>
      <w:r>
        <w:rPr>
          <w:rFonts w:ascii="Verdana" w:cs="Verdana" w:eastAsia="Verdana" w:hAnsi="Verdana"/>
          <w:sz w:val="16"/>
          <w:szCs w:val="16"/>
          <w:u w:val="single" w:color="auto"/>
          <w:color w:val="auto"/>
        </w:rPr>
        <w:t>Section 12</w:t>
      </w:r>
      <w:r>
        <w:rPr>
          <w:rFonts w:ascii="Verdana" w:cs="Verdana" w:eastAsia="Verdana" w:hAnsi="Verdana"/>
          <w:sz w:val="16"/>
          <w:szCs w:val="16"/>
          <w:color w:val="auto"/>
        </w:rPr>
        <w:t xml:space="preserve"> of the Plan, no amendment to this Agreement shall adversely affect in a material manner the Participant’s rights hereunder without his or her written consent; (b) the grant of any award hereunder is a one-time benefit and does not create any contractual or other right to receive future grants of awards or benefits in lieu of awards; (c) all determinations with respect to any such future grants, including, but not limited to, the times when awards will be granted, the number of shares subject to each award, the award price, if any, and the time or times when each award will be settled, will be at the sole discretion of the Company; (d) participation in the Plan is voluntary; (e) the value of an award is an extraordinary item that is outside the scope of the Participant’s employment contract, if any, unless expressly provided for in any such employment contract; (f) an award is not part of normal or expected compensation for any purpose, including without limitation for calculating any benefits, severance, resignation, termination, redundancy, end of service payments, bonuses, long-service awards, pension or retirement benefits or similar payments, and the Participant will have no entitlement to compensation or damages as a consequence of any forfeiture pursuant to </w:t>
      </w:r>
      <w:r>
        <w:rPr>
          <w:rFonts w:ascii="Verdana" w:cs="Verdana" w:eastAsia="Verdana" w:hAnsi="Verdana"/>
          <w:sz w:val="16"/>
          <w:szCs w:val="16"/>
          <w:u w:val="single" w:color="auto"/>
          <w:color w:val="auto"/>
        </w:rPr>
        <w:t>Section 8</w:t>
      </w:r>
      <w:r>
        <w:rPr>
          <w:rFonts w:ascii="Verdana" w:cs="Verdana" w:eastAsia="Verdana" w:hAnsi="Verdana"/>
          <w:sz w:val="16"/>
          <w:szCs w:val="16"/>
          <w:color w:val="auto"/>
        </w:rPr>
        <w:t>; (g) the future value of the Common Stock subject to the award is unknown and cannot be predicted with certainty, (h) neither the Plan, the award nor the issuance of the shares underlying the award confers upon the Participant any right to continue in the employ or service of (or any other relationship with) the Company or any Subsidiary, nor do they limit in any respect the right of the Company or any Subsidiary to terminate the Participant’s employment or other relationship with the Company or any Subsidiary, as the case may be, at any time with or without Cause, and (i) the grant of the award will not be interpreted to form an employment relationship or contract with the Company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tabs>
          <w:tab w:leader="none" w:pos="1700" w:val="left"/>
        </w:tabs>
        <w:rPr>
          <w:sz w:val="20"/>
          <w:szCs w:val="20"/>
          <w:color w:val="auto"/>
        </w:rPr>
      </w:pPr>
      <w:r>
        <w:rPr>
          <w:rFonts w:ascii="Verdana" w:cs="Verdana" w:eastAsia="Verdana" w:hAnsi="Verdana"/>
          <w:sz w:val="18"/>
          <w:szCs w:val="18"/>
          <w:color w:val="auto"/>
        </w:rPr>
        <w:t xml:space="preserve">10 </w:t>
      </w:r>
      <w:r>
        <w:rPr>
          <w:rFonts w:ascii="Arial" w:cs="Arial" w:eastAsia="Arial" w:hAnsi="Arial"/>
          <w:sz w:val="12"/>
          <w:szCs w:val="12"/>
          <w:color w:val="auto"/>
        </w:rPr>
        <w:t>LEGAL\61899936\12</w:t>
      </w:r>
      <w:r>
        <w:rPr>
          <w:sz w:val="20"/>
          <w:szCs w:val="20"/>
          <w:color w:val="auto"/>
        </w:rPr>
        <w:tab/>
      </w:r>
      <w:r>
        <w:rPr>
          <w:rFonts w:ascii="Arial" w:cs="Arial" w:eastAsia="Arial" w:hAnsi="Arial"/>
          <w:sz w:val="12"/>
          <w:szCs w:val="12"/>
          <w:color w:val="auto"/>
        </w:rPr>
        <w:t>LEGAL\74461641\3</w:t>
      </w:r>
    </w:p>
    <w:p>
      <w:pPr>
        <w:sectPr>
          <w:pgSz w:w="11900" w:h="16838" w:orient="portrait"/>
          <w:cols w:equalWidth="0" w:num="1">
            <w:col w:w="10900"/>
          </w:cols>
          <w:pgMar w:left="360" w:top="1440" w:right="639" w:bottom="1440" w:gutter="0" w:footer="0" w:header="0"/>
        </w:sectPr>
      </w:pPr>
    </w:p>
    <w:bookmarkStart w:id="285" w:name="page286"/>
    <w:bookmarkEnd w:id="285"/>
    <w:p>
      <w:pPr>
        <w:spacing w:after="0" w:line="24" w:lineRule="exact"/>
        <w:rPr>
          <w:sz w:val="20"/>
          <w:szCs w:val="20"/>
          <w:color w:val="auto"/>
        </w:rPr>
      </w:pPr>
    </w:p>
    <w:p>
      <w:pPr>
        <w:ind w:left="800" w:hanging="439"/>
        <w:spacing w:after="0"/>
        <w:tabs>
          <w:tab w:leader="none" w:pos="800" w:val="left"/>
        </w:tabs>
        <w:numPr>
          <w:ilvl w:val="0"/>
          <w:numId w:val="272"/>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General Provisions</w:t>
      </w:r>
    </w:p>
    <w:p>
      <w:pPr>
        <w:spacing w:after="0" w:line="202" w:lineRule="exact"/>
        <w:rPr>
          <w:rFonts w:ascii="Verdana" w:cs="Verdana" w:eastAsia="Verdana" w:hAnsi="Verdana"/>
          <w:sz w:val="18"/>
          <w:szCs w:val="18"/>
          <w:b w:val="1"/>
          <w:bCs w:val="1"/>
          <w:color w:val="auto"/>
        </w:rPr>
      </w:pPr>
    </w:p>
    <w:p>
      <w:pPr>
        <w:ind w:left="980" w:hanging="383"/>
        <w:spacing w:after="0"/>
        <w:tabs>
          <w:tab w:leader="none" w:pos="980" w:val="left"/>
        </w:tabs>
        <w:numPr>
          <w:ilvl w:val="1"/>
          <w:numId w:val="272"/>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Notice</w:t>
      </w:r>
    </w:p>
    <w:p>
      <w:pPr>
        <w:spacing w:after="0" w:line="202" w:lineRule="exact"/>
        <w:rPr>
          <w:sz w:val="20"/>
          <w:szCs w:val="20"/>
          <w:color w:val="auto"/>
        </w:rPr>
      </w:pPr>
    </w:p>
    <w:p>
      <w:pPr>
        <w:jc w:val="both"/>
        <w:ind w:left="600"/>
        <w:spacing w:after="0" w:line="233" w:lineRule="auto"/>
        <w:rPr>
          <w:sz w:val="20"/>
          <w:szCs w:val="20"/>
          <w:color w:val="auto"/>
        </w:rPr>
      </w:pPr>
      <w:r>
        <w:rPr>
          <w:rFonts w:ascii="Verdana" w:cs="Verdana" w:eastAsia="Verdana" w:hAnsi="Verdana"/>
          <w:sz w:val="18"/>
          <w:szCs w:val="18"/>
          <w:color w:val="auto"/>
        </w:rPr>
        <w:t>Whenever any notice is required or permitted hereunder, such notice must be in writing and delivered in person or by mail (to the address set forth below if notice is being delivered to the Company) or electronically. Any notice delivered in person or by mail shall be deemed to be delivered on the date on which it is personally delivered, or, whether actually received or not, on the third business day after it is deposited in the United States mail, certified or registered, postage prepaid, addressed to the person who is to receive it at the address set forth in this Agreement. Any notices delivered electronically shall be deemed to be delivered when transmitted and receipt is confirmed. Notices delivered to the Participant in person or by mail shall be addressed to the address for the Participant in the records of the Company. Notices delivered to the Company in person or by mail shall be addressed as follows:</w:t>
      </w:r>
    </w:p>
    <w:p>
      <w:pPr>
        <w:sectPr>
          <w:pgSz w:w="11900" w:h="16838" w:orient="portrait"/>
          <w:cols w:equalWidth="0" w:num="1">
            <w:col w:w="10880"/>
          </w:cols>
          <w:pgMar w:left="360" w:top="1440" w:right="659" w:bottom="1440" w:gutter="0" w:footer="0" w:header="0"/>
        </w:sectPr>
      </w:pPr>
    </w:p>
    <w:p>
      <w:pPr>
        <w:spacing w:after="0" w:line="273" w:lineRule="exact"/>
        <w:rPr>
          <w:sz w:val="20"/>
          <w:szCs w:val="20"/>
          <w:color w:val="auto"/>
        </w:rPr>
      </w:pPr>
    </w:p>
    <w:p>
      <w:pPr>
        <w:ind w:left="1620"/>
        <w:spacing w:after="0"/>
        <w:rPr>
          <w:sz w:val="20"/>
          <w:szCs w:val="20"/>
          <w:color w:val="auto"/>
        </w:rPr>
      </w:pPr>
      <w:r>
        <w:rPr>
          <w:rFonts w:ascii="Verdana" w:cs="Verdana" w:eastAsia="Verdana" w:hAnsi="Verdana"/>
          <w:sz w:val="16"/>
          <w:szCs w:val="16"/>
          <w:color w:val="auto"/>
        </w:rPr>
        <w:t>Company:</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Verdana" w:cs="Verdana" w:eastAsia="Verdana" w:hAnsi="Verdana"/>
          <w:sz w:val="16"/>
          <w:szCs w:val="16"/>
          <w:color w:val="auto"/>
        </w:rPr>
        <w:t>NRG Energy, Inc. Attn: Talent &amp; Culture 804</w:t>
      </w:r>
    </w:p>
    <w:p>
      <w:pPr>
        <w:spacing w:after="0" w:line="234" w:lineRule="auto"/>
        <w:rPr>
          <w:sz w:val="20"/>
          <w:szCs w:val="20"/>
          <w:color w:val="auto"/>
        </w:rPr>
      </w:pPr>
      <w:r>
        <w:rPr>
          <w:rFonts w:ascii="Verdana" w:cs="Verdana" w:eastAsia="Verdana" w:hAnsi="Verdana"/>
          <w:sz w:val="18"/>
          <w:szCs w:val="18"/>
          <w:color w:val="auto"/>
        </w:rPr>
        <w:t>Carnegie Center</w:t>
      </w:r>
    </w:p>
    <w:p>
      <w:pPr>
        <w:spacing w:after="0"/>
        <w:rPr>
          <w:sz w:val="20"/>
          <w:szCs w:val="20"/>
          <w:color w:val="auto"/>
        </w:rPr>
      </w:pPr>
      <w:r>
        <w:rPr>
          <w:rFonts w:ascii="Verdana" w:cs="Verdana" w:eastAsia="Verdana" w:hAnsi="Verdana"/>
          <w:sz w:val="18"/>
          <w:szCs w:val="18"/>
          <w:color w:val="auto"/>
        </w:rPr>
        <w:t>Princeton, NJ 08450</w:t>
      </w:r>
    </w:p>
    <w:p>
      <w:pPr>
        <w:spacing w:after="0" w:line="200" w:lineRule="exact"/>
        <w:rPr>
          <w:sz w:val="20"/>
          <w:szCs w:val="20"/>
          <w:color w:val="auto"/>
        </w:rPr>
      </w:pPr>
    </w:p>
    <w:p>
      <w:pPr>
        <w:sectPr>
          <w:pgSz w:w="11900" w:h="16838" w:orient="portrait"/>
          <w:cols w:equalWidth="0" w:num="2">
            <w:col w:w="2520" w:space="560"/>
            <w:col w:w="7800"/>
          </w:cols>
          <w:pgMar w:left="360" w:top="1440" w:right="659" w:bottom="1440" w:gutter="0" w:footer="0" w:header="0"/>
          <w:type w:val="continuous"/>
        </w:sectPr>
      </w:pPr>
    </w:p>
    <w:p>
      <w:pPr>
        <w:spacing w:after="0" w:line="121" w:lineRule="exact"/>
        <w:rPr>
          <w:sz w:val="20"/>
          <w:szCs w:val="20"/>
          <w:color w:val="auto"/>
        </w:rPr>
      </w:pPr>
    </w:p>
    <w:p>
      <w:pPr>
        <w:jc w:val="both"/>
        <w:ind w:left="600"/>
        <w:spacing w:after="0" w:line="241" w:lineRule="auto"/>
        <w:rPr>
          <w:sz w:val="20"/>
          <w:szCs w:val="20"/>
          <w:color w:val="auto"/>
        </w:rPr>
      </w:pPr>
      <w:r>
        <w:rPr>
          <w:rFonts w:ascii="Verdana" w:cs="Verdana" w:eastAsia="Verdana" w:hAnsi="Verdana"/>
          <w:sz w:val="18"/>
          <w:szCs w:val="18"/>
          <w:color w:val="auto"/>
        </w:rPr>
        <w:t>The Company or the Participant may change, by written notice to the other, the address previously specified for receiving notices.</w:t>
      </w:r>
    </w:p>
    <w:p>
      <w:pPr>
        <w:spacing w:after="0" w:line="192" w:lineRule="exact"/>
        <w:rPr>
          <w:sz w:val="20"/>
          <w:szCs w:val="20"/>
          <w:color w:val="auto"/>
        </w:rPr>
      </w:pPr>
    </w:p>
    <w:p>
      <w:pPr>
        <w:ind w:left="600"/>
        <w:spacing w:after="0"/>
        <w:rPr>
          <w:sz w:val="20"/>
          <w:szCs w:val="20"/>
          <w:color w:val="auto"/>
        </w:rPr>
      </w:pPr>
      <w:r>
        <w:rPr>
          <w:rFonts w:ascii="Verdana" w:cs="Verdana" w:eastAsia="Verdana" w:hAnsi="Verdana"/>
          <w:sz w:val="18"/>
          <w:szCs w:val="18"/>
          <w:b w:val="1"/>
          <w:bCs w:val="1"/>
          <w:color w:val="auto"/>
        </w:rPr>
        <w:t>(b) No Waiver</w:t>
      </w:r>
    </w:p>
    <w:p>
      <w:pPr>
        <w:spacing w:after="0" w:line="202" w:lineRule="exact"/>
        <w:rPr>
          <w:sz w:val="20"/>
          <w:szCs w:val="20"/>
          <w:color w:val="auto"/>
        </w:rPr>
      </w:pPr>
    </w:p>
    <w:p>
      <w:pPr>
        <w:jc w:val="both"/>
        <w:ind w:left="600"/>
        <w:spacing w:after="0" w:line="237" w:lineRule="auto"/>
        <w:rPr>
          <w:sz w:val="20"/>
          <w:szCs w:val="20"/>
          <w:color w:val="auto"/>
        </w:rPr>
      </w:pPr>
      <w:r>
        <w:rPr>
          <w:rFonts w:ascii="Verdana" w:cs="Verdana" w:eastAsia="Verdana" w:hAnsi="Verdana"/>
          <w:sz w:val="18"/>
          <w:szCs w:val="18"/>
          <w:color w:val="auto"/>
        </w:rPr>
        <w:t>No waiver of any provision of this Agreement will be valid unless in writing and signed by the person against whom such waiver is sought to be enforced, nor will failure to enforce any right under this Agreement constitute a continuing waiver of the same or a waiver of any other right hereunder.</w:t>
      </w:r>
    </w:p>
    <w:p>
      <w:pPr>
        <w:spacing w:after="0" w:line="194" w:lineRule="exact"/>
        <w:rPr>
          <w:sz w:val="20"/>
          <w:szCs w:val="20"/>
          <w:color w:val="auto"/>
        </w:rPr>
      </w:pPr>
    </w:p>
    <w:p>
      <w:pPr>
        <w:ind w:left="600"/>
        <w:spacing w:after="0"/>
        <w:rPr>
          <w:sz w:val="20"/>
          <w:szCs w:val="20"/>
          <w:color w:val="auto"/>
        </w:rPr>
      </w:pPr>
      <w:r>
        <w:rPr>
          <w:rFonts w:ascii="Verdana" w:cs="Verdana" w:eastAsia="Verdana" w:hAnsi="Verdana"/>
          <w:sz w:val="18"/>
          <w:szCs w:val="18"/>
          <w:b w:val="1"/>
          <w:bCs w:val="1"/>
          <w:color w:val="auto"/>
        </w:rPr>
        <w:t>(c) Undertaking</w:t>
      </w:r>
    </w:p>
    <w:p>
      <w:pPr>
        <w:spacing w:after="0" w:line="202" w:lineRule="exact"/>
        <w:rPr>
          <w:sz w:val="20"/>
          <w:szCs w:val="20"/>
          <w:color w:val="auto"/>
        </w:rPr>
      </w:pPr>
    </w:p>
    <w:p>
      <w:pPr>
        <w:jc w:val="both"/>
        <w:ind w:left="600"/>
        <w:spacing w:after="0" w:line="237" w:lineRule="auto"/>
        <w:rPr>
          <w:sz w:val="20"/>
          <w:szCs w:val="20"/>
          <w:color w:val="auto"/>
        </w:rPr>
      </w:pPr>
      <w:r>
        <w:rPr>
          <w:rFonts w:ascii="Verdana" w:cs="Verdana" w:eastAsia="Verdana" w:hAnsi="Verdana"/>
          <w:sz w:val="18"/>
          <w:szCs w:val="18"/>
          <w:color w:val="auto"/>
        </w:rPr>
        <w:t>The Participant hereby agrees to take whatever additional action, and execute whatever additional documents, the Company may deem necessary or advisable in order to carry out or effect one or more of the obligations or restrictions imposed on either the Participant or the award pursuant to the express provisions of this Agreement.</w:t>
      </w:r>
    </w:p>
    <w:p>
      <w:pPr>
        <w:spacing w:after="0" w:line="194" w:lineRule="exact"/>
        <w:rPr>
          <w:sz w:val="20"/>
          <w:szCs w:val="20"/>
          <w:color w:val="auto"/>
        </w:rPr>
      </w:pPr>
    </w:p>
    <w:p>
      <w:pPr>
        <w:ind w:left="600"/>
        <w:spacing w:after="0"/>
        <w:rPr>
          <w:sz w:val="20"/>
          <w:szCs w:val="20"/>
          <w:color w:val="auto"/>
        </w:rPr>
      </w:pPr>
      <w:r>
        <w:rPr>
          <w:rFonts w:ascii="Verdana" w:cs="Verdana" w:eastAsia="Verdana" w:hAnsi="Verdana"/>
          <w:sz w:val="18"/>
          <w:szCs w:val="18"/>
          <w:b w:val="1"/>
          <w:bCs w:val="1"/>
          <w:color w:val="auto"/>
        </w:rPr>
        <w:t>(d) Entire Contract</w:t>
      </w:r>
    </w:p>
    <w:p>
      <w:pPr>
        <w:spacing w:after="0" w:line="202" w:lineRule="exact"/>
        <w:rPr>
          <w:sz w:val="20"/>
          <w:szCs w:val="20"/>
          <w:color w:val="auto"/>
        </w:rPr>
      </w:pPr>
    </w:p>
    <w:p>
      <w:pPr>
        <w:jc w:val="both"/>
        <w:ind w:left="600"/>
        <w:spacing w:after="0" w:line="237" w:lineRule="auto"/>
        <w:rPr>
          <w:sz w:val="20"/>
          <w:szCs w:val="20"/>
          <w:color w:val="auto"/>
        </w:rPr>
      </w:pPr>
      <w:r>
        <w:rPr>
          <w:rFonts w:ascii="Verdana" w:cs="Verdana" w:eastAsia="Verdana" w:hAnsi="Verdana"/>
          <w:sz w:val="18"/>
          <w:szCs w:val="18"/>
          <w:color w:val="auto"/>
        </w:rPr>
        <w:t>This Agreement and the Plan constitute the entire contract between the parties hereto with regard to the subject matter hereof. This Agreement is made pursuant to the provisions of the Plan and will in all respects be construed in conformity with the express terms and provisions of the Plan.</w:t>
      </w:r>
    </w:p>
    <w:p>
      <w:pPr>
        <w:spacing w:after="0" w:line="194" w:lineRule="exact"/>
        <w:rPr>
          <w:sz w:val="20"/>
          <w:szCs w:val="20"/>
          <w:color w:val="auto"/>
        </w:rPr>
      </w:pPr>
    </w:p>
    <w:p>
      <w:pPr>
        <w:ind w:left="600"/>
        <w:spacing w:after="0"/>
        <w:rPr>
          <w:sz w:val="20"/>
          <w:szCs w:val="20"/>
          <w:color w:val="auto"/>
        </w:rPr>
      </w:pPr>
      <w:r>
        <w:rPr>
          <w:rFonts w:ascii="Verdana" w:cs="Verdana" w:eastAsia="Verdana" w:hAnsi="Verdana"/>
          <w:sz w:val="18"/>
          <w:szCs w:val="18"/>
          <w:b w:val="1"/>
          <w:bCs w:val="1"/>
          <w:color w:val="auto"/>
        </w:rPr>
        <w:t>(e) Successors and Assigns</w:t>
      </w:r>
    </w:p>
    <w:p>
      <w:pPr>
        <w:spacing w:after="0" w:line="202" w:lineRule="exact"/>
        <w:rPr>
          <w:sz w:val="20"/>
          <w:szCs w:val="20"/>
          <w:color w:val="auto"/>
        </w:rPr>
      </w:pPr>
    </w:p>
    <w:p>
      <w:pPr>
        <w:jc w:val="both"/>
        <w:ind w:left="600"/>
        <w:spacing w:after="0" w:line="237" w:lineRule="auto"/>
        <w:rPr>
          <w:sz w:val="20"/>
          <w:szCs w:val="20"/>
          <w:color w:val="auto"/>
        </w:rPr>
      </w:pPr>
      <w:r>
        <w:rPr>
          <w:rFonts w:ascii="Verdana" w:cs="Verdana" w:eastAsia="Verdana" w:hAnsi="Verdana"/>
          <w:sz w:val="18"/>
          <w:szCs w:val="18"/>
          <w:color w:val="auto"/>
        </w:rPr>
        <w:t>The provisions of this Agreement shall inure to the benefit of, and be binding on, the Company and its successors and assigns and Participant and Participant's legal representatives, heirs, legatees, distributees, assigns and transferees by operation of law.</w:t>
      </w:r>
    </w:p>
    <w:p>
      <w:pPr>
        <w:spacing w:after="0" w:line="194" w:lineRule="exact"/>
        <w:rPr>
          <w:sz w:val="20"/>
          <w:szCs w:val="20"/>
          <w:color w:val="auto"/>
        </w:rPr>
      </w:pPr>
    </w:p>
    <w:p>
      <w:pPr>
        <w:ind w:left="600"/>
        <w:spacing w:after="0"/>
        <w:rPr>
          <w:sz w:val="20"/>
          <w:szCs w:val="20"/>
          <w:color w:val="auto"/>
        </w:rPr>
      </w:pPr>
      <w:r>
        <w:rPr>
          <w:rFonts w:ascii="Verdana" w:cs="Verdana" w:eastAsia="Verdana" w:hAnsi="Verdana"/>
          <w:sz w:val="18"/>
          <w:szCs w:val="18"/>
          <w:b w:val="1"/>
          <w:bCs w:val="1"/>
          <w:color w:val="auto"/>
        </w:rPr>
        <w:t>(f) Securities Law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1700" w:val="left"/>
        </w:tabs>
        <w:rPr>
          <w:sz w:val="20"/>
          <w:szCs w:val="20"/>
          <w:color w:val="auto"/>
        </w:rPr>
      </w:pPr>
      <w:r>
        <w:rPr>
          <w:rFonts w:ascii="Verdana" w:cs="Verdana" w:eastAsia="Verdana" w:hAnsi="Verdana"/>
          <w:sz w:val="18"/>
          <w:szCs w:val="18"/>
          <w:color w:val="auto"/>
        </w:rPr>
        <w:t xml:space="preserve">11 </w:t>
      </w:r>
      <w:r>
        <w:rPr>
          <w:rFonts w:ascii="Arial" w:cs="Arial" w:eastAsia="Arial" w:hAnsi="Arial"/>
          <w:sz w:val="12"/>
          <w:szCs w:val="12"/>
          <w:color w:val="auto"/>
        </w:rPr>
        <w:t>LEGAL\61899936\12</w:t>
      </w:r>
      <w:r>
        <w:rPr>
          <w:sz w:val="20"/>
          <w:szCs w:val="20"/>
          <w:color w:val="auto"/>
        </w:rPr>
        <w:tab/>
      </w:r>
      <w:r>
        <w:rPr>
          <w:rFonts w:ascii="Arial" w:cs="Arial" w:eastAsia="Arial" w:hAnsi="Arial"/>
          <w:sz w:val="12"/>
          <w:szCs w:val="12"/>
          <w:color w:val="auto"/>
        </w:rPr>
        <w:t>LEGAL\74461641\3</w:t>
      </w:r>
    </w:p>
    <w:p>
      <w:pPr>
        <w:sectPr>
          <w:pgSz w:w="11900" w:h="16838" w:orient="portrait"/>
          <w:cols w:equalWidth="0" w:num="1">
            <w:col w:w="10880"/>
          </w:cols>
          <w:pgMar w:left="360" w:top="1440" w:right="659" w:bottom="1440" w:gutter="0" w:footer="0" w:header="0"/>
          <w:type w:val="continuous"/>
        </w:sectPr>
      </w:pPr>
    </w:p>
    <w:bookmarkStart w:id="286" w:name="page287"/>
    <w:bookmarkEnd w:id="286"/>
    <w:p>
      <w:pPr>
        <w:ind w:left="600"/>
        <w:spacing w:after="0"/>
        <w:rPr>
          <w:sz w:val="20"/>
          <w:szCs w:val="20"/>
          <w:color w:val="auto"/>
        </w:rPr>
      </w:pPr>
      <w:r>
        <w:rPr>
          <w:rFonts w:ascii="Verdana" w:cs="Verdana" w:eastAsia="Verdana" w:hAnsi="Verdana"/>
          <w:sz w:val="16"/>
          <w:szCs w:val="16"/>
          <w:color w:val="auto"/>
        </w:rPr>
        <w:t>The Company currently has an effective registration statement on file with the Securities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tabs>
          <w:tab w:leader="none" w:pos="1700" w:val="left"/>
        </w:tabs>
        <w:rPr>
          <w:sz w:val="20"/>
          <w:szCs w:val="20"/>
          <w:color w:val="auto"/>
        </w:rPr>
      </w:pPr>
      <w:r>
        <w:rPr>
          <w:rFonts w:ascii="Verdana" w:cs="Verdana" w:eastAsia="Verdana" w:hAnsi="Verdana"/>
          <w:sz w:val="18"/>
          <w:szCs w:val="18"/>
          <w:color w:val="auto"/>
        </w:rPr>
        <w:t xml:space="preserve">12 </w:t>
      </w:r>
      <w:r>
        <w:rPr>
          <w:rFonts w:ascii="Arial" w:cs="Arial" w:eastAsia="Arial" w:hAnsi="Arial"/>
          <w:sz w:val="12"/>
          <w:szCs w:val="12"/>
          <w:color w:val="auto"/>
        </w:rPr>
        <w:t>LEGAL\61899936\12</w:t>
      </w:r>
      <w:r>
        <w:rPr>
          <w:sz w:val="20"/>
          <w:szCs w:val="20"/>
          <w:color w:val="auto"/>
        </w:rPr>
        <w:tab/>
      </w:r>
      <w:r>
        <w:rPr>
          <w:rFonts w:ascii="Arial" w:cs="Arial" w:eastAsia="Arial" w:hAnsi="Arial"/>
          <w:sz w:val="12"/>
          <w:szCs w:val="12"/>
          <w:color w:val="auto"/>
        </w:rPr>
        <w:t>LEGAL\74461641\3</w:t>
      </w:r>
    </w:p>
    <w:p>
      <w:pPr>
        <w:sectPr>
          <w:pgSz w:w="11900" w:h="16838" w:orient="portrait"/>
          <w:cols w:equalWidth="0" w:num="1">
            <w:col w:w="10099"/>
          </w:cols>
          <w:pgMar w:left="360" w:top="1371" w:right="1440" w:bottom="1440" w:gutter="0" w:footer="0" w:header="0"/>
        </w:sectPr>
      </w:pPr>
    </w:p>
    <w:bookmarkStart w:id="287" w:name="page288"/>
    <w:bookmarkEnd w:id="287"/>
    <w:p>
      <w:pPr>
        <w:spacing w:after="0" w:line="24" w:lineRule="exact"/>
        <w:rPr>
          <w:sz w:val="20"/>
          <w:szCs w:val="20"/>
          <w:color w:val="auto"/>
        </w:rPr>
      </w:pPr>
    </w:p>
    <w:p>
      <w:pPr>
        <w:jc w:val="both"/>
        <w:ind w:left="600" w:right="20"/>
        <w:spacing w:after="0" w:line="232" w:lineRule="auto"/>
        <w:rPr>
          <w:sz w:val="20"/>
          <w:szCs w:val="20"/>
          <w:color w:val="auto"/>
        </w:rPr>
      </w:pPr>
      <w:r>
        <w:rPr>
          <w:rFonts w:ascii="Verdana" w:cs="Verdana" w:eastAsia="Verdana" w:hAnsi="Verdana"/>
          <w:sz w:val="18"/>
          <w:szCs w:val="18"/>
          <w:color w:val="auto"/>
        </w:rPr>
        <w:t>Exchange Commission with respect to the shares of Common Stock underlying the RPSUs awarded under this Agreement. The Company intends to maintain this registration statement but has no obligation to the Participant to do so. If the registration statement ceases to be effective, the Participant will not be able to transfer or sell shares of Common Stock issued pursuant to the award, unless exemptions from registration under applicable securities laws are available. Such exemptions from registration are very limited and might be unavailable. Participant agrees that any resale of the shares of Common Stock issued pursuant to the award shall comply in all respects with the requirements of all applicable securities laws, rules and regulations (including, without limitation, the provisions of the Securities Act of 1933, the Securities Exchange Act of 1934 and the respective rules and regulations promulgated thereunder) and any other law, rule or regulation applicable thereto, as such laws, rules, and regulations may be amended from time to time. The Company shall not be obligated to either issue shares of Common Stock or permit the resale of any such shares if such issuance or resale would violate any such requirements.</w:t>
      </w:r>
    </w:p>
    <w:p>
      <w:pPr>
        <w:spacing w:after="0" w:line="199" w:lineRule="exact"/>
        <w:rPr>
          <w:sz w:val="20"/>
          <w:szCs w:val="20"/>
          <w:color w:val="auto"/>
        </w:rPr>
      </w:pPr>
    </w:p>
    <w:p>
      <w:pPr>
        <w:ind w:left="600"/>
        <w:spacing w:after="0"/>
        <w:rPr>
          <w:sz w:val="20"/>
          <w:szCs w:val="20"/>
          <w:color w:val="auto"/>
        </w:rPr>
      </w:pPr>
      <w:r>
        <w:rPr>
          <w:rFonts w:ascii="Verdana" w:cs="Verdana" w:eastAsia="Verdana" w:hAnsi="Verdana"/>
          <w:sz w:val="18"/>
          <w:szCs w:val="18"/>
          <w:b w:val="1"/>
          <w:bCs w:val="1"/>
          <w:color w:val="auto"/>
        </w:rPr>
        <w:t>(g) Taxes</w:t>
      </w:r>
    </w:p>
    <w:p>
      <w:pPr>
        <w:spacing w:after="0" w:line="202" w:lineRule="exact"/>
        <w:rPr>
          <w:sz w:val="20"/>
          <w:szCs w:val="20"/>
          <w:color w:val="auto"/>
        </w:rPr>
      </w:pPr>
    </w:p>
    <w:p>
      <w:pPr>
        <w:jc w:val="both"/>
        <w:ind w:left="600" w:right="20"/>
        <w:spacing w:after="0" w:line="265" w:lineRule="auto"/>
        <w:rPr>
          <w:sz w:val="20"/>
          <w:szCs w:val="20"/>
          <w:color w:val="auto"/>
        </w:rPr>
      </w:pPr>
      <w:r>
        <w:rPr>
          <w:rFonts w:ascii="Verdana" w:cs="Verdana" w:eastAsia="Verdana" w:hAnsi="Verdana"/>
          <w:sz w:val="16"/>
          <w:szCs w:val="16"/>
          <w:color w:val="auto"/>
        </w:rPr>
        <w:t>The Participant acknowledges that the vesting and earning of RPSUs will give rise to a withholding tax liability and that no shares of Common Stock are issuable hereunder until such withholding obligation is satisfied in full. The Participant agrees to remit to the Company the amount of any taxes required to be withheld. The Committee has specifically authorized the Participant to satisfy all or part of such tax obligation by (i) withholding the number of shares of Common Stock otherwise issuable to the Participant hereunder and/or (ii) the Participant transferring to the Company unrestricted shares of Common Stock previously owned by the Participant that have a Fair Market Value equal to the amount of the withholding to be credited. Such value shall be based on the Fair Market Value of the Common Stock as of the date the amount of tax to be withheld is determined.</w:t>
      </w:r>
    </w:p>
    <w:p>
      <w:pPr>
        <w:spacing w:after="0" w:line="177" w:lineRule="exact"/>
        <w:rPr>
          <w:sz w:val="20"/>
          <w:szCs w:val="20"/>
          <w:color w:val="auto"/>
        </w:rPr>
      </w:pPr>
    </w:p>
    <w:p>
      <w:pPr>
        <w:ind w:left="600"/>
        <w:spacing w:after="0"/>
        <w:rPr>
          <w:sz w:val="20"/>
          <w:szCs w:val="20"/>
          <w:color w:val="auto"/>
        </w:rPr>
      </w:pPr>
      <w:r>
        <w:rPr>
          <w:rFonts w:ascii="Verdana" w:cs="Verdana" w:eastAsia="Verdana" w:hAnsi="Verdana"/>
          <w:sz w:val="18"/>
          <w:szCs w:val="18"/>
          <w:b w:val="1"/>
          <w:bCs w:val="1"/>
          <w:color w:val="auto"/>
        </w:rPr>
        <w:t>(h) Governing Law</w:t>
      </w:r>
    </w:p>
    <w:p>
      <w:pPr>
        <w:spacing w:after="0" w:line="202" w:lineRule="exact"/>
        <w:rPr>
          <w:sz w:val="20"/>
          <w:szCs w:val="20"/>
          <w:color w:val="auto"/>
        </w:rPr>
      </w:pPr>
    </w:p>
    <w:p>
      <w:pPr>
        <w:jc w:val="both"/>
        <w:ind w:left="600" w:right="20"/>
        <w:spacing w:after="0" w:line="241" w:lineRule="auto"/>
        <w:rPr>
          <w:sz w:val="20"/>
          <w:szCs w:val="20"/>
          <w:color w:val="auto"/>
        </w:rPr>
      </w:pPr>
      <w:r>
        <w:rPr>
          <w:rFonts w:ascii="Verdana" w:cs="Verdana" w:eastAsia="Verdana" w:hAnsi="Verdana"/>
          <w:sz w:val="18"/>
          <w:szCs w:val="18"/>
          <w:color w:val="auto"/>
        </w:rPr>
        <w:t>Except as may otherwise be provided in the Plan, the provisions of this Agreement shall be governed by the laws of the State of Delaware without giving effect to principles of conflicts of law.</w:t>
      </w:r>
    </w:p>
    <w:p>
      <w:pPr>
        <w:spacing w:after="0" w:line="192" w:lineRule="exact"/>
        <w:rPr>
          <w:sz w:val="20"/>
          <w:szCs w:val="20"/>
          <w:color w:val="auto"/>
        </w:rPr>
      </w:pPr>
    </w:p>
    <w:p>
      <w:pPr>
        <w:ind w:left="600"/>
        <w:spacing w:after="0"/>
        <w:rPr>
          <w:sz w:val="20"/>
          <w:szCs w:val="20"/>
          <w:color w:val="auto"/>
        </w:rPr>
      </w:pPr>
      <w:r>
        <w:rPr>
          <w:rFonts w:ascii="Verdana" w:cs="Verdana" w:eastAsia="Verdana" w:hAnsi="Verdana"/>
          <w:sz w:val="18"/>
          <w:szCs w:val="18"/>
          <w:b w:val="1"/>
          <w:bCs w:val="1"/>
          <w:color w:val="auto"/>
        </w:rPr>
        <w:t>(i) Code Section 409A Compliance</w:t>
      </w:r>
    </w:p>
    <w:p>
      <w:pPr>
        <w:spacing w:after="0" w:line="202" w:lineRule="exact"/>
        <w:rPr>
          <w:sz w:val="20"/>
          <w:szCs w:val="20"/>
          <w:color w:val="auto"/>
        </w:rPr>
      </w:pPr>
    </w:p>
    <w:p>
      <w:pPr>
        <w:jc w:val="both"/>
        <w:ind w:left="600"/>
        <w:spacing w:after="0" w:line="234" w:lineRule="auto"/>
        <w:rPr>
          <w:sz w:val="20"/>
          <w:szCs w:val="20"/>
          <w:color w:val="auto"/>
        </w:rPr>
      </w:pPr>
      <w:r>
        <w:rPr>
          <w:rFonts w:ascii="Verdana" w:cs="Verdana" w:eastAsia="Verdana" w:hAnsi="Verdana"/>
          <w:sz w:val="18"/>
          <w:szCs w:val="18"/>
          <w:color w:val="auto"/>
        </w:rPr>
        <w:t>To the extent that the Committee determines that the award granted under this Agreement is subject to Section 409A of the Code and fails to comply with the requirements of such Section, notwithstanding anything to the contrary contained in the Plan or in this Agreement, the Committee reserves the right to amend, restructure, terminate or replace this award in order to cause the award to either not be subject to Section 409A of the Code or comply with the applicable provisions of such Section, provided that the Participant’s consent is required if the Committee’s action would materially adversely affect the Participant.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79"/>
        <w:spacing w:after="0"/>
        <w:rPr>
          <w:sz w:val="20"/>
          <w:szCs w:val="20"/>
          <w:color w:val="auto"/>
        </w:rPr>
      </w:pPr>
      <w:r>
        <w:rPr>
          <w:rFonts w:ascii="Verdana" w:cs="Verdana" w:eastAsia="Verdana" w:hAnsi="Verdana"/>
          <w:sz w:val="18"/>
          <w:szCs w:val="18"/>
          <w:color w:val="auto"/>
        </w:rPr>
        <w:t>[</w:t>
      </w:r>
      <w:r>
        <w:rPr>
          <w:rFonts w:ascii="Verdana" w:cs="Verdana" w:eastAsia="Verdana" w:hAnsi="Verdana"/>
          <w:sz w:val="18"/>
          <w:szCs w:val="18"/>
          <w:i w:val="1"/>
          <w:iCs w:val="1"/>
          <w:color w:val="auto"/>
        </w:rPr>
        <w:t>Signature Page Follows</w:t>
      </w:r>
      <w:r>
        <w:rPr>
          <w:rFonts w:ascii="Verdana" w:cs="Verdana" w:eastAsia="Verdana" w:hAnsi="Verdana"/>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1700" w:val="left"/>
        </w:tabs>
        <w:rPr>
          <w:sz w:val="20"/>
          <w:szCs w:val="20"/>
          <w:color w:val="auto"/>
        </w:rPr>
      </w:pPr>
      <w:r>
        <w:rPr>
          <w:rFonts w:ascii="Verdana" w:cs="Verdana" w:eastAsia="Verdana" w:hAnsi="Verdana"/>
          <w:sz w:val="18"/>
          <w:szCs w:val="18"/>
          <w:color w:val="auto"/>
        </w:rPr>
        <w:t xml:space="preserve">13 </w:t>
      </w:r>
      <w:r>
        <w:rPr>
          <w:rFonts w:ascii="Arial" w:cs="Arial" w:eastAsia="Arial" w:hAnsi="Arial"/>
          <w:sz w:val="12"/>
          <w:szCs w:val="12"/>
          <w:color w:val="auto"/>
        </w:rPr>
        <w:t>LEGAL\61899936\12</w:t>
      </w:r>
      <w:r>
        <w:rPr>
          <w:sz w:val="20"/>
          <w:szCs w:val="20"/>
          <w:color w:val="auto"/>
        </w:rPr>
        <w:tab/>
      </w:r>
      <w:r>
        <w:rPr>
          <w:rFonts w:ascii="Arial" w:cs="Arial" w:eastAsia="Arial" w:hAnsi="Arial"/>
          <w:sz w:val="12"/>
          <w:szCs w:val="12"/>
          <w:color w:val="auto"/>
        </w:rPr>
        <w:t>LEGAL\74461641\3</w:t>
      </w:r>
    </w:p>
    <w:p>
      <w:pPr>
        <w:sectPr>
          <w:pgSz w:w="11900" w:h="16838" w:orient="portrait"/>
          <w:cols w:equalWidth="0" w:num="1">
            <w:col w:w="10900"/>
          </w:cols>
          <w:pgMar w:left="360" w:top="1440" w:right="639" w:bottom="1440" w:gutter="0" w:footer="0" w:header="0"/>
        </w:sectPr>
      </w:pPr>
    </w:p>
    <w:bookmarkStart w:id="288" w:name="page289"/>
    <w:bookmarkEnd w:id="288"/>
    <w:p>
      <w:pPr>
        <w:ind w:left="280"/>
        <w:spacing w:after="0"/>
        <w:rPr>
          <w:sz w:val="20"/>
          <w:szCs w:val="20"/>
          <w:color w:val="auto"/>
        </w:rPr>
      </w:pPr>
      <w:r>
        <w:rPr>
          <w:rFonts w:ascii="Verdana" w:cs="Verdana" w:eastAsia="Verdana" w:hAnsi="Verdana"/>
          <w:sz w:val="16"/>
          <w:szCs w:val="16"/>
          <w:color w:val="auto"/>
        </w:rPr>
        <w:t>IN WITNESS WHEREOF, this Agreement has been executed as of the Date of Grant.</w:t>
      </w:r>
    </w:p>
    <w:p>
      <w:pPr>
        <w:sectPr>
          <w:pgSz w:w="11900" w:h="16838" w:orient="portrait"/>
          <w:cols w:equalWidth="0" w:num="1">
            <w:col w:w="10099"/>
          </w:cols>
          <w:pgMar w:left="360" w:top="142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660"/>
        <w:spacing w:after="0"/>
        <w:rPr>
          <w:sz w:val="20"/>
          <w:szCs w:val="20"/>
          <w:color w:val="auto"/>
        </w:rPr>
      </w:pPr>
      <w:r>
        <w:rPr>
          <w:rFonts w:ascii="Verdana" w:cs="Verdana" w:eastAsia="Verdana" w:hAnsi="Verdana"/>
          <w:sz w:val="16"/>
          <w:szCs w:val="16"/>
          <w:b w:val="1"/>
          <w:bCs w:val="1"/>
          <w:color w:val="auto"/>
        </w:rPr>
        <w:t>NRG ENERGY, INC.</w:t>
      </w:r>
    </w:p>
    <w:p>
      <w:pPr>
        <w:spacing w:after="0" w:line="200" w:lineRule="exact"/>
        <w:rPr>
          <w:sz w:val="20"/>
          <w:szCs w:val="20"/>
          <w:color w:val="auto"/>
        </w:rPr>
      </w:pPr>
    </w:p>
    <w:p>
      <w:pPr>
        <w:spacing w:after="0" w:line="253" w:lineRule="exact"/>
        <w:rPr>
          <w:sz w:val="20"/>
          <w:szCs w:val="20"/>
          <w:color w:val="auto"/>
        </w:rPr>
      </w:pPr>
    </w:p>
    <w:p>
      <w:pPr>
        <w:ind w:left="4760"/>
        <w:spacing w:after="0"/>
        <w:rPr>
          <w:sz w:val="20"/>
          <w:szCs w:val="20"/>
          <w:color w:val="auto"/>
        </w:rPr>
      </w:pPr>
      <w:r>
        <w:rPr>
          <w:rFonts w:ascii="Verdana" w:cs="Verdana" w:eastAsia="Verdana" w:hAnsi="Verdana"/>
          <w:sz w:val="16"/>
          <w:szCs w:val="16"/>
          <w:color w:val="auto"/>
        </w:rPr>
        <w:t>/s/ Lawrence Coben</w:t>
      </w:r>
    </w:p>
    <w:p>
      <w:pPr>
        <w:ind w:left="4380"/>
        <w:spacing w:after="0"/>
        <w:rPr>
          <w:sz w:val="20"/>
          <w:szCs w:val="20"/>
          <w:color w:val="auto"/>
        </w:rPr>
      </w:pPr>
      <w:r>
        <w:rPr>
          <w:rFonts w:ascii="Verdana" w:cs="Verdana" w:eastAsia="Verdana" w:hAnsi="Verdana"/>
          <w:sz w:val="16"/>
          <w:szCs w:val="16"/>
          <w:color w:val="auto"/>
        </w:rPr>
        <w:t>Name: Lawrence Coben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-119380</wp:posOffset>
            </wp:positionV>
            <wp:extent cx="127381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73">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spacing w:after="0" w:line="193" w:lineRule="exact"/>
        <w:rPr>
          <w:sz w:val="20"/>
          <w:szCs w:val="20"/>
          <w:color w:val="auto"/>
        </w:rPr>
      </w:pPr>
    </w:p>
    <w:p>
      <w:pPr>
        <w:ind w:left="4380"/>
        <w:spacing w:after="0"/>
        <w:rPr>
          <w:sz w:val="20"/>
          <w:szCs w:val="20"/>
          <w:color w:val="auto"/>
        </w:rPr>
      </w:pPr>
      <w:r>
        <w:rPr>
          <w:rFonts w:ascii="Verdana" w:cs="Verdana" w:eastAsia="Verdana" w:hAnsi="Verdana"/>
          <w:sz w:val="18"/>
          <w:szCs w:val="18"/>
          <w:color w:val="auto"/>
        </w:rPr>
        <w:t>Titel: President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80"/>
        <w:spacing w:after="0"/>
        <w:rPr>
          <w:sz w:val="20"/>
          <w:szCs w:val="20"/>
          <w:color w:val="auto"/>
        </w:rPr>
      </w:pPr>
      <w:r>
        <w:rPr>
          <w:rFonts w:ascii="Verdana" w:cs="Verdana" w:eastAsia="Verdana" w:hAnsi="Verdana"/>
          <w:sz w:val="18"/>
          <w:szCs w:val="18"/>
          <w:color w:val="auto"/>
        </w:rPr>
        <w:t>12</w:t>
      </w:r>
    </w:p>
    <w:p>
      <w:pPr>
        <w:sectPr>
          <w:pgSz w:w="11900" w:h="16838" w:orient="portrait"/>
          <w:cols w:equalWidth="0" w:num="1">
            <w:col w:w="10099"/>
          </w:cols>
          <w:pgMar w:left="360" w:top="1424" w:right="1440"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spacing w:after="0"/>
        <w:tabs>
          <w:tab w:leader="none" w:pos="1380" w:val="left"/>
        </w:tabs>
        <w:rPr>
          <w:sz w:val="20"/>
          <w:szCs w:val="20"/>
          <w:color w:val="auto"/>
        </w:rPr>
      </w:pPr>
      <w:r>
        <w:rPr>
          <w:rFonts w:ascii="Arial" w:cs="Arial" w:eastAsia="Arial" w:hAnsi="Arial"/>
          <w:sz w:val="12"/>
          <w:szCs w:val="12"/>
          <w:color w:val="auto"/>
        </w:rPr>
        <w:t>LEGAL\61899936\12</w:t>
      </w:r>
      <w:r>
        <w:rPr>
          <w:sz w:val="20"/>
          <w:szCs w:val="20"/>
          <w:color w:val="auto"/>
        </w:rPr>
        <w:tab/>
      </w:r>
      <w:r>
        <w:rPr>
          <w:rFonts w:ascii="Arial" w:cs="Arial" w:eastAsia="Arial" w:hAnsi="Arial"/>
          <w:sz w:val="12"/>
          <w:szCs w:val="12"/>
          <w:color w:val="auto"/>
        </w:rPr>
        <w:t>LEGAL\74461641\3</w:t>
      </w:r>
    </w:p>
    <w:p>
      <w:pPr>
        <w:sectPr>
          <w:pgSz w:w="11900" w:h="16838" w:orient="portrait"/>
          <w:cols w:equalWidth="0" w:num="1">
            <w:col w:w="10099"/>
          </w:cols>
          <w:pgMar w:left="360" w:top="1424" w:right="1440" w:bottom="1440" w:gutter="0" w:footer="0" w:header="0"/>
          <w:type w:val="continuous"/>
        </w:sectPr>
      </w:pPr>
    </w:p>
    <w:bookmarkStart w:id="289" w:name="page290"/>
    <w:bookmarkEnd w:id="289"/>
    <w:p>
      <w:pPr>
        <w:jc w:val="center"/>
        <w:ind w:right="-79"/>
        <w:spacing w:after="0"/>
        <w:rPr>
          <w:sz w:val="20"/>
          <w:szCs w:val="20"/>
          <w:color w:val="auto"/>
        </w:rPr>
      </w:pPr>
      <w:r>
        <w:rPr>
          <w:rFonts w:ascii="Verdana" w:cs="Verdana" w:eastAsia="Verdana" w:hAnsi="Verdana"/>
          <w:sz w:val="18"/>
          <w:szCs w:val="18"/>
          <w:b w:val="1"/>
          <w:bCs w:val="1"/>
          <w:u w:val="single" w:color="auto"/>
          <w:color w:val="auto"/>
        </w:rPr>
        <w:t>EXHIBIT A</w:t>
      </w:r>
    </w:p>
    <w:p>
      <w:pPr>
        <w:spacing w:after="0" w:line="229" w:lineRule="exact"/>
        <w:rPr>
          <w:sz w:val="20"/>
          <w:szCs w:val="20"/>
          <w:color w:val="auto"/>
        </w:rPr>
      </w:pPr>
    </w:p>
    <w:p>
      <w:pPr>
        <w:jc w:val="center"/>
        <w:ind w:right="-79"/>
        <w:spacing w:after="0"/>
        <w:rPr>
          <w:sz w:val="20"/>
          <w:szCs w:val="20"/>
          <w:color w:val="auto"/>
        </w:rPr>
      </w:pPr>
      <w:r>
        <w:rPr>
          <w:rFonts w:ascii="Verdana" w:cs="Verdana" w:eastAsia="Verdana" w:hAnsi="Verdana"/>
          <w:sz w:val="18"/>
          <w:szCs w:val="18"/>
          <w:b w:val="1"/>
          <w:bCs w:val="1"/>
          <w:color w:val="auto"/>
        </w:rPr>
        <w:t>RELATIVE TOTAL SHAREHOLDER RETURN PEER GROUP MEMBERS</w:t>
      </w:r>
    </w:p>
    <w:p>
      <w:pPr>
        <w:spacing w:after="0" w:line="200" w:lineRule="exact"/>
        <w:rPr>
          <w:sz w:val="20"/>
          <w:szCs w:val="20"/>
          <w:color w:val="auto"/>
        </w:rPr>
      </w:pPr>
    </w:p>
    <w:p>
      <w:pPr>
        <w:spacing w:after="0" w:line="283" w:lineRule="exact"/>
        <w:rPr>
          <w:sz w:val="20"/>
          <w:szCs w:val="20"/>
          <w:color w:val="auto"/>
        </w:rPr>
      </w:pPr>
    </w:p>
    <w:p>
      <w:pPr>
        <w:ind w:left="280"/>
        <w:spacing w:after="0" w:line="282" w:lineRule="auto"/>
        <w:rPr>
          <w:sz w:val="20"/>
          <w:szCs w:val="20"/>
          <w:color w:val="auto"/>
        </w:rPr>
      </w:pPr>
      <w:r>
        <w:rPr>
          <w:rFonts w:ascii="Times New Roman" w:cs="Times New Roman" w:eastAsia="Times New Roman" w:hAnsi="Times New Roman"/>
          <w:sz w:val="21"/>
          <w:szCs w:val="21"/>
          <w:color w:val="auto"/>
        </w:rPr>
        <w:t>The companies that make up the Standard &amp; Poors 500 Index on the first day of the Performance Period modified in accordance with the provisions of Section 2(b)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Verdana" w:cs="Verdana" w:eastAsia="Verdana" w:hAnsi="Verdana"/>
          <w:sz w:val="18"/>
          <w:szCs w:val="18"/>
          <w:color w:val="auto"/>
        </w:rPr>
        <w:t>13</w:t>
      </w:r>
    </w:p>
    <w:p>
      <w:pPr>
        <w:sectPr>
          <w:pgSz w:w="11900" w:h="16838" w:orient="portrait"/>
          <w:cols w:equalWidth="0" w:num="1">
            <w:col w:w="11080"/>
          </w:cols>
          <w:pgMar w:left="360" w:top="1227" w:right="459" w:bottom="100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1380" w:val="left"/>
        </w:tabs>
        <w:rPr>
          <w:sz w:val="20"/>
          <w:szCs w:val="20"/>
          <w:color w:val="auto"/>
        </w:rPr>
      </w:pPr>
      <w:r>
        <w:rPr>
          <w:rFonts w:ascii="Arial" w:cs="Arial" w:eastAsia="Arial" w:hAnsi="Arial"/>
          <w:sz w:val="12"/>
          <w:szCs w:val="12"/>
          <w:color w:val="auto"/>
        </w:rPr>
        <w:t>LEGAL\61899936\12</w:t>
      </w:r>
      <w:r>
        <w:rPr>
          <w:sz w:val="20"/>
          <w:szCs w:val="20"/>
          <w:color w:val="auto"/>
        </w:rPr>
        <w:tab/>
      </w:r>
      <w:r>
        <w:rPr>
          <w:rFonts w:ascii="Arial" w:cs="Arial" w:eastAsia="Arial" w:hAnsi="Arial"/>
          <w:sz w:val="12"/>
          <w:szCs w:val="12"/>
          <w:color w:val="auto"/>
        </w:rPr>
        <w:t>LEGAL\74461641\3</w:t>
      </w:r>
    </w:p>
    <w:p>
      <w:pPr>
        <w:sectPr>
          <w:pgSz w:w="11900" w:h="16838" w:orient="portrait"/>
          <w:cols w:equalWidth="0" w:num="1">
            <w:col w:w="11080"/>
          </w:cols>
          <w:pgMar w:left="360" w:top="1227" w:right="459" w:bottom="1000" w:gutter="0" w:footer="0" w:header="0"/>
          <w:type w:val="continuous"/>
        </w:sectPr>
      </w:pPr>
    </w:p>
    <w:bookmarkStart w:id="290" w:name="page291"/>
    <w:bookmarkEnd w:id="290"/>
    <w:p>
      <w:pPr>
        <w:ind w:left="280"/>
        <w:spacing w:after="0"/>
        <w:rPr>
          <w:sz w:val="20"/>
          <w:szCs w:val="20"/>
          <w:color w:val="auto"/>
        </w:rPr>
      </w:pPr>
      <w:r>
        <w:rPr>
          <w:rFonts w:ascii="Verdana" w:cs="Verdana" w:eastAsia="Verdana" w:hAnsi="Verdana"/>
          <w:sz w:val="15"/>
          <w:szCs w:val="15"/>
          <w:color w:val="auto"/>
        </w:rPr>
        <w:t>2024 Vivint RPSU Agreement (EVP)</w:t>
      </w:r>
    </w:p>
    <w:p>
      <w:pPr>
        <w:spacing w:after="0" w:line="200" w:lineRule="exact"/>
        <w:rPr>
          <w:sz w:val="20"/>
          <w:szCs w:val="20"/>
          <w:color w:val="auto"/>
        </w:rPr>
      </w:pPr>
    </w:p>
    <w:p>
      <w:pPr>
        <w:spacing w:after="0" w:line="338" w:lineRule="exact"/>
        <w:rPr>
          <w:sz w:val="20"/>
          <w:szCs w:val="20"/>
          <w:color w:val="auto"/>
        </w:rPr>
      </w:pPr>
    </w:p>
    <w:p>
      <w:pPr>
        <w:spacing w:after="0"/>
        <w:tabs>
          <w:tab w:leader="none" w:pos="1380" w:val="left"/>
        </w:tabs>
        <w:rPr>
          <w:sz w:val="20"/>
          <w:szCs w:val="20"/>
          <w:color w:val="auto"/>
        </w:rPr>
      </w:pPr>
      <w:r>
        <w:rPr>
          <w:rFonts w:ascii="Arial" w:cs="Arial" w:eastAsia="Arial" w:hAnsi="Arial"/>
          <w:sz w:val="12"/>
          <w:szCs w:val="12"/>
          <w:color w:val="auto"/>
        </w:rPr>
        <w:t>LEGAL\61899936\12</w:t>
      </w:r>
      <w:r>
        <w:rPr>
          <w:sz w:val="20"/>
          <w:szCs w:val="20"/>
          <w:color w:val="auto"/>
        </w:rPr>
        <w:tab/>
      </w:r>
      <w:r>
        <w:rPr>
          <w:rFonts w:ascii="Arial" w:cs="Arial" w:eastAsia="Arial" w:hAnsi="Arial"/>
          <w:sz w:val="12"/>
          <w:szCs w:val="12"/>
          <w:color w:val="auto"/>
        </w:rPr>
        <w:t>LEGAL\74461641\3</w:t>
      </w:r>
    </w:p>
    <w:p>
      <w:pPr>
        <w:sectPr>
          <w:pgSz w:w="11900" w:h="16838" w:orient="portrait"/>
          <w:cols w:equalWidth="0" w:num="1">
            <w:col w:w="10099"/>
          </w:cols>
          <w:pgMar w:left="360" w:top="1152" w:right="1440" w:bottom="1440" w:gutter="0" w:footer="0" w:header="0"/>
        </w:sectPr>
      </w:pPr>
    </w:p>
    <w:bookmarkStart w:id="291" w:name="page292"/>
    <w:bookmarkEnd w:id="291"/>
    <w:p>
      <w:pPr>
        <w:ind w:right="60"/>
        <w:spacing w:after="0" w:line="242" w:lineRule="auto"/>
        <w:rPr>
          <w:sz w:val="20"/>
          <w:szCs w:val="20"/>
          <w:color w:val="auto"/>
        </w:rPr>
      </w:pPr>
      <w:r>
        <w:rPr>
          <w:rFonts w:ascii="Verdana" w:cs="Verdana" w:eastAsia="Verdana" w:hAnsi="Verdana"/>
          <w:sz w:val="28"/>
          <w:szCs w:val="28"/>
          <w:b w:val="1"/>
          <w:bCs w:val="1"/>
          <w:color w:val="auto"/>
        </w:rPr>
        <w:t>NRG ENERGY, INC. 2020 OMNIBUS INCENTIVE PLAN (LEGACY VIVINT) NOTICE OF RELATIVE PERFORMANCE STOCK UNITS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28"/>
          <w:szCs w:val="28"/>
          <w:b w:val="1"/>
          <w:bCs w:val="1"/>
          <w:color w:val="auto"/>
        </w:rPr>
        <w:t>Exhibit 23</w:t>
      </w:r>
    </w:p>
    <w:p>
      <w:pPr>
        <w:spacing w:after="0" w:line="2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%%FIRST_NAME_LAST_NAME%-%</w:t>
      </w:r>
    </w:p>
    <w:p>
      <w:pPr>
        <w:spacing w:after="0" w:line="18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%%ADDRESS_LINE_1%-%</w:t>
      </w:r>
    </w:p>
    <w:p>
      <w:pPr>
        <w:spacing w:after="0" w:line="230" w:lineRule="auto"/>
        <w:rPr>
          <w:sz w:val="20"/>
          <w:szCs w:val="20"/>
          <w:color w:val="auto"/>
        </w:rPr>
      </w:pPr>
      <w:r>
        <w:rPr>
          <w:rFonts w:ascii="Verdana" w:cs="Verdana" w:eastAsia="Verdana" w:hAnsi="Verdana"/>
          <w:sz w:val="18"/>
          <w:szCs w:val="18"/>
          <w:b w:val="1"/>
          <w:bCs w:val="1"/>
          <w:color w:val="auto"/>
        </w:rPr>
        <w:t>%%ADDRESS_LINE_2%-%</w:t>
      </w:r>
    </w:p>
    <w:p>
      <w:pPr>
        <w:spacing w:after="0" w:line="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%%CITY_STATE_ZIPCODE%-%</w:t>
      </w:r>
    </w:p>
    <w:p>
      <w:pPr>
        <w:spacing w:after="0" w:line="202" w:lineRule="exact"/>
        <w:rPr>
          <w:sz w:val="20"/>
          <w:szCs w:val="20"/>
          <w:color w:val="auto"/>
        </w:rPr>
      </w:pPr>
    </w:p>
    <w:p>
      <w:pPr>
        <w:jc w:val="both"/>
        <w:spacing w:after="0" w:line="233" w:lineRule="auto"/>
        <w:rPr>
          <w:sz w:val="20"/>
          <w:szCs w:val="20"/>
          <w:color w:val="auto"/>
        </w:rPr>
      </w:pPr>
      <w:r>
        <w:rPr>
          <w:rFonts w:ascii="Verdana" w:cs="Verdana" w:eastAsia="Verdana" w:hAnsi="Verdana"/>
          <w:sz w:val="18"/>
          <w:szCs w:val="18"/>
          <w:color w:val="auto"/>
        </w:rPr>
        <w:t>Congratulations on your selection as a Participant under the NRG Energy, Inc. 2020 Omnibus Incentive Plan (Legacy Vivint), as amended from time to time (the “</w:t>
      </w:r>
      <w:r>
        <w:rPr>
          <w:rFonts w:ascii="Verdana" w:cs="Verdana" w:eastAsia="Verdana" w:hAnsi="Verdana"/>
          <w:sz w:val="18"/>
          <w:szCs w:val="18"/>
          <w:u w:val="single" w:color="auto"/>
          <w:color w:val="auto"/>
        </w:rPr>
        <w:t>Plan</w:t>
      </w:r>
      <w:r>
        <w:rPr>
          <w:rFonts w:ascii="Verdana" w:cs="Verdana" w:eastAsia="Verdana" w:hAnsi="Verdana"/>
          <w:sz w:val="18"/>
          <w:szCs w:val="18"/>
          <w:color w:val="auto"/>
        </w:rPr>
        <w:t>”). This Notice of Relative Performance Stock Units (the “</w:t>
      </w:r>
      <w:r>
        <w:rPr>
          <w:rFonts w:ascii="Verdana" w:cs="Verdana" w:eastAsia="Verdana" w:hAnsi="Verdana"/>
          <w:sz w:val="18"/>
          <w:szCs w:val="18"/>
          <w:u w:val="single" w:color="auto"/>
          <w:color w:val="auto"/>
        </w:rPr>
        <w:t>Grant Notice</w:t>
      </w:r>
      <w:r>
        <w:rPr>
          <w:rFonts w:ascii="Verdana" w:cs="Verdana" w:eastAsia="Verdana" w:hAnsi="Verdana"/>
          <w:sz w:val="18"/>
          <w:szCs w:val="18"/>
          <w:color w:val="auto"/>
        </w:rPr>
        <w:t>”) and the attached Relative Performance Stock Unit Agreement (collectively referred to as the “</w:t>
      </w:r>
      <w:r>
        <w:rPr>
          <w:rFonts w:ascii="Verdana" w:cs="Verdana" w:eastAsia="Verdana" w:hAnsi="Verdana"/>
          <w:sz w:val="18"/>
          <w:szCs w:val="18"/>
          <w:u w:val="single" w:color="auto"/>
          <w:color w:val="auto"/>
        </w:rPr>
        <w:t>Agreement</w:t>
      </w:r>
      <w:r>
        <w:rPr>
          <w:rFonts w:ascii="Verdana" w:cs="Verdana" w:eastAsia="Verdana" w:hAnsi="Verdana"/>
          <w:sz w:val="18"/>
          <w:szCs w:val="18"/>
          <w:color w:val="auto"/>
        </w:rPr>
        <w:t>”) constitute an agreement between you and NRG Energy, Inc. (the “</w:t>
      </w:r>
      <w:r>
        <w:rPr>
          <w:rFonts w:ascii="Verdana" w:cs="Verdana" w:eastAsia="Verdana" w:hAnsi="Verdana"/>
          <w:sz w:val="18"/>
          <w:szCs w:val="18"/>
          <w:u w:val="single" w:color="auto"/>
          <w:color w:val="auto"/>
        </w:rPr>
        <w:t>Company</w:t>
      </w:r>
      <w:r>
        <w:rPr>
          <w:rFonts w:ascii="Verdana" w:cs="Verdana" w:eastAsia="Verdana" w:hAnsi="Verdana"/>
          <w:sz w:val="18"/>
          <w:szCs w:val="18"/>
          <w:color w:val="auto"/>
        </w:rPr>
        <w:t xml:space="preserve">”) pursuant to </w:t>
      </w:r>
      <w:r>
        <w:rPr>
          <w:rFonts w:ascii="Verdana" w:cs="Verdana" w:eastAsia="Verdana" w:hAnsi="Verdana"/>
          <w:sz w:val="18"/>
          <w:szCs w:val="18"/>
          <w:u w:val="single" w:color="auto"/>
          <w:color w:val="auto"/>
        </w:rPr>
        <w:t>Section 9</w:t>
      </w:r>
      <w:r>
        <w:rPr>
          <w:rFonts w:ascii="Verdana" w:cs="Verdana" w:eastAsia="Verdana" w:hAnsi="Verdana"/>
          <w:sz w:val="18"/>
          <w:szCs w:val="18"/>
          <w:color w:val="auto"/>
        </w:rPr>
        <w:t xml:space="preserve"> of the Plan. In the event of any inconsistency between the terms of this Agreement and the terms of the Plan, the Plan’s terms shall supersede and replace the conflicting terms of this Agreement. Capitalized terms used but not defined in this Agreement shall have the meaning assigned to them in the Plan. You are sometimes referred to as the “</w:t>
      </w:r>
      <w:r>
        <w:rPr>
          <w:rFonts w:ascii="Verdana" w:cs="Verdana" w:eastAsia="Verdana" w:hAnsi="Verdana"/>
          <w:sz w:val="18"/>
          <w:szCs w:val="18"/>
          <w:u w:val="single" w:color="auto"/>
          <w:color w:val="auto"/>
        </w:rPr>
        <w:t>Participant</w:t>
      </w:r>
      <w:r>
        <w:rPr>
          <w:rFonts w:ascii="Verdana" w:cs="Verdana" w:eastAsia="Verdana" w:hAnsi="Verdana"/>
          <w:sz w:val="18"/>
          <w:szCs w:val="18"/>
          <w:color w:val="auto"/>
        </w:rPr>
        <w:t>” in this Agreement.</w:t>
      </w:r>
    </w:p>
    <w:p>
      <w:pPr>
        <w:spacing w:after="0" w:line="18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%%FIRST_NAME_LAST_NAME%-%</w:t>
      </w:r>
    </w:p>
    <w:p>
      <w:pPr>
        <w:spacing w:after="0"/>
        <w:rPr>
          <w:sz w:val="20"/>
          <w:szCs w:val="20"/>
          <w:color w:val="auto"/>
        </w:rPr>
      </w:pPr>
      <w:r>
        <w:rPr>
          <w:rFonts w:ascii="Verdana" w:cs="Verdana" w:eastAsia="Verdana" w:hAnsi="Verdana"/>
          <w:sz w:val="18"/>
          <w:szCs w:val="18"/>
          <w:color w:val="auto"/>
        </w:rPr>
        <w:t>is hereby granted Relative Performance Stock Units (“</w:t>
      </w:r>
      <w:r>
        <w:rPr>
          <w:rFonts w:ascii="Verdana" w:cs="Verdana" w:eastAsia="Verdana" w:hAnsi="Verdana"/>
          <w:sz w:val="18"/>
          <w:szCs w:val="18"/>
          <w:u w:val="single" w:color="auto"/>
          <w:color w:val="auto"/>
        </w:rPr>
        <w:t>RPSUs</w:t>
      </w:r>
      <w:r>
        <w:rPr>
          <w:rFonts w:ascii="Verdana" w:cs="Verdana" w:eastAsia="Verdana" w:hAnsi="Verdana"/>
          <w:sz w:val="18"/>
          <w:szCs w:val="18"/>
          <w:color w:val="auto"/>
        </w:rPr>
        <w:t>”) as follows:</w:t>
      </w:r>
    </w:p>
    <w:p>
      <w:pPr>
        <w:sectPr>
          <w:pgSz w:w="11900" w:h="16838" w:orient="portrait"/>
          <w:cols w:equalWidth="0" w:num="1">
            <w:col w:w="11240"/>
          </w:cols>
          <w:pgMar w:left="320" w:top="132" w:right="339" w:bottom="1440" w:gutter="0" w:footer="0" w:header="0"/>
        </w:sectPr>
      </w:pPr>
    </w:p>
    <w:p>
      <w:pPr>
        <w:spacing w:after="0" w:line="229" w:lineRule="exact"/>
        <w:rPr>
          <w:sz w:val="20"/>
          <w:szCs w:val="20"/>
          <w:color w:val="auto"/>
        </w:rPr>
      </w:pPr>
    </w:p>
    <w:p>
      <w:pPr>
        <w:ind w:left="580"/>
        <w:spacing w:after="0"/>
        <w:rPr>
          <w:sz w:val="20"/>
          <w:szCs w:val="20"/>
          <w:color w:val="auto"/>
        </w:rPr>
      </w:pPr>
      <w:r>
        <w:rPr>
          <w:rFonts w:ascii="Verdana" w:cs="Verdana" w:eastAsia="Verdana" w:hAnsi="Verdana"/>
          <w:sz w:val="16"/>
          <w:szCs w:val="16"/>
          <w:color w:val="auto"/>
        </w:rPr>
        <w:t>Date of Grant: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%%OPTION_DATE,’Month DD, YYYY’%-%</w:t>
      </w:r>
    </w:p>
    <w:p>
      <w:pPr>
        <w:spacing w:after="0" w:line="200" w:lineRule="exact"/>
        <w:rPr>
          <w:sz w:val="20"/>
          <w:szCs w:val="20"/>
          <w:color w:val="auto"/>
        </w:rPr>
      </w:pPr>
    </w:p>
    <w:p>
      <w:pPr>
        <w:sectPr>
          <w:pgSz w:w="11900" w:h="16838" w:orient="portrait"/>
          <w:cols w:equalWidth="0" w:num="2">
            <w:col w:w="3040" w:space="720"/>
            <w:col w:w="7480"/>
          </w:cols>
          <w:pgMar w:left="320" w:top="132" w:right="339" w:bottom="1440" w:gutter="0" w:footer="0" w:header="0"/>
          <w:type w:val="continuous"/>
        </w:sectPr>
      </w:pPr>
    </w:p>
    <w:p>
      <w:pPr>
        <w:spacing w:after="0" w:line="40" w:lineRule="exact"/>
        <w:rPr>
          <w:sz w:val="20"/>
          <w:szCs w:val="20"/>
          <w:color w:val="auto"/>
        </w:rPr>
      </w:pPr>
    </w:p>
    <w:p>
      <w:pPr>
        <w:ind w:left="580"/>
        <w:spacing w:after="0"/>
        <w:rPr>
          <w:sz w:val="20"/>
          <w:szCs w:val="20"/>
          <w:color w:val="auto"/>
        </w:rPr>
      </w:pPr>
      <w:r>
        <w:rPr>
          <w:rFonts w:ascii="Verdana" w:cs="Verdana" w:eastAsia="Verdana" w:hAnsi="Verdana"/>
          <w:sz w:val="16"/>
          <w:szCs w:val="16"/>
          <w:color w:val="auto"/>
        </w:rPr>
        <w:t>Performance Period:</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Verdana" w:cs="Verdana" w:eastAsia="Verdana" w:hAnsi="Verdana"/>
          <w:sz w:val="16"/>
          <w:szCs w:val="16"/>
          <w:color w:val="auto"/>
        </w:rPr>
        <w:t>January 2, 2026 through January 2, 2029</w:t>
      </w:r>
    </w:p>
    <w:p>
      <w:pPr>
        <w:spacing w:after="0" w:line="200" w:lineRule="exact"/>
        <w:rPr>
          <w:sz w:val="20"/>
          <w:szCs w:val="20"/>
          <w:color w:val="auto"/>
        </w:rPr>
      </w:pPr>
    </w:p>
    <w:p>
      <w:pPr>
        <w:sectPr>
          <w:pgSz w:w="11900" w:h="16838" w:orient="portrait"/>
          <w:cols w:equalWidth="0" w:num="2">
            <w:col w:w="3040" w:space="720"/>
            <w:col w:w="7480"/>
          </w:cols>
          <w:pgMar w:left="320" w:top="132" w:right="339" w:bottom="1440" w:gutter="0" w:footer="0" w:header="0"/>
          <w:type w:val="continuous"/>
        </w:sectPr>
      </w:pPr>
    </w:p>
    <w:p>
      <w:pPr>
        <w:spacing w:after="0" w:line="40" w:lineRule="exact"/>
        <w:rPr>
          <w:sz w:val="20"/>
          <w:szCs w:val="20"/>
          <w:color w:val="auto"/>
        </w:rPr>
      </w:pPr>
    </w:p>
    <w:p>
      <w:pPr>
        <w:ind w:left="580"/>
        <w:spacing w:after="0"/>
        <w:rPr>
          <w:sz w:val="20"/>
          <w:szCs w:val="20"/>
          <w:color w:val="auto"/>
        </w:rPr>
      </w:pPr>
      <w:r>
        <w:rPr>
          <w:rFonts w:ascii="Verdana" w:cs="Verdana" w:eastAsia="Verdana" w:hAnsi="Verdana"/>
          <w:sz w:val="16"/>
          <w:szCs w:val="16"/>
          <w:color w:val="auto"/>
        </w:rPr>
        <w:t>Target Award:</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%%TOTAL_SHARES_GRANTED,’999,999,999’%-%</w:t>
      </w:r>
    </w:p>
    <w:p>
      <w:pPr>
        <w:spacing w:after="0" w:line="200" w:lineRule="exact"/>
        <w:rPr>
          <w:sz w:val="20"/>
          <w:szCs w:val="20"/>
          <w:color w:val="auto"/>
        </w:rPr>
      </w:pPr>
    </w:p>
    <w:p>
      <w:pPr>
        <w:sectPr>
          <w:pgSz w:w="11900" w:h="16838" w:orient="portrait"/>
          <w:cols w:equalWidth="0" w:num="2">
            <w:col w:w="3040" w:space="720"/>
            <w:col w:w="7480"/>
          </w:cols>
          <w:pgMar w:left="320" w:top="132" w:right="339" w:bottom="1440" w:gutter="0" w:footer="0" w:header="0"/>
          <w:type w:val="continuous"/>
        </w:sectPr>
      </w:pPr>
    </w:p>
    <w:p>
      <w:pPr>
        <w:spacing w:after="0" w:line="40" w:lineRule="exact"/>
        <w:rPr>
          <w:sz w:val="20"/>
          <w:szCs w:val="20"/>
          <w:color w:val="auto"/>
        </w:rPr>
      </w:pPr>
    </w:p>
    <w:p>
      <w:pPr>
        <w:ind w:left="580"/>
        <w:spacing w:after="0"/>
        <w:rPr>
          <w:sz w:val="20"/>
          <w:szCs w:val="20"/>
          <w:color w:val="auto"/>
        </w:rPr>
      </w:pPr>
      <w:r>
        <w:rPr>
          <w:rFonts w:ascii="Verdana" w:cs="Verdana" w:eastAsia="Verdana" w:hAnsi="Verdana"/>
          <w:sz w:val="16"/>
          <w:szCs w:val="16"/>
          <w:color w:val="auto"/>
        </w:rPr>
        <w:t>Final Award:</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jc w:val="both"/>
        <w:ind w:right="840"/>
        <w:spacing w:after="0" w:line="206" w:lineRule="auto"/>
        <w:rPr>
          <w:sz w:val="20"/>
          <w:szCs w:val="20"/>
          <w:color w:val="auto"/>
        </w:rPr>
      </w:pPr>
      <w:r>
        <w:rPr>
          <w:rFonts w:ascii="Verdana" w:cs="Verdana" w:eastAsia="Verdana" w:hAnsi="Verdana"/>
          <w:sz w:val="18"/>
          <w:szCs w:val="18"/>
          <w:color w:val="auto"/>
        </w:rPr>
        <w:t>Target Award multiplied by the “Payout Percentage” (as defined below) based on the Company’s total shareholder return relative to total shareholder return of peer group members of the Standard &amp; Poors 500 Index, as set forth in this Agreement.</w:t>
      </w:r>
    </w:p>
    <w:p>
      <w:pPr>
        <w:spacing w:after="0" w:line="200" w:lineRule="exact"/>
        <w:rPr>
          <w:sz w:val="20"/>
          <w:szCs w:val="20"/>
          <w:color w:val="auto"/>
        </w:rPr>
      </w:pPr>
    </w:p>
    <w:p>
      <w:pPr>
        <w:sectPr>
          <w:pgSz w:w="11900" w:h="16838" w:orient="portrait"/>
          <w:cols w:equalWidth="0" w:num="2">
            <w:col w:w="3040" w:space="720"/>
            <w:col w:w="7480"/>
          </w:cols>
          <w:pgMar w:left="320" w:top="132" w:right="339" w:bottom="1440" w:gutter="0" w:footer="0" w:header="0"/>
          <w:type w:val="continuous"/>
        </w:sectPr>
      </w:pPr>
    </w:p>
    <w:p>
      <w:pPr>
        <w:spacing w:after="0" w:line="312" w:lineRule="exact"/>
        <w:rPr>
          <w:sz w:val="20"/>
          <w:szCs w:val="20"/>
          <w:color w:val="auto"/>
        </w:rPr>
      </w:pPr>
    </w:p>
    <w:p>
      <w:pPr>
        <w:jc w:val="both"/>
        <w:spacing w:after="0" w:line="237" w:lineRule="auto"/>
        <w:rPr>
          <w:sz w:val="20"/>
          <w:szCs w:val="20"/>
          <w:color w:val="auto"/>
        </w:rPr>
      </w:pPr>
      <w:r>
        <w:rPr>
          <w:rFonts w:ascii="Verdana" w:cs="Verdana" w:eastAsia="Verdana" w:hAnsi="Verdana"/>
          <w:sz w:val="18"/>
          <w:szCs w:val="18"/>
          <w:color w:val="auto"/>
        </w:rPr>
        <w:t>Payment of the Final Award shall be made in NRG Energy, Inc. Common Stock and shall be made no earlier than January 2, 2029 and no later than March 15, 2029, but in no event later than two and a half months following the end of the calendar year in which the Final Award vested in compliance with the short-term deferral exception of IRC Section 409A.</w:t>
      </w:r>
    </w:p>
    <w:p>
      <w:pPr>
        <w:spacing w:after="0" w:line="194" w:lineRule="exact"/>
        <w:rPr>
          <w:sz w:val="20"/>
          <w:szCs w:val="20"/>
          <w:color w:val="auto"/>
        </w:rPr>
      </w:pPr>
    </w:p>
    <w:p>
      <w:pPr>
        <w:jc w:val="both"/>
        <w:spacing w:after="0" w:line="237" w:lineRule="auto"/>
        <w:rPr>
          <w:sz w:val="20"/>
          <w:szCs w:val="20"/>
          <w:color w:val="auto"/>
        </w:rPr>
      </w:pPr>
      <w:r>
        <w:rPr>
          <w:rFonts w:ascii="Verdana" w:cs="Verdana" w:eastAsia="Verdana" w:hAnsi="Verdana"/>
          <w:sz w:val="18"/>
          <w:szCs w:val="18"/>
          <w:color w:val="auto"/>
        </w:rPr>
        <w:t xml:space="preserve">Subject to </w:t>
      </w:r>
      <w:r>
        <w:rPr>
          <w:rFonts w:ascii="Verdana" w:cs="Verdana" w:eastAsia="Verdana" w:hAnsi="Verdana"/>
          <w:sz w:val="18"/>
          <w:szCs w:val="18"/>
          <w:u w:val="single" w:color="auto"/>
          <w:color w:val="auto"/>
        </w:rPr>
        <w:t>Section 8</w:t>
      </w:r>
      <w:r>
        <w:rPr>
          <w:rFonts w:ascii="Verdana" w:cs="Verdana" w:eastAsia="Verdana" w:hAnsi="Verdana"/>
          <w:sz w:val="18"/>
          <w:szCs w:val="18"/>
          <w:color w:val="auto"/>
        </w:rPr>
        <w:t xml:space="preserve"> of this Agreement, if your employment by, or service to, the Company, including any of its Subsidiaries, is terminated at any time during the Performance Period, any award or right granted hereunder shall expire and be forfeited, and no Final Award or dividend equivalent related thereto shall be paid.</w:t>
      </w:r>
    </w:p>
    <w:p>
      <w:pPr>
        <w:spacing w:after="0" w:line="194" w:lineRule="exact"/>
        <w:rPr>
          <w:sz w:val="20"/>
          <w:szCs w:val="20"/>
          <w:color w:val="auto"/>
        </w:rPr>
      </w:pPr>
    </w:p>
    <w:p>
      <w:pPr>
        <w:jc w:val="both"/>
        <w:spacing w:after="0" w:line="237" w:lineRule="auto"/>
        <w:rPr>
          <w:sz w:val="20"/>
          <w:szCs w:val="20"/>
          <w:color w:val="auto"/>
        </w:rPr>
      </w:pPr>
      <w:r>
        <w:rPr>
          <w:rFonts w:ascii="Verdana" w:cs="Verdana" w:eastAsia="Verdana" w:hAnsi="Verdana"/>
          <w:sz w:val="18"/>
          <w:szCs w:val="18"/>
          <w:b w:val="1"/>
          <w:bCs w:val="1"/>
          <w:color w:val="auto"/>
        </w:rPr>
        <w:t>If you disagree with any of the terms of this award, please contact Peter Johnson at 609-524-4759 prior to accepting this award. You must accept this Agreement and the terms of the Grant Notice and the Plan by January 31 of the year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Verdana" w:cs="Verdana" w:eastAsia="Verdana" w:hAnsi="Verdana"/>
          <w:sz w:val="16"/>
          <w:szCs w:val="16"/>
          <w:color w:val="auto"/>
        </w:rPr>
        <w:t>2026 Vivint RPSU Agreement (SVP_EVP)</w:t>
      </w:r>
    </w:p>
    <w:p>
      <w:pPr>
        <w:sectPr>
          <w:pgSz w:w="11900" w:h="16838" w:orient="portrait"/>
          <w:cols w:equalWidth="0" w:num="1">
            <w:col w:w="11240"/>
          </w:cols>
          <w:pgMar w:left="320" w:top="132" w:right="339" w:bottom="1440" w:gutter="0" w:footer="0" w:header="0"/>
          <w:type w:val="continuous"/>
        </w:sectPr>
      </w:pPr>
    </w:p>
    <w:bookmarkStart w:id="292" w:name="page293"/>
    <w:bookmarkEnd w:id="29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41" w:lineRule="auto"/>
        <w:rPr>
          <w:sz w:val="20"/>
          <w:szCs w:val="20"/>
          <w:color w:val="auto"/>
        </w:rPr>
      </w:pPr>
      <w:r>
        <w:rPr>
          <w:rFonts w:ascii="Verdana" w:cs="Verdana" w:eastAsia="Verdana" w:hAnsi="Verdana"/>
          <w:sz w:val="18"/>
          <w:szCs w:val="18"/>
          <w:b w:val="1"/>
          <w:bCs w:val="1"/>
          <w:color w:val="auto"/>
        </w:rPr>
        <w:t>Date of Grant through E*Trade or this Award will be cancelled unless the Company decides, in its sole discretion, to extend this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40" w:right="339" w:bottom="1440" w:gutter="0" w:footer="0" w:header="0"/>
        </w:sectPr>
      </w:pPr>
    </w:p>
    <w:bookmarkStart w:id="293" w:name="page294"/>
    <w:bookmarkEnd w:id="293"/>
    <w:p>
      <w:pPr>
        <w:ind w:right="60"/>
        <w:spacing w:after="0" w:line="242" w:lineRule="auto"/>
        <w:rPr>
          <w:sz w:val="20"/>
          <w:szCs w:val="20"/>
          <w:color w:val="auto"/>
        </w:rPr>
      </w:pPr>
      <w:r>
        <w:rPr>
          <w:rFonts w:ascii="Verdana" w:cs="Verdana" w:eastAsia="Verdana" w:hAnsi="Verdana"/>
          <w:sz w:val="28"/>
          <w:szCs w:val="28"/>
          <w:b w:val="1"/>
          <w:bCs w:val="1"/>
          <w:color w:val="auto"/>
        </w:rPr>
        <w:t>NRG ENERGY, INC. 2020 OMNIBUS INCENTIVE PLAN (LEGACY VIVINT) RELATIVE PERFORMANCE STOCK UNIT AGREEMENT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35" w:lineRule="auto"/>
        <w:rPr>
          <w:sz w:val="20"/>
          <w:szCs w:val="20"/>
          <w:color w:val="auto"/>
        </w:rPr>
      </w:pPr>
      <w:r>
        <w:rPr>
          <w:rFonts w:ascii="Verdana" w:cs="Verdana" w:eastAsia="Verdana" w:hAnsi="Verdana"/>
          <w:sz w:val="18"/>
          <w:szCs w:val="18"/>
          <w:color w:val="auto"/>
        </w:rPr>
        <w:t>This Relative Performance Stock Unit Agreement, dated as of the Date of Grant set forth in the Notice of Relative Performance Stock Units to which this Agreement is attached (the “</w:t>
      </w:r>
      <w:r>
        <w:rPr>
          <w:rFonts w:ascii="Verdana" w:cs="Verdana" w:eastAsia="Verdana" w:hAnsi="Verdana"/>
          <w:sz w:val="18"/>
          <w:szCs w:val="18"/>
          <w:u w:val="single" w:color="auto"/>
          <w:color w:val="auto"/>
        </w:rPr>
        <w:t>Grant Notice</w:t>
      </w:r>
      <w:r>
        <w:rPr>
          <w:rFonts w:ascii="Verdana" w:cs="Verdana" w:eastAsia="Verdana" w:hAnsi="Verdana"/>
          <w:sz w:val="18"/>
          <w:szCs w:val="18"/>
          <w:color w:val="auto"/>
        </w:rPr>
        <w:t>,” and together with this Relative Performance Stock Unit Agreement, the “</w:t>
      </w:r>
      <w:r>
        <w:rPr>
          <w:rFonts w:ascii="Verdana" w:cs="Verdana" w:eastAsia="Verdana" w:hAnsi="Verdana"/>
          <w:sz w:val="18"/>
          <w:szCs w:val="18"/>
          <w:u w:val="single" w:color="auto"/>
          <w:color w:val="auto"/>
        </w:rPr>
        <w:t>Agreement</w:t>
      </w:r>
      <w:r>
        <w:rPr>
          <w:rFonts w:ascii="Verdana" w:cs="Verdana" w:eastAsia="Verdana" w:hAnsi="Verdana"/>
          <w:sz w:val="18"/>
          <w:szCs w:val="18"/>
          <w:color w:val="auto"/>
        </w:rPr>
        <w:t>”), is made between NRG Energy, Inc. (the “</w:t>
      </w:r>
      <w:r>
        <w:rPr>
          <w:rFonts w:ascii="Verdana" w:cs="Verdana" w:eastAsia="Verdana" w:hAnsi="Verdana"/>
          <w:sz w:val="18"/>
          <w:szCs w:val="18"/>
          <w:u w:val="single" w:color="auto"/>
          <w:color w:val="auto"/>
        </w:rPr>
        <w:t>Company</w:t>
      </w:r>
      <w:r>
        <w:rPr>
          <w:rFonts w:ascii="Verdana" w:cs="Verdana" w:eastAsia="Verdana" w:hAnsi="Verdana"/>
          <w:sz w:val="18"/>
          <w:szCs w:val="18"/>
          <w:color w:val="auto"/>
        </w:rPr>
        <w:t>”) and the Participant, as set forth in the Grant Notice. The Grant Notice is included in, and made part of, this Agreement.</w:t>
      </w:r>
    </w:p>
    <w:p>
      <w:pPr>
        <w:spacing w:after="0" w:line="170" w:lineRule="exact"/>
        <w:rPr>
          <w:sz w:val="20"/>
          <w:szCs w:val="20"/>
          <w:color w:val="auto"/>
        </w:rPr>
      </w:pPr>
    </w:p>
    <w:p>
      <w:pPr>
        <w:ind w:left="620" w:hanging="615"/>
        <w:spacing w:after="0"/>
        <w:tabs>
          <w:tab w:leader="none" w:pos="620" w:val="left"/>
        </w:tabs>
        <w:numPr>
          <w:ilvl w:val="0"/>
          <w:numId w:val="273"/>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Performance Criteria and Award Determination</w:t>
      </w:r>
    </w:p>
    <w:p>
      <w:pPr>
        <w:spacing w:after="0" w:line="175" w:lineRule="exact"/>
        <w:rPr>
          <w:rFonts w:ascii="Verdana" w:cs="Verdana" w:eastAsia="Verdana" w:hAnsi="Verdana"/>
          <w:sz w:val="18"/>
          <w:szCs w:val="18"/>
          <w:b w:val="1"/>
          <w:bCs w:val="1"/>
          <w:color w:val="010000"/>
        </w:rPr>
      </w:pPr>
    </w:p>
    <w:p>
      <w:pPr>
        <w:ind w:left="1260" w:hanging="623"/>
        <w:spacing w:after="0"/>
        <w:tabs>
          <w:tab w:leader="none" w:pos="1260" w:val="left"/>
        </w:tabs>
        <w:numPr>
          <w:ilvl w:val="1"/>
          <w:numId w:val="273"/>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General - Award Determination</w:t>
      </w:r>
    </w:p>
    <w:p>
      <w:pPr>
        <w:spacing w:after="0" w:line="189" w:lineRule="exact"/>
        <w:rPr>
          <w:sz w:val="20"/>
          <w:szCs w:val="20"/>
          <w:color w:val="auto"/>
        </w:rPr>
      </w:pPr>
    </w:p>
    <w:p>
      <w:pPr>
        <w:jc w:val="both"/>
        <w:ind w:left="640"/>
        <w:spacing w:after="0" w:line="235" w:lineRule="auto"/>
        <w:rPr>
          <w:sz w:val="20"/>
          <w:szCs w:val="20"/>
          <w:color w:val="auto"/>
        </w:rPr>
      </w:pPr>
      <w:r>
        <w:rPr>
          <w:rFonts w:ascii="Verdana" w:cs="Verdana" w:eastAsia="Verdana" w:hAnsi="Verdana"/>
          <w:sz w:val="18"/>
          <w:szCs w:val="18"/>
          <w:color w:val="auto"/>
        </w:rPr>
        <w:t>Subject to the provisions of this Agreement and the provisions of the NRG Energy, Inc. 2020 Omnibus Incentive Plan (Legacy Vivint), as amended from time to time (the “</w:t>
      </w:r>
      <w:r>
        <w:rPr>
          <w:rFonts w:ascii="Verdana" w:cs="Verdana" w:eastAsia="Verdana" w:hAnsi="Verdana"/>
          <w:sz w:val="18"/>
          <w:szCs w:val="18"/>
          <w:u w:val="single" w:color="auto"/>
          <w:color w:val="auto"/>
        </w:rPr>
        <w:t>Plan</w:t>
      </w:r>
      <w:r>
        <w:rPr>
          <w:rFonts w:ascii="Verdana" w:cs="Verdana" w:eastAsia="Verdana" w:hAnsi="Verdana"/>
          <w:sz w:val="18"/>
          <w:szCs w:val="18"/>
          <w:color w:val="auto"/>
        </w:rPr>
        <w:t>”), the Company hereby grants to the Participant the number of Relative Performance Stock Units (“</w:t>
      </w:r>
      <w:r>
        <w:rPr>
          <w:rFonts w:ascii="Verdana" w:cs="Verdana" w:eastAsia="Verdana" w:hAnsi="Verdana"/>
          <w:sz w:val="18"/>
          <w:szCs w:val="18"/>
          <w:u w:val="single" w:color="auto"/>
          <w:color w:val="auto"/>
        </w:rPr>
        <w:t>RPSUs</w:t>
      </w:r>
      <w:r>
        <w:rPr>
          <w:rFonts w:ascii="Verdana" w:cs="Verdana" w:eastAsia="Verdana" w:hAnsi="Verdana"/>
          <w:sz w:val="18"/>
          <w:szCs w:val="18"/>
          <w:color w:val="auto"/>
        </w:rPr>
        <w:t>”), set forth in the Grant Notice (“</w:t>
      </w:r>
      <w:r>
        <w:rPr>
          <w:rFonts w:ascii="Verdana" w:cs="Verdana" w:eastAsia="Verdana" w:hAnsi="Verdana"/>
          <w:sz w:val="18"/>
          <w:szCs w:val="18"/>
          <w:u w:val="single" w:color="auto"/>
          <w:color w:val="auto"/>
        </w:rPr>
        <w:t>Target Award</w:t>
      </w:r>
      <w:r>
        <w:rPr>
          <w:rFonts w:ascii="Verdana" w:cs="Verdana" w:eastAsia="Verdana" w:hAnsi="Verdana"/>
          <w:sz w:val="18"/>
          <w:szCs w:val="18"/>
          <w:color w:val="auto"/>
        </w:rPr>
        <w:t>”), each of which will have a value equivalent to one (1) share of the Company’s Common Stock.</w:t>
      </w:r>
    </w:p>
    <w:p>
      <w:pPr>
        <w:spacing w:after="0" w:line="196" w:lineRule="exact"/>
        <w:rPr>
          <w:sz w:val="20"/>
          <w:szCs w:val="20"/>
          <w:color w:val="auto"/>
        </w:rPr>
      </w:pPr>
    </w:p>
    <w:p>
      <w:pPr>
        <w:jc w:val="both"/>
        <w:ind w:left="640"/>
        <w:spacing w:after="0" w:line="234" w:lineRule="auto"/>
        <w:rPr>
          <w:sz w:val="20"/>
          <w:szCs w:val="20"/>
          <w:color w:val="auto"/>
        </w:rPr>
      </w:pPr>
      <w:r>
        <w:rPr>
          <w:rFonts w:ascii="Verdana" w:cs="Verdana" w:eastAsia="Verdana" w:hAnsi="Verdana"/>
          <w:sz w:val="18"/>
          <w:szCs w:val="18"/>
          <w:color w:val="auto"/>
        </w:rPr>
        <w:t>At the end of the Performance Period, the Participant shall be entitled to receive a payment, payable in shares of the Company’s Common Stock, equal to the Target Award times a “Payout Percentage” (the “</w:t>
      </w:r>
      <w:r>
        <w:rPr>
          <w:rFonts w:ascii="Verdana" w:cs="Verdana" w:eastAsia="Verdana" w:hAnsi="Verdana"/>
          <w:sz w:val="18"/>
          <w:szCs w:val="18"/>
          <w:u w:val="single" w:color="auto"/>
          <w:color w:val="auto"/>
        </w:rPr>
        <w:t>Final Award</w:t>
      </w:r>
      <w:r>
        <w:rPr>
          <w:rFonts w:ascii="Verdana" w:cs="Verdana" w:eastAsia="Verdana" w:hAnsi="Verdana"/>
          <w:sz w:val="18"/>
          <w:szCs w:val="18"/>
          <w:color w:val="auto"/>
        </w:rPr>
        <w:t xml:space="preserve">”). The “Payout Percentage” is based on the achievement of the performance criteria set forth in </w:t>
      </w:r>
      <w:r>
        <w:rPr>
          <w:rFonts w:ascii="Verdana" w:cs="Verdana" w:eastAsia="Verdana" w:hAnsi="Verdana"/>
          <w:sz w:val="18"/>
          <w:szCs w:val="18"/>
          <w:u w:val="single" w:color="auto"/>
          <w:color w:val="auto"/>
        </w:rPr>
        <w:t>Section 1(b)</w:t>
      </w:r>
      <w:r>
        <w:rPr>
          <w:rFonts w:ascii="Verdana" w:cs="Verdana" w:eastAsia="Verdana" w:hAnsi="Verdana"/>
          <w:sz w:val="18"/>
          <w:szCs w:val="18"/>
          <w:color w:val="auto"/>
        </w:rPr>
        <w:t xml:space="preserve"> of this Agreement, as determined and certified in writing by the Compensation Committee of the Company’s Board of Directors (the “</w:t>
      </w:r>
      <w:r>
        <w:rPr>
          <w:rFonts w:ascii="Verdana" w:cs="Verdana" w:eastAsia="Verdana" w:hAnsi="Verdana"/>
          <w:sz w:val="18"/>
          <w:szCs w:val="18"/>
          <w:u w:val="single" w:color="auto"/>
          <w:color w:val="auto"/>
        </w:rPr>
        <w:t>Committee</w:t>
      </w:r>
      <w:r>
        <w:rPr>
          <w:rFonts w:ascii="Verdana" w:cs="Verdana" w:eastAsia="Verdana" w:hAnsi="Verdana"/>
          <w:sz w:val="18"/>
          <w:szCs w:val="18"/>
          <w:color w:val="auto"/>
        </w:rPr>
        <w:t>”).</w:t>
      </w:r>
    </w:p>
    <w:p>
      <w:pPr>
        <w:spacing w:after="0" w:line="170" w:lineRule="exact"/>
        <w:rPr>
          <w:sz w:val="20"/>
          <w:szCs w:val="20"/>
          <w:color w:val="auto"/>
        </w:rPr>
      </w:pPr>
    </w:p>
    <w:p>
      <w:pPr>
        <w:ind w:left="1260" w:hanging="623"/>
        <w:spacing w:after="0"/>
        <w:tabs>
          <w:tab w:leader="none" w:pos="1260" w:val="left"/>
        </w:tabs>
        <w:numPr>
          <w:ilvl w:val="0"/>
          <w:numId w:val="274"/>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Performance Criteria and Relative TSR Comparison</w:t>
      </w:r>
    </w:p>
    <w:p>
      <w:pPr>
        <w:spacing w:after="0" w:line="189" w:lineRule="exact"/>
        <w:rPr>
          <w:sz w:val="20"/>
          <w:szCs w:val="20"/>
          <w:color w:val="auto"/>
        </w:rPr>
      </w:pPr>
    </w:p>
    <w:p>
      <w:pPr>
        <w:jc w:val="both"/>
        <w:ind w:left="640"/>
        <w:spacing w:after="0" w:line="235" w:lineRule="auto"/>
        <w:rPr>
          <w:sz w:val="20"/>
          <w:szCs w:val="20"/>
          <w:color w:val="auto"/>
        </w:rPr>
      </w:pPr>
      <w:r>
        <w:rPr>
          <w:rFonts w:ascii="Verdana" w:cs="Verdana" w:eastAsia="Verdana" w:hAnsi="Verdana"/>
          <w:sz w:val="18"/>
          <w:szCs w:val="18"/>
          <w:color w:val="auto"/>
        </w:rPr>
        <w:t xml:space="preserve">Except as provided in </w:t>
      </w:r>
      <w:r>
        <w:rPr>
          <w:rFonts w:ascii="Verdana" w:cs="Verdana" w:eastAsia="Verdana" w:hAnsi="Verdana"/>
          <w:sz w:val="18"/>
          <w:szCs w:val="18"/>
          <w:u w:val="single" w:color="auto"/>
          <w:color w:val="auto"/>
        </w:rPr>
        <w:t>Section 8</w:t>
      </w:r>
      <w:r>
        <w:rPr>
          <w:rFonts w:ascii="Verdana" w:cs="Verdana" w:eastAsia="Verdana" w:hAnsi="Verdana"/>
          <w:sz w:val="18"/>
          <w:szCs w:val="18"/>
          <w:color w:val="auto"/>
        </w:rPr>
        <w:t xml:space="preserve"> of this Agreement, a “Payout Percentage” is used to determine the Final Award under this Agreement. Subject to </w:t>
      </w:r>
      <w:r>
        <w:rPr>
          <w:rFonts w:ascii="Verdana" w:cs="Verdana" w:eastAsia="Verdana" w:hAnsi="Verdana"/>
          <w:sz w:val="18"/>
          <w:szCs w:val="18"/>
          <w:u w:val="single" w:color="auto"/>
          <w:color w:val="auto"/>
        </w:rPr>
        <w:t>Section 1(c)</w:t>
      </w:r>
      <w:r>
        <w:rPr>
          <w:rFonts w:ascii="Verdana" w:cs="Verdana" w:eastAsia="Verdana" w:hAnsi="Verdana"/>
          <w:sz w:val="18"/>
          <w:szCs w:val="18"/>
          <w:color w:val="auto"/>
        </w:rPr>
        <w:t xml:space="preserve"> of this Agreement, the “</w:t>
      </w:r>
      <w:r>
        <w:rPr>
          <w:rFonts w:ascii="Verdana" w:cs="Verdana" w:eastAsia="Verdana" w:hAnsi="Verdana"/>
          <w:sz w:val="18"/>
          <w:szCs w:val="18"/>
          <w:u w:val="single" w:color="auto"/>
          <w:color w:val="auto"/>
        </w:rPr>
        <w:t>Payout Percentage</w:t>
      </w:r>
      <w:r>
        <w:rPr>
          <w:rFonts w:ascii="Verdana" w:cs="Verdana" w:eastAsia="Verdana" w:hAnsi="Verdana"/>
          <w:sz w:val="18"/>
          <w:szCs w:val="18"/>
          <w:color w:val="auto"/>
        </w:rPr>
        <w:t>” shall be based upon the Company’s total shareholder return (“</w:t>
      </w:r>
      <w:r>
        <w:rPr>
          <w:rFonts w:ascii="Verdana" w:cs="Verdana" w:eastAsia="Verdana" w:hAnsi="Verdana"/>
          <w:sz w:val="18"/>
          <w:szCs w:val="18"/>
          <w:u w:val="single" w:color="auto"/>
          <w:color w:val="auto"/>
        </w:rPr>
        <w:t>TSR</w:t>
      </w:r>
      <w:r>
        <w:rPr>
          <w:rFonts w:ascii="Verdana" w:cs="Verdana" w:eastAsia="Verdana" w:hAnsi="Verdana"/>
          <w:sz w:val="18"/>
          <w:szCs w:val="18"/>
          <w:color w:val="auto"/>
        </w:rPr>
        <w:t xml:space="preserve">”) percentile ranking, as determined pursuant to </w:t>
      </w:r>
      <w:r>
        <w:rPr>
          <w:rFonts w:ascii="Verdana" w:cs="Verdana" w:eastAsia="Verdana" w:hAnsi="Verdana"/>
          <w:sz w:val="18"/>
          <w:szCs w:val="18"/>
          <w:u w:val="single" w:color="auto"/>
          <w:color w:val="auto"/>
        </w:rPr>
        <w:t>Section 2</w:t>
      </w:r>
      <w:r>
        <w:rPr>
          <w:rFonts w:ascii="Verdana" w:cs="Verdana" w:eastAsia="Verdana" w:hAnsi="Verdana"/>
          <w:sz w:val="18"/>
          <w:szCs w:val="18"/>
          <w:color w:val="auto"/>
        </w:rPr>
        <w:t xml:space="preserve"> of this Agreement, and the Company’s TSR percentile ranking relative to “Chart A” below.</w:t>
      </w:r>
    </w:p>
    <w:p>
      <w:pPr>
        <w:spacing w:after="0" w:line="200" w:lineRule="exact"/>
        <w:rPr>
          <w:sz w:val="20"/>
          <w:szCs w:val="20"/>
          <w:color w:val="auto"/>
        </w:rPr>
      </w:pPr>
    </w:p>
    <w:p>
      <w:pPr>
        <w:spacing w:after="0" w:line="244" w:lineRule="exact"/>
        <w:rPr>
          <w:sz w:val="20"/>
          <w:szCs w:val="20"/>
          <w:color w:val="auto"/>
        </w:rPr>
      </w:pPr>
    </w:p>
    <w:tbl>
      <w:tblPr>
        <w:tblLayout w:type="fixed"/>
        <w:tblInd w:w="1270" w:type="dxa"/>
        <w:tblCellMar>
          <w:top w:w="0" w:type="dxa"/>
          <w:left w:w="0" w:type="dxa"/>
          <w:bottom w:w="0" w:type="dxa"/>
          <w:right w:w="0" w:type="dxa"/>
        </w:tblCellMar>
      </w:tblPr>
      <w:tr>
        <w:trPr>
          <w:trHeight w:val="296"/>
        </w:trPr>
        <w:tc>
          <w:tcPr>
            <w:tcW w:w="3260" w:type="dxa"/>
            <w:vAlign w:val="bottom"/>
            <w:tcBorders>
              <w:top w:val="single" w:sz="8" w:color="auto"/>
              <w:left w:val="single" w:sz="8" w:color="auto"/>
              <w:bottom w:val="single" w:sz="8" w:color="auto"/>
            </w:tcBorders>
          </w:tcPr>
          <w:p>
            <w:pPr>
              <w:spacing w:after="0"/>
              <w:rPr>
                <w:sz w:val="24"/>
                <w:szCs w:val="24"/>
                <w:color w:val="auto"/>
              </w:rPr>
            </w:pPr>
          </w:p>
        </w:tc>
        <w:tc>
          <w:tcPr>
            <w:tcW w:w="4540" w:type="dxa"/>
            <w:vAlign w:val="bottom"/>
            <w:tcBorders>
              <w:top w:val="single" w:sz="8" w:color="auto"/>
              <w:bottom w:val="single" w:sz="8" w:color="auto"/>
              <w:right w:val="single" w:sz="8" w:color="auto"/>
            </w:tcBorders>
            <w:gridSpan w:val="2"/>
          </w:tcPr>
          <w:p>
            <w:pPr>
              <w:ind w:left="260"/>
              <w:spacing w:after="0"/>
              <w:rPr>
                <w:sz w:val="20"/>
                <w:szCs w:val="20"/>
                <w:color w:val="auto"/>
              </w:rPr>
            </w:pPr>
            <w:r>
              <w:rPr>
                <w:rFonts w:ascii="Verdana" w:cs="Verdana" w:eastAsia="Verdana" w:hAnsi="Verdana"/>
                <w:sz w:val="18"/>
                <w:szCs w:val="18"/>
                <w:b w:val="1"/>
                <w:bCs w:val="1"/>
                <w:color w:val="auto"/>
              </w:rPr>
              <w:t>Chart A</w:t>
            </w:r>
          </w:p>
        </w:tc>
        <w:tc>
          <w:tcPr>
            <w:tcW w:w="0" w:type="dxa"/>
            <w:vAlign w:val="bottom"/>
          </w:tcPr>
          <w:p>
            <w:pPr>
              <w:spacing w:after="0"/>
              <w:rPr>
                <w:sz w:val="1"/>
                <w:szCs w:val="1"/>
                <w:color w:val="auto"/>
              </w:rPr>
            </w:pPr>
          </w:p>
        </w:tc>
      </w:tr>
      <w:tr>
        <w:trPr>
          <w:trHeight w:val="224"/>
        </w:trPr>
        <w:tc>
          <w:tcPr>
            <w:tcW w:w="3260" w:type="dxa"/>
            <w:vAlign w:val="bottom"/>
            <w:tcBorders>
              <w:left w:val="single" w:sz="8" w:color="auto"/>
            </w:tcBorders>
          </w:tcPr>
          <w:p>
            <w:pPr>
              <w:ind w:left="120"/>
              <w:spacing w:after="0"/>
              <w:rPr>
                <w:sz w:val="20"/>
                <w:szCs w:val="20"/>
                <w:color w:val="auto"/>
              </w:rPr>
            </w:pPr>
            <w:r>
              <w:rPr>
                <w:rFonts w:ascii="Verdana" w:cs="Verdana" w:eastAsia="Verdana" w:hAnsi="Verdana"/>
                <w:sz w:val="18"/>
                <w:szCs w:val="18"/>
                <w:b w:val="1"/>
                <w:bCs w:val="1"/>
                <w:color w:val="auto"/>
              </w:rPr>
              <w:t>TSR Performance Relative to</w:t>
            </w:r>
          </w:p>
        </w:tc>
        <w:tc>
          <w:tcPr>
            <w:tcW w:w="800" w:type="dxa"/>
            <w:vAlign w:val="bottom"/>
            <w:tcBorders>
              <w:right w:val="single" w:sz="8" w:color="auto"/>
            </w:tcBorders>
          </w:tcPr>
          <w:p>
            <w:pPr>
              <w:spacing w:after="0"/>
              <w:rPr>
                <w:sz w:val="19"/>
                <w:szCs w:val="19"/>
                <w:color w:val="auto"/>
              </w:rPr>
            </w:pPr>
          </w:p>
        </w:tc>
        <w:tc>
          <w:tcPr>
            <w:tcW w:w="3740" w:type="dxa"/>
            <w:vAlign w:val="bottom"/>
            <w:tcBorders>
              <w:right w:val="single" w:sz="8" w:color="auto"/>
            </w:tcBorders>
          </w:tcPr>
          <w:p>
            <w:pPr>
              <w:ind w:left="100"/>
              <w:spacing w:after="0"/>
              <w:rPr>
                <w:sz w:val="20"/>
                <w:szCs w:val="20"/>
                <w:color w:val="auto"/>
              </w:rPr>
            </w:pPr>
            <w:r>
              <w:rPr>
                <w:rFonts w:ascii="Verdana" w:cs="Verdana" w:eastAsia="Verdana" w:hAnsi="Verdana"/>
                <w:sz w:val="18"/>
                <w:szCs w:val="18"/>
                <w:b w:val="1"/>
                <w:bCs w:val="1"/>
                <w:color w:val="auto"/>
              </w:rPr>
              <w:t>Payout Percentage</w:t>
            </w:r>
          </w:p>
        </w:tc>
        <w:tc>
          <w:tcPr>
            <w:tcW w:w="0" w:type="dxa"/>
            <w:vAlign w:val="bottom"/>
          </w:tcPr>
          <w:p>
            <w:pPr>
              <w:spacing w:after="0"/>
              <w:rPr>
                <w:sz w:val="1"/>
                <w:szCs w:val="1"/>
                <w:color w:val="auto"/>
              </w:rPr>
            </w:pPr>
          </w:p>
        </w:tc>
      </w:tr>
      <w:tr>
        <w:trPr>
          <w:trHeight w:val="211"/>
        </w:trPr>
        <w:tc>
          <w:tcPr>
            <w:tcW w:w="3260" w:type="dxa"/>
            <w:vAlign w:val="bottom"/>
            <w:tcBorders>
              <w:left w:val="single" w:sz="8" w:color="auto"/>
            </w:tcBorders>
          </w:tcPr>
          <w:p>
            <w:pPr>
              <w:ind w:left="120"/>
              <w:spacing w:after="0" w:line="210" w:lineRule="exact"/>
              <w:rPr>
                <w:sz w:val="20"/>
                <w:szCs w:val="20"/>
                <w:color w:val="auto"/>
              </w:rPr>
            </w:pPr>
            <w:r>
              <w:rPr>
                <w:rFonts w:ascii="Verdana" w:cs="Verdana" w:eastAsia="Verdana" w:hAnsi="Verdana"/>
                <w:sz w:val="18"/>
                <w:szCs w:val="18"/>
                <w:b w:val="1"/>
                <w:bCs w:val="1"/>
                <w:color w:val="auto"/>
              </w:rPr>
              <w:t>Companies in the Peer Group</w:t>
            </w:r>
          </w:p>
        </w:tc>
        <w:tc>
          <w:tcPr>
            <w:tcW w:w="8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vMerge w:val="restart"/>
          </w:tcPr>
          <w:p>
            <w:pPr>
              <w:ind w:left="100"/>
              <w:spacing w:after="0"/>
              <w:rPr>
                <w:sz w:val="20"/>
                <w:szCs w:val="20"/>
                <w:color w:val="auto"/>
              </w:rPr>
            </w:pPr>
            <w:r>
              <w:rPr>
                <w:rFonts w:ascii="Verdana" w:cs="Verdana" w:eastAsia="Verdana" w:hAnsi="Verdana"/>
                <w:sz w:val="18"/>
                <w:szCs w:val="18"/>
                <w:b w:val="1"/>
                <w:bCs w:val="1"/>
                <w:color w:val="auto"/>
              </w:rPr>
              <w:t>(% of Target)</w:t>
            </w:r>
          </w:p>
        </w:tc>
        <w:tc>
          <w:tcPr>
            <w:tcW w:w="0" w:type="dxa"/>
            <w:vAlign w:val="bottom"/>
          </w:tcPr>
          <w:p>
            <w:pPr>
              <w:spacing w:after="0"/>
              <w:rPr>
                <w:sz w:val="1"/>
                <w:szCs w:val="1"/>
                <w:color w:val="auto"/>
              </w:rPr>
            </w:pPr>
          </w:p>
        </w:tc>
      </w:tr>
      <w:tr>
        <w:trPr>
          <w:trHeight w:val="59"/>
        </w:trPr>
        <w:tc>
          <w:tcPr>
            <w:tcW w:w="3260" w:type="dxa"/>
            <w:vAlign w:val="bottom"/>
            <w:tcBorders>
              <w:left w:val="single" w:sz="8" w:color="auto"/>
              <w:bottom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374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260" w:type="dxa"/>
            <w:vAlign w:val="bottom"/>
            <w:tcBorders>
              <w:left w:val="single" w:sz="8" w:color="auto"/>
              <w:bottom w:val="single" w:sz="8" w:color="auto"/>
            </w:tcBorders>
          </w:tcPr>
          <w:p>
            <w:pPr>
              <w:ind w:left="120"/>
              <w:spacing w:after="0"/>
              <w:rPr>
                <w:sz w:val="20"/>
                <w:szCs w:val="20"/>
                <w:color w:val="auto"/>
              </w:rPr>
            </w:pPr>
            <w:r>
              <w:rPr>
                <w:rFonts w:ascii="Verdana" w:cs="Verdana" w:eastAsia="Verdana" w:hAnsi="Verdana"/>
                <w:sz w:val="18"/>
                <w:szCs w:val="18"/>
                <w:b w:val="1"/>
                <w:bCs w:val="1"/>
                <w:color w:val="auto"/>
              </w:rPr>
              <w:t>75th Percentile or Above</w:t>
            </w:r>
          </w:p>
        </w:tc>
        <w:tc>
          <w:tcPr>
            <w:tcW w:w="800" w:type="dxa"/>
            <w:vAlign w:val="bottom"/>
            <w:tcBorders>
              <w:bottom w:val="single" w:sz="8" w:color="auto"/>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ind w:left="100"/>
              <w:spacing w:after="0"/>
              <w:rPr>
                <w:sz w:val="20"/>
                <w:szCs w:val="20"/>
                <w:color w:val="auto"/>
              </w:rPr>
            </w:pPr>
            <w:r>
              <w:rPr>
                <w:rFonts w:ascii="Verdana" w:cs="Verdana" w:eastAsia="Verdana" w:hAnsi="Verdana"/>
                <w:sz w:val="18"/>
                <w:szCs w:val="18"/>
                <w:b w:val="1"/>
                <w:bCs w:val="1"/>
                <w:color w:val="auto"/>
              </w:rPr>
              <w:t>200%</w:t>
            </w:r>
          </w:p>
        </w:tc>
        <w:tc>
          <w:tcPr>
            <w:tcW w:w="0" w:type="dxa"/>
            <w:vAlign w:val="bottom"/>
          </w:tcPr>
          <w:p>
            <w:pPr>
              <w:spacing w:after="0"/>
              <w:rPr>
                <w:sz w:val="1"/>
                <w:szCs w:val="1"/>
                <w:color w:val="auto"/>
              </w:rPr>
            </w:pPr>
          </w:p>
        </w:tc>
      </w:tr>
      <w:tr>
        <w:trPr>
          <w:trHeight w:val="217"/>
        </w:trPr>
        <w:tc>
          <w:tcPr>
            <w:tcW w:w="3260" w:type="dxa"/>
            <w:vAlign w:val="bottom"/>
            <w:tcBorders>
              <w:left w:val="single" w:sz="8" w:color="auto"/>
              <w:bottom w:val="single" w:sz="8" w:color="auto"/>
            </w:tcBorders>
          </w:tcPr>
          <w:p>
            <w:pPr>
              <w:ind w:left="120"/>
              <w:spacing w:after="0" w:line="217" w:lineRule="exact"/>
              <w:rPr>
                <w:sz w:val="20"/>
                <w:szCs w:val="20"/>
                <w:color w:val="auto"/>
              </w:rPr>
            </w:pPr>
            <w:r>
              <w:rPr>
                <w:rFonts w:ascii="Verdana" w:cs="Verdana" w:eastAsia="Verdana" w:hAnsi="Verdana"/>
                <w:sz w:val="18"/>
                <w:szCs w:val="18"/>
                <w:b w:val="1"/>
                <w:bCs w:val="1"/>
                <w:color w:val="auto"/>
              </w:rPr>
              <w:t>55th Percentile - TARGET</w:t>
            </w:r>
          </w:p>
        </w:tc>
        <w:tc>
          <w:tcPr>
            <w:tcW w:w="80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ind w:left="100"/>
              <w:spacing w:after="0" w:line="217" w:lineRule="exact"/>
              <w:rPr>
                <w:sz w:val="20"/>
                <w:szCs w:val="20"/>
                <w:color w:val="auto"/>
              </w:rPr>
            </w:pPr>
            <w:r>
              <w:rPr>
                <w:rFonts w:ascii="Verdana" w:cs="Verdana" w:eastAsia="Verdana" w:hAnsi="Verdana"/>
                <w:sz w:val="18"/>
                <w:szCs w:val="18"/>
                <w:b w:val="1"/>
                <w:bCs w:val="1"/>
                <w:color w:val="auto"/>
              </w:rPr>
              <w:t>100%</w:t>
            </w:r>
          </w:p>
        </w:tc>
        <w:tc>
          <w:tcPr>
            <w:tcW w:w="0" w:type="dxa"/>
            <w:vAlign w:val="bottom"/>
          </w:tcPr>
          <w:p>
            <w:pPr>
              <w:spacing w:after="0"/>
              <w:rPr>
                <w:sz w:val="1"/>
                <w:szCs w:val="1"/>
                <w:color w:val="auto"/>
              </w:rPr>
            </w:pPr>
          </w:p>
        </w:tc>
      </w:tr>
      <w:tr>
        <w:trPr>
          <w:trHeight w:val="217"/>
        </w:trPr>
        <w:tc>
          <w:tcPr>
            <w:tcW w:w="3260" w:type="dxa"/>
            <w:vAlign w:val="bottom"/>
            <w:tcBorders>
              <w:left w:val="single" w:sz="8" w:color="auto"/>
              <w:bottom w:val="single" w:sz="8" w:color="auto"/>
            </w:tcBorders>
          </w:tcPr>
          <w:p>
            <w:pPr>
              <w:ind w:left="120"/>
              <w:spacing w:after="0" w:line="217" w:lineRule="exact"/>
              <w:rPr>
                <w:sz w:val="20"/>
                <w:szCs w:val="20"/>
                <w:color w:val="auto"/>
              </w:rPr>
            </w:pPr>
            <w:r>
              <w:rPr>
                <w:rFonts w:ascii="Verdana" w:cs="Verdana" w:eastAsia="Verdana" w:hAnsi="Verdana"/>
                <w:sz w:val="18"/>
                <w:szCs w:val="18"/>
                <w:b w:val="1"/>
                <w:bCs w:val="1"/>
                <w:color w:val="auto"/>
              </w:rPr>
              <w:t>25th Percentile</w:t>
            </w:r>
          </w:p>
        </w:tc>
        <w:tc>
          <w:tcPr>
            <w:tcW w:w="80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ind w:left="100"/>
              <w:spacing w:after="0" w:line="217" w:lineRule="exact"/>
              <w:rPr>
                <w:sz w:val="20"/>
                <w:szCs w:val="20"/>
                <w:color w:val="auto"/>
              </w:rPr>
            </w:pPr>
            <w:r>
              <w:rPr>
                <w:rFonts w:ascii="Verdana" w:cs="Verdana" w:eastAsia="Verdana" w:hAnsi="Verdana"/>
                <w:sz w:val="18"/>
                <w:szCs w:val="18"/>
                <w:b w:val="1"/>
                <w:bCs w:val="1"/>
                <w:color w:val="auto"/>
              </w:rPr>
              <w:t>25%</w:t>
            </w:r>
          </w:p>
        </w:tc>
        <w:tc>
          <w:tcPr>
            <w:tcW w:w="0" w:type="dxa"/>
            <w:vAlign w:val="bottom"/>
          </w:tcPr>
          <w:p>
            <w:pPr>
              <w:spacing w:after="0"/>
              <w:rPr>
                <w:sz w:val="1"/>
                <w:szCs w:val="1"/>
                <w:color w:val="auto"/>
              </w:rPr>
            </w:pPr>
          </w:p>
        </w:tc>
      </w:tr>
      <w:tr>
        <w:trPr>
          <w:trHeight w:val="217"/>
        </w:trPr>
        <w:tc>
          <w:tcPr>
            <w:tcW w:w="3260" w:type="dxa"/>
            <w:vAlign w:val="bottom"/>
            <w:tcBorders>
              <w:left w:val="single" w:sz="8" w:color="auto"/>
              <w:bottom w:val="single" w:sz="8" w:color="auto"/>
            </w:tcBorders>
          </w:tcPr>
          <w:p>
            <w:pPr>
              <w:ind w:left="120"/>
              <w:spacing w:after="0" w:line="217" w:lineRule="exact"/>
              <w:rPr>
                <w:sz w:val="20"/>
                <w:szCs w:val="20"/>
                <w:color w:val="auto"/>
              </w:rPr>
            </w:pPr>
            <w:r>
              <w:rPr>
                <w:rFonts w:ascii="Verdana" w:cs="Verdana" w:eastAsia="Verdana" w:hAnsi="Verdana"/>
                <w:sz w:val="18"/>
                <w:szCs w:val="18"/>
                <w:b w:val="1"/>
                <w:bCs w:val="1"/>
                <w:color w:val="auto"/>
              </w:rPr>
              <w:t>Below the 25th Percentile</w:t>
            </w:r>
          </w:p>
        </w:tc>
        <w:tc>
          <w:tcPr>
            <w:tcW w:w="80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ind w:left="100"/>
              <w:spacing w:after="0" w:line="217" w:lineRule="exact"/>
              <w:rPr>
                <w:sz w:val="20"/>
                <w:szCs w:val="20"/>
                <w:color w:val="auto"/>
              </w:rPr>
            </w:pPr>
            <w:r>
              <w:rPr>
                <w:rFonts w:ascii="Verdana" w:cs="Verdana" w:eastAsia="Verdana" w:hAnsi="Verdana"/>
                <w:sz w:val="18"/>
                <w:szCs w:val="18"/>
                <w:b w:val="1"/>
                <w:bCs w:val="1"/>
                <w:color w:val="auto"/>
              </w:rPr>
              <w:t>0%</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1260" w:hanging="623"/>
        <w:spacing w:after="0"/>
        <w:tabs>
          <w:tab w:leader="none" w:pos="1260" w:val="left"/>
        </w:tabs>
        <w:numPr>
          <w:ilvl w:val="0"/>
          <w:numId w:val="275"/>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Relative TSR Comparison if Absolute TSR of Company is Less Than Negative 15%</w:t>
      </w:r>
    </w:p>
    <w:p>
      <w:pPr>
        <w:spacing w:after="0" w:line="189" w:lineRule="exact"/>
        <w:rPr>
          <w:sz w:val="20"/>
          <w:szCs w:val="20"/>
          <w:color w:val="auto"/>
        </w:rPr>
      </w:pPr>
    </w:p>
    <w:p>
      <w:pPr>
        <w:ind w:left="640"/>
        <w:spacing w:after="0" w:line="241" w:lineRule="auto"/>
        <w:rPr>
          <w:sz w:val="20"/>
          <w:szCs w:val="20"/>
          <w:color w:val="auto"/>
        </w:rPr>
      </w:pPr>
      <w:r>
        <w:rPr>
          <w:rFonts w:ascii="Verdana" w:cs="Verdana" w:eastAsia="Verdana" w:hAnsi="Verdana"/>
          <w:sz w:val="18"/>
          <w:szCs w:val="18"/>
          <w:color w:val="auto"/>
        </w:rPr>
        <w:t>Notwithstanding the foregoing, if the Company’s absolute TSR for the Performance Period is less than negative fifteen percent (-15%), the Final Award will be based on “Chart B”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Verdana" w:cs="Verdana" w:eastAsia="Verdana" w:hAnsi="Verdana"/>
          <w:sz w:val="16"/>
          <w:szCs w:val="16"/>
          <w:color w:val="auto"/>
        </w:rPr>
        <w:t>2026 Vivint RPSU Agreement (SVP_EVP)</w:t>
      </w:r>
    </w:p>
    <w:p>
      <w:pPr>
        <w:sectPr>
          <w:pgSz w:w="11900" w:h="16838" w:orient="portrait"/>
          <w:cols w:equalWidth="0" w:num="1">
            <w:col w:w="11240"/>
          </w:cols>
          <w:pgMar w:left="320" w:top="132" w:right="339" w:bottom="1440" w:gutter="0" w:footer="0" w:header="0"/>
        </w:sectPr>
      </w:pPr>
    </w:p>
    <w:bookmarkStart w:id="294" w:name="page295"/>
    <w:bookmarkEnd w:id="2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1270" w:type="dxa"/>
        <w:tblCellMar>
          <w:top w:w="0" w:type="dxa"/>
          <w:left w:w="0" w:type="dxa"/>
          <w:bottom w:w="0" w:type="dxa"/>
          <w:right w:w="0" w:type="dxa"/>
        </w:tblCellMar>
      </w:tblPr>
      <w:tr>
        <w:trPr>
          <w:trHeight w:val="296"/>
        </w:trPr>
        <w:tc>
          <w:tcPr>
            <w:tcW w:w="3240" w:type="dxa"/>
            <w:vAlign w:val="bottom"/>
            <w:tcBorders>
              <w:top w:val="single" w:sz="8" w:color="auto"/>
              <w:left w:val="single" w:sz="8" w:color="auto"/>
              <w:bottom w:val="single" w:sz="8" w:color="auto"/>
            </w:tcBorders>
          </w:tcPr>
          <w:p>
            <w:pPr>
              <w:spacing w:after="0"/>
              <w:rPr>
                <w:sz w:val="24"/>
                <w:szCs w:val="24"/>
                <w:color w:val="auto"/>
              </w:rPr>
            </w:pPr>
          </w:p>
        </w:tc>
        <w:tc>
          <w:tcPr>
            <w:tcW w:w="4560" w:type="dxa"/>
            <w:vAlign w:val="bottom"/>
            <w:tcBorders>
              <w:top w:val="single" w:sz="8" w:color="auto"/>
              <w:bottom w:val="single" w:sz="8" w:color="auto"/>
              <w:right w:val="single" w:sz="8" w:color="auto"/>
            </w:tcBorders>
            <w:gridSpan w:val="2"/>
          </w:tcPr>
          <w:p>
            <w:pPr>
              <w:ind w:left="300"/>
              <w:spacing w:after="0"/>
              <w:rPr>
                <w:sz w:val="20"/>
                <w:szCs w:val="20"/>
                <w:color w:val="auto"/>
              </w:rPr>
            </w:pPr>
            <w:r>
              <w:rPr>
                <w:rFonts w:ascii="Verdana" w:cs="Verdana" w:eastAsia="Verdana" w:hAnsi="Verdana"/>
                <w:sz w:val="18"/>
                <w:szCs w:val="18"/>
                <w:b w:val="1"/>
                <w:bCs w:val="1"/>
                <w:color w:val="auto"/>
              </w:rPr>
              <w:t>Chart B</w:t>
            </w:r>
          </w:p>
        </w:tc>
        <w:tc>
          <w:tcPr>
            <w:tcW w:w="0" w:type="dxa"/>
            <w:vAlign w:val="bottom"/>
          </w:tcPr>
          <w:p>
            <w:pPr>
              <w:spacing w:after="0"/>
              <w:rPr>
                <w:sz w:val="1"/>
                <w:szCs w:val="1"/>
                <w:color w:val="auto"/>
              </w:rPr>
            </w:pPr>
          </w:p>
        </w:tc>
      </w:tr>
      <w:tr>
        <w:trPr>
          <w:trHeight w:val="224"/>
        </w:trPr>
        <w:tc>
          <w:tcPr>
            <w:tcW w:w="3240" w:type="dxa"/>
            <w:vAlign w:val="bottom"/>
            <w:tcBorders>
              <w:left w:val="single" w:sz="8" w:color="auto"/>
            </w:tcBorders>
          </w:tcPr>
          <w:p>
            <w:pPr>
              <w:ind w:left="120"/>
              <w:spacing w:after="0"/>
              <w:rPr>
                <w:sz w:val="20"/>
                <w:szCs w:val="20"/>
                <w:color w:val="auto"/>
              </w:rPr>
            </w:pPr>
            <w:r>
              <w:rPr>
                <w:rFonts w:ascii="Verdana" w:cs="Verdana" w:eastAsia="Verdana" w:hAnsi="Verdana"/>
                <w:sz w:val="18"/>
                <w:szCs w:val="18"/>
                <w:b w:val="1"/>
                <w:bCs w:val="1"/>
                <w:color w:val="auto"/>
              </w:rPr>
              <w:t>TSR Performance Relative to</w:t>
            </w:r>
          </w:p>
        </w:tc>
        <w:tc>
          <w:tcPr>
            <w:tcW w:w="820" w:type="dxa"/>
            <w:vAlign w:val="bottom"/>
            <w:tcBorders>
              <w:right w:val="single" w:sz="8" w:color="auto"/>
            </w:tcBorders>
          </w:tcPr>
          <w:p>
            <w:pPr>
              <w:spacing w:after="0"/>
              <w:rPr>
                <w:sz w:val="19"/>
                <w:szCs w:val="19"/>
                <w:color w:val="auto"/>
              </w:rPr>
            </w:pPr>
          </w:p>
        </w:tc>
        <w:tc>
          <w:tcPr>
            <w:tcW w:w="3740" w:type="dxa"/>
            <w:vAlign w:val="bottom"/>
            <w:tcBorders>
              <w:right w:val="single" w:sz="8" w:color="auto"/>
            </w:tcBorders>
          </w:tcPr>
          <w:p>
            <w:pPr>
              <w:ind w:left="100"/>
              <w:spacing w:after="0"/>
              <w:rPr>
                <w:sz w:val="20"/>
                <w:szCs w:val="20"/>
                <w:color w:val="auto"/>
              </w:rPr>
            </w:pPr>
            <w:r>
              <w:rPr>
                <w:rFonts w:ascii="Verdana" w:cs="Verdana" w:eastAsia="Verdana" w:hAnsi="Verdana"/>
                <w:sz w:val="18"/>
                <w:szCs w:val="18"/>
                <w:b w:val="1"/>
                <w:bCs w:val="1"/>
                <w:color w:val="auto"/>
              </w:rPr>
              <w:t>Payout Percentage</w:t>
            </w:r>
          </w:p>
        </w:tc>
        <w:tc>
          <w:tcPr>
            <w:tcW w:w="0" w:type="dxa"/>
            <w:vAlign w:val="bottom"/>
          </w:tcPr>
          <w:p>
            <w:pPr>
              <w:spacing w:after="0"/>
              <w:rPr>
                <w:sz w:val="1"/>
                <w:szCs w:val="1"/>
                <w:color w:val="auto"/>
              </w:rPr>
            </w:pPr>
          </w:p>
        </w:tc>
      </w:tr>
      <w:tr>
        <w:trPr>
          <w:trHeight w:val="228"/>
        </w:trPr>
        <w:tc>
          <w:tcPr>
            <w:tcW w:w="3240" w:type="dxa"/>
            <w:vAlign w:val="bottom"/>
            <w:tcBorders>
              <w:left w:val="single" w:sz="8" w:color="auto"/>
            </w:tcBorders>
          </w:tcPr>
          <w:p>
            <w:pPr>
              <w:ind w:left="120"/>
              <w:spacing w:after="0"/>
              <w:rPr>
                <w:sz w:val="20"/>
                <w:szCs w:val="20"/>
                <w:color w:val="auto"/>
              </w:rPr>
            </w:pPr>
            <w:r>
              <w:rPr>
                <w:rFonts w:ascii="Verdana" w:cs="Verdana" w:eastAsia="Verdana" w:hAnsi="Verdana"/>
                <w:sz w:val="18"/>
                <w:szCs w:val="18"/>
                <w:b w:val="1"/>
                <w:bCs w:val="1"/>
                <w:color w:val="auto"/>
              </w:rPr>
              <w:t>Companies in Peer Group</w:t>
            </w:r>
          </w:p>
        </w:tc>
        <w:tc>
          <w:tcPr>
            <w:tcW w:w="820" w:type="dxa"/>
            <w:vAlign w:val="bottom"/>
            <w:tcBorders>
              <w:right w:val="single" w:sz="8" w:color="auto"/>
            </w:tcBorders>
          </w:tcPr>
          <w:p>
            <w:pPr>
              <w:spacing w:after="0"/>
              <w:rPr>
                <w:sz w:val="19"/>
                <w:szCs w:val="19"/>
                <w:color w:val="auto"/>
              </w:rPr>
            </w:pPr>
          </w:p>
        </w:tc>
        <w:tc>
          <w:tcPr>
            <w:tcW w:w="3740" w:type="dxa"/>
            <w:vAlign w:val="bottom"/>
            <w:tcBorders>
              <w:right w:val="single" w:sz="8" w:color="auto"/>
            </w:tcBorders>
            <w:vMerge w:val="restart"/>
          </w:tcPr>
          <w:p>
            <w:pPr>
              <w:ind w:left="100"/>
              <w:spacing w:after="0"/>
              <w:rPr>
                <w:sz w:val="20"/>
                <w:szCs w:val="20"/>
                <w:color w:val="auto"/>
              </w:rPr>
            </w:pPr>
            <w:r>
              <w:rPr>
                <w:rFonts w:ascii="Verdana" w:cs="Verdana" w:eastAsia="Verdana" w:hAnsi="Verdana"/>
                <w:sz w:val="18"/>
                <w:szCs w:val="18"/>
                <w:b w:val="1"/>
                <w:bCs w:val="1"/>
                <w:color w:val="auto"/>
              </w:rPr>
              <w:t>(% of Target)</w:t>
            </w:r>
          </w:p>
        </w:tc>
        <w:tc>
          <w:tcPr>
            <w:tcW w:w="0" w:type="dxa"/>
            <w:vAlign w:val="bottom"/>
          </w:tcPr>
          <w:p>
            <w:pPr>
              <w:spacing w:after="0"/>
              <w:rPr>
                <w:sz w:val="1"/>
                <w:szCs w:val="1"/>
                <w:color w:val="auto"/>
              </w:rPr>
            </w:pPr>
          </w:p>
        </w:tc>
      </w:tr>
      <w:tr>
        <w:trPr>
          <w:trHeight w:val="68"/>
        </w:trPr>
        <w:tc>
          <w:tcPr>
            <w:tcW w:w="3240" w:type="dxa"/>
            <w:vAlign w:val="bottom"/>
            <w:tcBorders>
              <w:left w:val="single" w:sz="8" w:color="auto"/>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374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240" w:type="dxa"/>
            <w:vAlign w:val="bottom"/>
            <w:tcBorders>
              <w:left w:val="single" w:sz="8" w:color="auto"/>
              <w:bottom w:val="single" w:sz="8" w:color="auto"/>
            </w:tcBorders>
          </w:tcPr>
          <w:p>
            <w:pPr>
              <w:ind w:left="120"/>
              <w:spacing w:after="0"/>
              <w:rPr>
                <w:sz w:val="20"/>
                <w:szCs w:val="20"/>
                <w:color w:val="auto"/>
              </w:rPr>
            </w:pPr>
            <w:r>
              <w:rPr>
                <w:rFonts w:ascii="Verdana" w:cs="Verdana" w:eastAsia="Verdana" w:hAnsi="Verdana"/>
                <w:sz w:val="18"/>
                <w:szCs w:val="18"/>
                <w:b w:val="1"/>
                <w:bCs w:val="1"/>
                <w:color w:val="auto"/>
              </w:rPr>
              <w:t>75th Percentile or Above</w:t>
            </w:r>
          </w:p>
        </w:tc>
        <w:tc>
          <w:tcPr>
            <w:tcW w:w="820" w:type="dxa"/>
            <w:vAlign w:val="bottom"/>
            <w:tcBorders>
              <w:bottom w:val="single" w:sz="8" w:color="auto"/>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ind w:left="100"/>
              <w:spacing w:after="0"/>
              <w:rPr>
                <w:sz w:val="20"/>
                <w:szCs w:val="20"/>
                <w:color w:val="auto"/>
              </w:rPr>
            </w:pPr>
            <w:r>
              <w:rPr>
                <w:rFonts w:ascii="Verdana" w:cs="Verdana" w:eastAsia="Verdana" w:hAnsi="Verdana"/>
                <w:sz w:val="18"/>
                <w:szCs w:val="18"/>
                <w:b w:val="1"/>
                <w:bCs w:val="1"/>
                <w:color w:val="auto"/>
              </w:rPr>
              <w:t>200%</w:t>
            </w:r>
          </w:p>
        </w:tc>
        <w:tc>
          <w:tcPr>
            <w:tcW w:w="0" w:type="dxa"/>
            <w:vAlign w:val="bottom"/>
          </w:tcPr>
          <w:p>
            <w:pPr>
              <w:spacing w:after="0"/>
              <w:rPr>
                <w:sz w:val="1"/>
                <w:szCs w:val="1"/>
                <w:color w:val="auto"/>
              </w:rPr>
            </w:pPr>
          </w:p>
        </w:tc>
      </w:tr>
      <w:tr>
        <w:trPr>
          <w:trHeight w:val="217"/>
        </w:trPr>
        <w:tc>
          <w:tcPr>
            <w:tcW w:w="3240" w:type="dxa"/>
            <w:vAlign w:val="bottom"/>
            <w:tcBorders>
              <w:left w:val="single" w:sz="8" w:color="auto"/>
              <w:bottom w:val="single" w:sz="8" w:color="auto"/>
            </w:tcBorders>
          </w:tcPr>
          <w:p>
            <w:pPr>
              <w:ind w:left="120"/>
              <w:spacing w:after="0" w:line="217" w:lineRule="exact"/>
              <w:rPr>
                <w:sz w:val="20"/>
                <w:szCs w:val="20"/>
                <w:color w:val="auto"/>
              </w:rPr>
            </w:pPr>
            <w:r>
              <w:rPr>
                <w:rFonts w:ascii="Verdana" w:cs="Verdana" w:eastAsia="Verdana" w:hAnsi="Verdana"/>
                <w:sz w:val="18"/>
                <w:szCs w:val="18"/>
                <w:b w:val="1"/>
                <w:bCs w:val="1"/>
                <w:color w:val="auto"/>
              </w:rPr>
              <w:t>65th Percentile - TARGET</w:t>
            </w:r>
          </w:p>
        </w:tc>
        <w:tc>
          <w:tcPr>
            <w:tcW w:w="82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ind w:left="100"/>
              <w:spacing w:after="0" w:line="217" w:lineRule="exact"/>
              <w:rPr>
                <w:sz w:val="20"/>
                <w:szCs w:val="20"/>
                <w:color w:val="auto"/>
              </w:rPr>
            </w:pPr>
            <w:r>
              <w:rPr>
                <w:rFonts w:ascii="Verdana" w:cs="Verdana" w:eastAsia="Verdana" w:hAnsi="Verdana"/>
                <w:sz w:val="18"/>
                <w:szCs w:val="18"/>
                <w:b w:val="1"/>
                <w:bCs w:val="1"/>
                <w:color w:val="auto"/>
              </w:rPr>
              <w:t>100%</w:t>
            </w:r>
          </w:p>
        </w:tc>
        <w:tc>
          <w:tcPr>
            <w:tcW w:w="0" w:type="dxa"/>
            <w:vAlign w:val="bottom"/>
          </w:tcPr>
          <w:p>
            <w:pPr>
              <w:spacing w:after="0"/>
              <w:rPr>
                <w:sz w:val="1"/>
                <w:szCs w:val="1"/>
                <w:color w:val="auto"/>
              </w:rPr>
            </w:pPr>
          </w:p>
        </w:tc>
      </w:tr>
      <w:tr>
        <w:trPr>
          <w:trHeight w:val="217"/>
        </w:trPr>
        <w:tc>
          <w:tcPr>
            <w:tcW w:w="3240" w:type="dxa"/>
            <w:vAlign w:val="bottom"/>
            <w:tcBorders>
              <w:left w:val="single" w:sz="8" w:color="auto"/>
              <w:bottom w:val="single" w:sz="8" w:color="auto"/>
            </w:tcBorders>
          </w:tcPr>
          <w:p>
            <w:pPr>
              <w:ind w:left="120"/>
              <w:spacing w:after="0" w:line="217" w:lineRule="exact"/>
              <w:rPr>
                <w:sz w:val="20"/>
                <w:szCs w:val="20"/>
                <w:color w:val="auto"/>
              </w:rPr>
            </w:pPr>
            <w:r>
              <w:rPr>
                <w:rFonts w:ascii="Verdana" w:cs="Verdana" w:eastAsia="Verdana" w:hAnsi="Verdana"/>
                <w:sz w:val="18"/>
                <w:szCs w:val="18"/>
                <w:b w:val="1"/>
                <w:bCs w:val="1"/>
                <w:color w:val="auto"/>
              </w:rPr>
              <w:t>25th Percentile</w:t>
            </w:r>
          </w:p>
        </w:tc>
        <w:tc>
          <w:tcPr>
            <w:tcW w:w="82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ind w:left="100"/>
              <w:spacing w:after="0" w:line="217" w:lineRule="exact"/>
              <w:rPr>
                <w:sz w:val="20"/>
                <w:szCs w:val="20"/>
                <w:color w:val="auto"/>
              </w:rPr>
            </w:pPr>
            <w:r>
              <w:rPr>
                <w:rFonts w:ascii="Verdana" w:cs="Verdana" w:eastAsia="Verdana" w:hAnsi="Verdana"/>
                <w:sz w:val="18"/>
                <w:szCs w:val="18"/>
                <w:b w:val="1"/>
                <w:bCs w:val="1"/>
                <w:color w:val="auto"/>
              </w:rPr>
              <w:t>25%</w:t>
            </w:r>
          </w:p>
        </w:tc>
        <w:tc>
          <w:tcPr>
            <w:tcW w:w="0" w:type="dxa"/>
            <w:vAlign w:val="bottom"/>
          </w:tcPr>
          <w:p>
            <w:pPr>
              <w:spacing w:after="0"/>
              <w:rPr>
                <w:sz w:val="1"/>
                <w:szCs w:val="1"/>
                <w:color w:val="auto"/>
              </w:rPr>
            </w:pPr>
          </w:p>
        </w:tc>
      </w:tr>
      <w:tr>
        <w:trPr>
          <w:trHeight w:val="217"/>
        </w:trPr>
        <w:tc>
          <w:tcPr>
            <w:tcW w:w="3240" w:type="dxa"/>
            <w:vAlign w:val="bottom"/>
            <w:tcBorders>
              <w:left w:val="single" w:sz="8" w:color="auto"/>
              <w:bottom w:val="single" w:sz="8" w:color="auto"/>
            </w:tcBorders>
          </w:tcPr>
          <w:p>
            <w:pPr>
              <w:ind w:left="120"/>
              <w:spacing w:after="0" w:line="217" w:lineRule="exact"/>
              <w:rPr>
                <w:sz w:val="20"/>
                <w:szCs w:val="20"/>
                <w:color w:val="auto"/>
              </w:rPr>
            </w:pPr>
            <w:r>
              <w:rPr>
                <w:rFonts w:ascii="Verdana" w:cs="Verdana" w:eastAsia="Verdana" w:hAnsi="Verdana"/>
                <w:sz w:val="18"/>
                <w:szCs w:val="18"/>
                <w:b w:val="1"/>
                <w:bCs w:val="1"/>
                <w:color w:val="auto"/>
              </w:rPr>
              <w:t>Below the 25th Percentile</w:t>
            </w:r>
          </w:p>
        </w:tc>
        <w:tc>
          <w:tcPr>
            <w:tcW w:w="82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ind w:left="100"/>
              <w:spacing w:after="0" w:line="217" w:lineRule="exact"/>
              <w:rPr>
                <w:sz w:val="20"/>
                <w:szCs w:val="20"/>
                <w:color w:val="auto"/>
              </w:rPr>
            </w:pPr>
            <w:r>
              <w:rPr>
                <w:rFonts w:ascii="Verdana" w:cs="Verdana" w:eastAsia="Verdana" w:hAnsi="Verdana"/>
                <w:sz w:val="18"/>
                <w:szCs w:val="18"/>
                <w:b w:val="1"/>
                <w:bCs w:val="1"/>
                <w:color w:val="auto"/>
              </w:rPr>
              <w:t>0%</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620" w:hanging="615"/>
        <w:spacing w:after="0"/>
        <w:tabs>
          <w:tab w:leader="none" w:pos="620" w:val="left"/>
        </w:tabs>
        <w:numPr>
          <w:ilvl w:val="0"/>
          <w:numId w:val="276"/>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Measuring Performance and Relative TSR Ranking</w:t>
      </w:r>
    </w:p>
    <w:p>
      <w:pPr>
        <w:spacing w:after="0" w:line="162" w:lineRule="exact"/>
        <w:rPr>
          <w:rFonts w:ascii="Verdana" w:cs="Verdana" w:eastAsia="Verdana" w:hAnsi="Verdana"/>
          <w:sz w:val="18"/>
          <w:szCs w:val="18"/>
          <w:b w:val="1"/>
          <w:bCs w:val="1"/>
          <w:color w:val="010000"/>
        </w:rPr>
      </w:pPr>
    </w:p>
    <w:p>
      <w:pPr>
        <w:ind w:left="1260" w:hanging="623"/>
        <w:spacing w:after="0"/>
        <w:tabs>
          <w:tab w:leader="none" w:pos="1260" w:val="left"/>
        </w:tabs>
        <w:numPr>
          <w:ilvl w:val="1"/>
          <w:numId w:val="276"/>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Performance Measure and RPSUs</w:t>
      </w:r>
    </w:p>
    <w:p>
      <w:pPr>
        <w:spacing w:after="0" w:line="202" w:lineRule="exact"/>
        <w:rPr>
          <w:sz w:val="20"/>
          <w:szCs w:val="20"/>
          <w:color w:val="auto"/>
        </w:rPr>
      </w:pPr>
    </w:p>
    <w:p>
      <w:pPr>
        <w:jc w:val="both"/>
        <w:ind w:left="640"/>
        <w:spacing w:after="0" w:line="259" w:lineRule="auto"/>
        <w:rPr>
          <w:sz w:val="20"/>
          <w:szCs w:val="20"/>
          <w:color w:val="auto"/>
        </w:rPr>
      </w:pPr>
      <w:r>
        <w:rPr>
          <w:rFonts w:ascii="Verdana" w:cs="Verdana" w:eastAsia="Verdana" w:hAnsi="Verdana"/>
          <w:sz w:val="16"/>
          <w:szCs w:val="16"/>
          <w:color w:val="auto"/>
        </w:rPr>
        <w:t xml:space="preserve">For purposes of determining the Final Award, as soon as practicable after the completion of the Performance Period, (i) the TSRs of the Company and the companies set forth on </w:t>
      </w:r>
      <w:r>
        <w:rPr>
          <w:rFonts w:ascii="Verdana" w:cs="Verdana" w:eastAsia="Verdana" w:hAnsi="Verdana"/>
          <w:sz w:val="16"/>
          <w:szCs w:val="16"/>
          <w:u w:val="single" w:color="auto"/>
          <w:color w:val="auto"/>
        </w:rPr>
        <w:t>Exhibit A</w:t>
      </w:r>
      <w:r>
        <w:rPr>
          <w:rFonts w:ascii="Verdana" w:cs="Verdana" w:eastAsia="Verdana" w:hAnsi="Verdana"/>
          <w:sz w:val="16"/>
          <w:szCs w:val="16"/>
          <w:color w:val="auto"/>
        </w:rPr>
        <w:t>, which comprise the peer group for purposes of this Agreement (each company is referred to as a “</w:t>
      </w:r>
      <w:r>
        <w:rPr>
          <w:rFonts w:ascii="Verdana" w:cs="Verdana" w:eastAsia="Verdana" w:hAnsi="Verdana"/>
          <w:sz w:val="16"/>
          <w:szCs w:val="16"/>
          <w:u w:val="single" w:color="auto"/>
          <w:color w:val="auto"/>
        </w:rPr>
        <w:t>Peer Group Member</w:t>
      </w:r>
      <w:r>
        <w:rPr>
          <w:rFonts w:ascii="Verdana" w:cs="Verdana" w:eastAsia="Verdana" w:hAnsi="Verdana"/>
          <w:sz w:val="16"/>
          <w:szCs w:val="16"/>
          <w:color w:val="auto"/>
        </w:rPr>
        <w:t xml:space="preserve">”), shall be calculated pursuant to </w:t>
      </w:r>
      <w:r>
        <w:rPr>
          <w:rFonts w:ascii="Verdana" w:cs="Verdana" w:eastAsia="Verdana" w:hAnsi="Verdana"/>
          <w:sz w:val="16"/>
          <w:szCs w:val="16"/>
          <w:u w:val="single" w:color="auto"/>
          <w:color w:val="auto"/>
        </w:rPr>
        <w:t>Section 2(d)</w:t>
      </w:r>
      <w:r>
        <w:rPr>
          <w:rFonts w:ascii="Verdana" w:cs="Verdana" w:eastAsia="Verdana" w:hAnsi="Verdana"/>
          <w:sz w:val="16"/>
          <w:szCs w:val="16"/>
          <w:color w:val="auto"/>
        </w:rPr>
        <w:t xml:space="preserve"> and</w:t>
      </w:r>
    </w:p>
    <w:p>
      <w:pPr>
        <w:spacing w:after="0" w:line="2" w:lineRule="exact"/>
        <w:rPr>
          <w:sz w:val="20"/>
          <w:szCs w:val="20"/>
          <w:color w:val="auto"/>
        </w:rPr>
      </w:pPr>
    </w:p>
    <w:p>
      <w:pPr>
        <w:jc w:val="both"/>
        <w:ind w:left="640" w:hanging="3"/>
        <w:spacing w:after="0" w:line="237" w:lineRule="auto"/>
        <w:tabs>
          <w:tab w:leader="none" w:pos="960" w:val="left"/>
        </w:tabs>
        <w:numPr>
          <w:ilvl w:val="0"/>
          <w:numId w:val="277"/>
        </w:numPr>
        <w:rPr>
          <w:rFonts w:ascii="Verdana" w:cs="Verdana" w:eastAsia="Verdana" w:hAnsi="Verdana"/>
          <w:sz w:val="18"/>
          <w:szCs w:val="18"/>
          <w:color w:val="auto"/>
        </w:rPr>
      </w:pPr>
      <w:r>
        <w:rPr>
          <w:rFonts w:ascii="Verdana" w:cs="Verdana" w:eastAsia="Verdana" w:hAnsi="Verdana"/>
          <w:sz w:val="18"/>
          <w:szCs w:val="18"/>
          <w:color w:val="auto"/>
        </w:rPr>
        <w:t xml:space="preserve">the relative ranking of the Company’s TSR for the Performance Period, as compared to the TSR for each Peer Group Member for the Performance Period, shall be determined and expressed as a percentile ranking as described in </w:t>
      </w:r>
      <w:r>
        <w:rPr>
          <w:rFonts w:ascii="Verdana" w:cs="Verdana" w:eastAsia="Verdana" w:hAnsi="Verdana"/>
          <w:sz w:val="18"/>
          <w:szCs w:val="18"/>
          <w:u w:val="single" w:color="auto"/>
          <w:color w:val="auto"/>
        </w:rPr>
        <w:t>Section</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auto"/>
        </w:rPr>
        <w:t>2(b)</w:t>
      </w:r>
      <w:r>
        <w:rPr>
          <w:rFonts w:ascii="Verdana" w:cs="Verdana" w:eastAsia="Verdana" w:hAnsi="Verdana"/>
          <w:sz w:val="18"/>
          <w:szCs w:val="18"/>
          <w:color w:val="auto"/>
        </w:rPr>
        <w:t>.</w:t>
      </w:r>
    </w:p>
    <w:p>
      <w:pPr>
        <w:spacing w:after="0" w:line="168" w:lineRule="exact"/>
        <w:rPr>
          <w:sz w:val="20"/>
          <w:szCs w:val="20"/>
          <w:color w:val="auto"/>
        </w:rPr>
      </w:pPr>
    </w:p>
    <w:p>
      <w:pPr>
        <w:ind w:left="1260" w:hanging="623"/>
        <w:spacing w:after="0"/>
        <w:tabs>
          <w:tab w:leader="none" w:pos="1260" w:val="left"/>
        </w:tabs>
        <w:numPr>
          <w:ilvl w:val="0"/>
          <w:numId w:val="278"/>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Total Shareholder Percentile Ranking</w:t>
      </w:r>
    </w:p>
    <w:p>
      <w:pPr>
        <w:spacing w:after="0" w:line="189" w:lineRule="exact"/>
        <w:rPr>
          <w:sz w:val="20"/>
          <w:szCs w:val="20"/>
          <w:color w:val="auto"/>
        </w:rPr>
      </w:pPr>
    </w:p>
    <w:p>
      <w:pPr>
        <w:jc w:val="both"/>
        <w:ind w:left="640"/>
        <w:spacing w:after="0" w:line="237" w:lineRule="auto"/>
        <w:rPr>
          <w:sz w:val="20"/>
          <w:szCs w:val="20"/>
          <w:color w:val="auto"/>
        </w:rPr>
      </w:pPr>
      <w:r>
        <w:rPr>
          <w:rFonts w:ascii="Verdana" w:cs="Verdana" w:eastAsia="Verdana" w:hAnsi="Verdana"/>
          <w:sz w:val="18"/>
          <w:szCs w:val="18"/>
          <w:color w:val="auto"/>
        </w:rPr>
        <w:t>The Company’s TSR percentile ranking is based on the TSR to the Company’s stockholders during the Performance Period, inclusive of dividends paid, relative to the TSR during the Performance Period, inclusive of dividends paid, achieved by each of the Peer Group Members.</w:t>
      </w:r>
    </w:p>
    <w:p>
      <w:pPr>
        <w:spacing w:after="0" w:line="194" w:lineRule="exact"/>
        <w:rPr>
          <w:sz w:val="20"/>
          <w:szCs w:val="20"/>
          <w:color w:val="auto"/>
        </w:rPr>
      </w:pPr>
    </w:p>
    <w:p>
      <w:pPr>
        <w:jc w:val="both"/>
        <w:ind w:left="640"/>
        <w:spacing w:after="0" w:line="235" w:lineRule="auto"/>
        <w:rPr>
          <w:sz w:val="20"/>
          <w:szCs w:val="20"/>
          <w:color w:val="auto"/>
        </w:rPr>
      </w:pPr>
      <w:r>
        <w:rPr>
          <w:rFonts w:ascii="Verdana" w:cs="Verdana" w:eastAsia="Verdana" w:hAnsi="Verdana"/>
          <w:sz w:val="18"/>
          <w:szCs w:val="18"/>
          <w:color w:val="auto"/>
        </w:rPr>
        <w:t>The Company’s TSR percentile ranking shall be determined as follows: the TSR percentile ranking shall be determined by ranking the Company and each of the Peer Group Members from highest to lowest according to their respective TSRs. After this ranking, the percentile performance of the Company relative to the Peer Group Members will be determined as follows:</w:t>
      </w:r>
    </w:p>
    <w:p>
      <w:pPr>
        <w:spacing w:after="0" w:line="188" w:lineRule="exact"/>
        <w:rPr>
          <w:sz w:val="20"/>
          <w:szCs w:val="20"/>
          <w:color w:val="auto"/>
        </w:rPr>
      </w:pPr>
    </w:p>
    <w:p>
      <w:pPr>
        <w:jc w:val="right"/>
        <w:ind w:right="7800"/>
        <w:spacing w:after="0"/>
        <w:rPr>
          <w:sz w:val="20"/>
          <w:szCs w:val="20"/>
          <w:color w:val="auto"/>
        </w:rPr>
      </w:pPr>
      <w:r>
        <w:rPr>
          <w:rFonts w:ascii="Verdana" w:cs="Verdana" w:eastAsia="Verdana" w:hAnsi="Verdana"/>
          <w:sz w:val="18"/>
          <w:szCs w:val="18"/>
          <w:color w:val="auto"/>
        </w:rPr>
        <w:t xml:space="preserve">P=1 – </w:t>
      </w:r>
      <w:r>
        <w:rPr>
          <w:rFonts w:ascii="Verdana" w:cs="Verdana" w:eastAsia="Verdana" w:hAnsi="Verdana"/>
          <w:sz w:val="18"/>
          <w:szCs w:val="18"/>
          <w:u w:val="single" w:color="auto"/>
          <w:color w:val="auto"/>
        </w:rPr>
        <w:t>R-1</w:t>
      </w:r>
    </w:p>
    <w:p>
      <w:pPr>
        <w:jc w:val="right"/>
        <w:ind w:right="7840"/>
        <w:spacing w:after="0"/>
        <w:rPr>
          <w:sz w:val="20"/>
          <w:szCs w:val="20"/>
          <w:color w:val="auto"/>
        </w:rPr>
      </w:pPr>
      <w:r>
        <w:rPr>
          <w:rFonts w:ascii="Verdana" w:cs="Verdana" w:eastAsia="Verdana" w:hAnsi="Verdana"/>
          <w:sz w:val="18"/>
          <w:szCs w:val="18"/>
          <w:color w:val="auto"/>
        </w:rPr>
        <w:t>N-1</w:t>
      </w:r>
    </w:p>
    <w:p>
      <w:pPr>
        <w:spacing w:after="0" w:line="202" w:lineRule="exact"/>
        <w:rPr>
          <w:sz w:val="20"/>
          <w:szCs w:val="20"/>
          <w:color w:val="auto"/>
        </w:rPr>
      </w:pPr>
    </w:p>
    <w:p>
      <w:pPr>
        <w:ind w:left="640"/>
        <w:spacing w:after="0"/>
        <w:tabs>
          <w:tab w:leader="none" w:pos="1720" w:val="left"/>
        </w:tabs>
        <w:rPr>
          <w:sz w:val="20"/>
          <w:szCs w:val="20"/>
          <w:color w:val="auto"/>
        </w:rPr>
      </w:pPr>
      <w:r>
        <w:rPr>
          <w:rFonts w:ascii="Verdana" w:cs="Verdana" w:eastAsia="Verdana" w:hAnsi="Verdana"/>
          <w:sz w:val="18"/>
          <w:szCs w:val="18"/>
          <w:color w:val="auto"/>
        </w:rPr>
        <w:t>where:</w:t>
      </w:r>
      <w:r>
        <w:rPr>
          <w:sz w:val="20"/>
          <w:szCs w:val="20"/>
          <w:color w:val="auto"/>
        </w:rPr>
        <w:tab/>
      </w:r>
      <w:r>
        <w:rPr>
          <w:rFonts w:ascii="Verdana" w:cs="Verdana" w:eastAsia="Verdana" w:hAnsi="Verdana"/>
          <w:sz w:val="18"/>
          <w:szCs w:val="18"/>
          <w:color w:val="auto"/>
        </w:rPr>
        <w:t>“P” represents the percentile performance</w:t>
      </w:r>
    </w:p>
    <w:p>
      <w:pPr>
        <w:spacing w:after="0" w:line="202" w:lineRule="exact"/>
        <w:rPr>
          <w:sz w:val="20"/>
          <w:szCs w:val="20"/>
          <w:color w:val="auto"/>
        </w:rPr>
      </w:pPr>
    </w:p>
    <w:p>
      <w:pPr>
        <w:ind w:left="1900"/>
        <w:spacing w:after="0"/>
        <w:rPr>
          <w:sz w:val="20"/>
          <w:szCs w:val="20"/>
          <w:color w:val="auto"/>
        </w:rPr>
      </w:pPr>
      <w:r>
        <w:rPr>
          <w:rFonts w:ascii="Verdana" w:cs="Verdana" w:eastAsia="Verdana" w:hAnsi="Verdana"/>
          <w:sz w:val="18"/>
          <w:szCs w:val="18"/>
          <w:color w:val="auto"/>
        </w:rPr>
        <w:t>“N” represents the number of Peer Group Members, including the Company, as of the vesting date.</w:t>
      </w:r>
    </w:p>
    <w:p>
      <w:pPr>
        <w:spacing w:after="0" w:line="202" w:lineRule="exact"/>
        <w:rPr>
          <w:sz w:val="20"/>
          <w:szCs w:val="20"/>
          <w:color w:val="auto"/>
        </w:rPr>
      </w:pPr>
    </w:p>
    <w:p>
      <w:pPr>
        <w:ind w:left="1900"/>
        <w:spacing w:after="0"/>
        <w:rPr>
          <w:sz w:val="20"/>
          <w:szCs w:val="20"/>
          <w:color w:val="auto"/>
        </w:rPr>
      </w:pPr>
      <w:r>
        <w:rPr>
          <w:rFonts w:ascii="Verdana" w:cs="Verdana" w:eastAsia="Verdana" w:hAnsi="Verdana"/>
          <w:sz w:val="18"/>
          <w:szCs w:val="18"/>
          <w:color w:val="auto"/>
        </w:rPr>
        <w:t>“R” represents the Company’s ranking among the Peer Group Members.</w:t>
      </w:r>
    </w:p>
    <w:p>
      <w:pPr>
        <w:spacing w:after="0" w:line="176" w:lineRule="exact"/>
        <w:rPr>
          <w:sz w:val="20"/>
          <w:szCs w:val="20"/>
          <w:color w:val="auto"/>
        </w:rPr>
      </w:pPr>
    </w:p>
    <w:p>
      <w:pPr>
        <w:jc w:val="both"/>
        <w:ind w:left="1900" w:hanging="632"/>
        <w:spacing w:after="0" w:line="213" w:lineRule="auto"/>
        <w:tabs>
          <w:tab w:leader="none" w:pos="1891" w:val="left"/>
        </w:tabs>
        <w:numPr>
          <w:ilvl w:val="0"/>
          <w:numId w:val="279"/>
        </w:numPr>
        <w:rPr>
          <w:rFonts w:ascii="Verdana" w:cs="Verdana" w:eastAsia="Verdana" w:hAnsi="Verdana"/>
          <w:sz w:val="18"/>
          <w:szCs w:val="18"/>
          <w:b w:val="1"/>
          <w:bCs w:val="1"/>
          <w:color w:val="010000"/>
        </w:rPr>
      </w:pPr>
      <w:r>
        <w:rPr>
          <w:rFonts w:ascii="Verdana" w:cs="Verdana" w:eastAsia="Verdana" w:hAnsi="Verdana"/>
          <w:sz w:val="18"/>
          <w:szCs w:val="18"/>
          <w:color w:val="auto"/>
        </w:rPr>
        <w:t>In the event a bankruptcy proceeding is commenced during the Performance Period with respect to any Peer Group Member, or if at any time during the Performance Period a Peer Group Member is liquidated or delisted, such company shall be treated as having a TSR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40" w:right="339" w:bottom="1440" w:gutter="0" w:footer="0" w:header="0"/>
        </w:sectPr>
      </w:pPr>
    </w:p>
    <w:bookmarkStart w:id="295" w:name="page296"/>
    <w:bookmarkEnd w:id="295"/>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680"/>
        <w:spacing w:after="0" w:line="226" w:lineRule="auto"/>
        <w:rPr>
          <w:sz w:val="20"/>
          <w:szCs w:val="20"/>
          <w:color w:val="auto"/>
        </w:rPr>
      </w:pPr>
      <w:r>
        <w:rPr>
          <w:rFonts w:ascii="Verdana" w:cs="Verdana" w:eastAsia="Verdana" w:hAnsi="Verdana"/>
          <w:sz w:val="18"/>
          <w:szCs w:val="18"/>
          <w:color w:val="auto"/>
        </w:rPr>
        <w:t>of negative one hundred percent (-100%) for the Performance Period for purposes of TSR percentile ranking.</w:t>
      </w:r>
    </w:p>
    <w:p>
      <w:pPr>
        <w:spacing w:after="0" w:line="154" w:lineRule="exact"/>
        <w:rPr>
          <w:sz w:val="20"/>
          <w:szCs w:val="20"/>
          <w:color w:val="auto"/>
        </w:rPr>
      </w:pPr>
    </w:p>
    <w:p>
      <w:pPr>
        <w:jc w:val="both"/>
        <w:ind w:left="1680" w:hanging="632"/>
        <w:spacing w:after="0" w:line="200" w:lineRule="auto"/>
        <w:tabs>
          <w:tab w:leader="none" w:pos="1679" w:val="left"/>
        </w:tabs>
        <w:numPr>
          <w:ilvl w:val="1"/>
          <w:numId w:val="280"/>
        </w:numPr>
        <w:rPr>
          <w:rFonts w:ascii="Verdana" w:cs="Verdana" w:eastAsia="Verdana" w:hAnsi="Verdana"/>
          <w:sz w:val="18"/>
          <w:szCs w:val="18"/>
          <w:b w:val="1"/>
          <w:bCs w:val="1"/>
          <w:color w:val="010000"/>
        </w:rPr>
      </w:pPr>
      <w:r>
        <w:rPr>
          <w:rFonts w:ascii="Verdana" w:cs="Verdana" w:eastAsia="Verdana" w:hAnsi="Verdana"/>
          <w:sz w:val="18"/>
          <w:szCs w:val="18"/>
          <w:color w:val="auto"/>
        </w:rPr>
        <w:t>In the event that a merger, acquisition or business combination of a Peer Group Member by or with another Peer Group Member is consummated during the Performance Period, then the entity that survives as a result of such merger, acquisition, or business combination will be considered a Peer Group Member for purposes of TSR percentile ranking for the Performance Period; the Peer Group Member that is not the entity that survives as a result of such merger, acquisition or business combination, shall be removed and treated as if it had never been in the peer group for purposes of the TSR percentile ranking for the Performance Period.</w:t>
      </w:r>
    </w:p>
    <w:p>
      <w:pPr>
        <w:spacing w:after="0" w:line="158" w:lineRule="exact"/>
        <w:rPr>
          <w:rFonts w:ascii="Verdana" w:cs="Verdana" w:eastAsia="Verdana" w:hAnsi="Verdana"/>
          <w:sz w:val="18"/>
          <w:szCs w:val="18"/>
          <w:b w:val="1"/>
          <w:bCs w:val="1"/>
          <w:color w:val="010000"/>
        </w:rPr>
      </w:pPr>
    </w:p>
    <w:p>
      <w:pPr>
        <w:jc w:val="both"/>
        <w:ind w:left="1680" w:hanging="632"/>
        <w:spacing w:after="0" w:line="206" w:lineRule="auto"/>
        <w:tabs>
          <w:tab w:leader="none" w:pos="1673" w:val="left"/>
        </w:tabs>
        <w:numPr>
          <w:ilvl w:val="1"/>
          <w:numId w:val="280"/>
        </w:numPr>
        <w:rPr>
          <w:rFonts w:ascii="Verdana" w:cs="Verdana" w:eastAsia="Verdana" w:hAnsi="Verdana"/>
          <w:sz w:val="18"/>
          <w:szCs w:val="18"/>
          <w:b w:val="1"/>
          <w:bCs w:val="1"/>
          <w:color w:val="010000"/>
        </w:rPr>
      </w:pPr>
      <w:r>
        <w:rPr>
          <w:rFonts w:ascii="Verdana" w:cs="Verdana" w:eastAsia="Verdana" w:hAnsi="Verdana"/>
          <w:sz w:val="18"/>
          <w:szCs w:val="18"/>
          <w:color w:val="auto"/>
        </w:rPr>
        <w:t>In the event that a merger, acquisition or business combination of a Peer Group Member by or with an entity that is not a Peer Group Member is consummated during the Performance Period, and such Peer Group Member is the entity that survives as a result of such merger, acquisition, or business combination, then such Peer Group Member will continue to be considered a Peer Group Member for purposes of TSR percentile ranking for the Performance Period.</w:t>
      </w:r>
    </w:p>
    <w:p>
      <w:pPr>
        <w:spacing w:after="0" w:line="153" w:lineRule="exact"/>
        <w:rPr>
          <w:rFonts w:ascii="Verdana" w:cs="Verdana" w:eastAsia="Verdana" w:hAnsi="Verdana"/>
          <w:sz w:val="18"/>
          <w:szCs w:val="18"/>
          <w:b w:val="1"/>
          <w:bCs w:val="1"/>
          <w:color w:val="010000"/>
        </w:rPr>
      </w:pPr>
    </w:p>
    <w:p>
      <w:pPr>
        <w:jc w:val="both"/>
        <w:ind w:left="1680" w:hanging="632"/>
        <w:spacing w:after="0" w:line="200" w:lineRule="auto"/>
        <w:tabs>
          <w:tab w:leader="none" w:pos="1667" w:val="left"/>
        </w:tabs>
        <w:numPr>
          <w:ilvl w:val="1"/>
          <w:numId w:val="280"/>
        </w:numPr>
        <w:rPr>
          <w:rFonts w:ascii="Verdana" w:cs="Verdana" w:eastAsia="Verdana" w:hAnsi="Verdana"/>
          <w:sz w:val="18"/>
          <w:szCs w:val="18"/>
          <w:b w:val="1"/>
          <w:bCs w:val="1"/>
          <w:color w:val="010000"/>
        </w:rPr>
      </w:pPr>
      <w:r>
        <w:rPr>
          <w:rFonts w:ascii="Verdana" w:cs="Verdana" w:eastAsia="Verdana" w:hAnsi="Verdana"/>
          <w:sz w:val="18"/>
          <w:szCs w:val="18"/>
          <w:color w:val="auto"/>
        </w:rPr>
        <w:t>In the event that (i) a Peer Group Member ceases to be a publicly-traded company, or (ii) a merger, acquisition or business combination of a Peer Group Member by or with an entity that is not a Peer Group Member is consummated during the Performance Period, and such Peer Group Member is not the entity that survives as a result of such merger, acquisition, or business combination, then such Peer Group Member shall be removed and treated as if it had never been in the peer group for purposes of TSR percentile ranking for the Performance Period.</w:t>
      </w:r>
    </w:p>
    <w:p>
      <w:pPr>
        <w:spacing w:after="0" w:line="169" w:lineRule="exact"/>
        <w:rPr>
          <w:rFonts w:ascii="Verdana" w:cs="Verdana" w:eastAsia="Verdana" w:hAnsi="Verdana"/>
          <w:sz w:val="18"/>
          <w:szCs w:val="18"/>
          <w:b w:val="1"/>
          <w:bCs w:val="1"/>
          <w:color w:val="010000"/>
        </w:rPr>
      </w:pPr>
    </w:p>
    <w:p>
      <w:pPr>
        <w:jc w:val="both"/>
        <w:ind w:left="1680" w:hanging="632"/>
        <w:spacing w:after="0" w:line="200" w:lineRule="auto"/>
        <w:tabs>
          <w:tab w:leader="none" w:pos="1673" w:val="left"/>
        </w:tabs>
        <w:numPr>
          <w:ilvl w:val="1"/>
          <w:numId w:val="280"/>
        </w:numPr>
        <w:rPr>
          <w:rFonts w:ascii="Verdana" w:cs="Verdana" w:eastAsia="Verdana" w:hAnsi="Verdana"/>
          <w:sz w:val="18"/>
          <w:szCs w:val="18"/>
          <w:b w:val="1"/>
          <w:bCs w:val="1"/>
          <w:color w:val="010000"/>
        </w:rPr>
      </w:pPr>
      <w:r>
        <w:rPr>
          <w:rFonts w:ascii="Verdana" w:cs="Verdana" w:eastAsia="Verdana" w:hAnsi="Verdana"/>
          <w:sz w:val="18"/>
          <w:szCs w:val="18"/>
          <w:color w:val="auto"/>
        </w:rPr>
        <w:t>In the event of a distribution of stock from a Peer Group Member (including the Company) consisting of shares of a new publicly traded company (a “spin-off”), the Peer Group Member shall remain a Peer Group Member and the stock distribution will be treated as a dividend from the Peer Group Member (including the Company) based on the closing price of the shares of the spin-off company on its first day of trading. The performance of the shares of the spin-off company shall not thereafter be treated for purposes of calculating TSR.</w:t>
      </w:r>
    </w:p>
    <w:p>
      <w:pPr>
        <w:spacing w:after="0" w:line="169" w:lineRule="exact"/>
        <w:rPr>
          <w:rFonts w:ascii="Verdana" w:cs="Verdana" w:eastAsia="Verdana" w:hAnsi="Verdana"/>
          <w:sz w:val="18"/>
          <w:szCs w:val="18"/>
          <w:b w:val="1"/>
          <w:bCs w:val="1"/>
          <w:color w:val="010000"/>
        </w:rPr>
      </w:pPr>
    </w:p>
    <w:p>
      <w:pPr>
        <w:ind w:left="1040" w:hanging="623"/>
        <w:spacing w:after="0"/>
        <w:tabs>
          <w:tab w:leader="none" w:pos="1040" w:val="left"/>
        </w:tabs>
        <w:numPr>
          <w:ilvl w:val="0"/>
          <w:numId w:val="281"/>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Performance Period</w:t>
      </w:r>
    </w:p>
    <w:p>
      <w:pPr>
        <w:spacing w:after="0" w:line="189" w:lineRule="exact"/>
        <w:rPr>
          <w:sz w:val="20"/>
          <w:szCs w:val="20"/>
          <w:color w:val="auto"/>
        </w:rPr>
      </w:pPr>
    </w:p>
    <w:p>
      <w:pPr>
        <w:ind w:left="420"/>
        <w:spacing w:after="0" w:line="241" w:lineRule="auto"/>
        <w:rPr>
          <w:sz w:val="20"/>
          <w:szCs w:val="20"/>
          <w:color w:val="auto"/>
        </w:rPr>
      </w:pPr>
      <w:r>
        <w:rPr>
          <w:rFonts w:ascii="Verdana" w:cs="Verdana" w:eastAsia="Verdana" w:hAnsi="Verdana"/>
          <w:sz w:val="18"/>
          <w:szCs w:val="18"/>
          <w:color w:val="auto"/>
        </w:rPr>
        <w:t>The Performance Period, for purposes of this Agreement, shall be determined by the Committee and shall be the period set forth in the Grant Notice.</w:t>
      </w:r>
    </w:p>
    <w:p>
      <w:pPr>
        <w:spacing w:after="0" w:line="166" w:lineRule="exact"/>
        <w:rPr>
          <w:sz w:val="20"/>
          <w:szCs w:val="20"/>
          <w:color w:val="auto"/>
        </w:rPr>
      </w:pPr>
    </w:p>
    <w:p>
      <w:pPr>
        <w:ind w:left="1040" w:hanging="623"/>
        <w:spacing w:after="0"/>
        <w:tabs>
          <w:tab w:leader="none" w:pos="1040" w:val="left"/>
        </w:tabs>
        <w:numPr>
          <w:ilvl w:val="0"/>
          <w:numId w:val="282"/>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Performance Goal and TSR</w:t>
      </w:r>
    </w:p>
    <w:p>
      <w:pPr>
        <w:spacing w:after="0" w:line="189" w:lineRule="exact"/>
        <w:rPr>
          <w:sz w:val="20"/>
          <w:szCs w:val="20"/>
          <w:color w:val="auto"/>
        </w:rPr>
      </w:pPr>
    </w:p>
    <w:p>
      <w:pPr>
        <w:jc w:val="both"/>
        <w:ind w:left="420"/>
        <w:spacing w:after="0" w:line="234" w:lineRule="auto"/>
        <w:rPr>
          <w:sz w:val="20"/>
          <w:szCs w:val="20"/>
          <w:color w:val="auto"/>
        </w:rPr>
      </w:pPr>
      <w:r>
        <w:rPr>
          <w:rFonts w:ascii="Verdana" w:cs="Verdana" w:eastAsia="Verdana" w:hAnsi="Verdana"/>
          <w:sz w:val="18"/>
          <w:szCs w:val="18"/>
          <w:color w:val="auto"/>
        </w:rPr>
        <w:t>For purposes of this Agreement, TSR for the Company and each of the Peer Group Members shall be measured by dividing (A) the difference between the average closing price of a share of such company’s common stock on the principal exchange on which such stock trades for the twenty (20) trading days occurring immediately after and including the first day of the Performance Period (the “</w:t>
      </w:r>
      <w:r>
        <w:rPr>
          <w:rFonts w:ascii="Verdana" w:cs="Verdana" w:eastAsia="Verdana" w:hAnsi="Verdana"/>
          <w:sz w:val="18"/>
          <w:szCs w:val="18"/>
          <w:u w:val="single" w:color="auto"/>
          <w:color w:val="auto"/>
        </w:rPr>
        <w:t>Beginning Average Value</w:t>
      </w:r>
      <w:r>
        <w:rPr>
          <w:rFonts w:ascii="Verdana" w:cs="Verdana" w:eastAsia="Verdana" w:hAnsi="Verdana"/>
          <w:sz w:val="18"/>
          <w:szCs w:val="18"/>
          <w:color w:val="auto"/>
        </w:rPr>
        <w:t>”) including the impact of dividends that are reinvested on the ex-dividend date and the average closing price of a share of such stock on the principal exchange on which such stock trades for the twenty (20) trading days immediately prior to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020"/>
          </w:cols>
          <w:pgMar w:left="540" w:top="1440" w:right="339" w:bottom="1440" w:gutter="0" w:footer="0" w:header="0"/>
        </w:sectPr>
      </w:pPr>
    </w:p>
    <w:bookmarkStart w:id="296" w:name="page297"/>
    <w:bookmarkEnd w:id="2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635"/>
        <w:spacing w:after="0" w:line="237" w:lineRule="auto"/>
        <w:rPr>
          <w:sz w:val="20"/>
          <w:szCs w:val="20"/>
          <w:color w:val="auto"/>
        </w:rPr>
      </w:pPr>
      <w:r>
        <w:rPr>
          <w:rFonts w:ascii="Verdana" w:cs="Verdana" w:eastAsia="Verdana" w:hAnsi="Verdana"/>
          <w:sz w:val="18"/>
          <w:szCs w:val="18"/>
          <w:color w:val="auto"/>
        </w:rPr>
        <w:t>including the last day of the Performance Period (the “</w:t>
      </w:r>
      <w:r>
        <w:rPr>
          <w:rFonts w:ascii="Verdana" w:cs="Verdana" w:eastAsia="Verdana" w:hAnsi="Verdana"/>
          <w:sz w:val="18"/>
          <w:szCs w:val="18"/>
          <w:u w:val="single" w:color="auto"/>
          <w:color w:val="auto"/>
        </w:rPr>
        <w:t>Ending Average Value</w:t>
      </w:r>
      <w:r>
        <w:rPr>
          <w:rFonts w:ascii="Verdana" w:cs="Verdana" w:eastAsia="Verdana" w:hAnsi="Verdana"/>
          <w:sz w:val="18"/>
          <w:szCs w:val="18"/>
          <w:color w:val="auto"/>
        </w:rPr>
        <w:t>”) (appropriately adjusted for any stock dividend, stock split, spin-off, merger or other similar corporate events affecting such stock) including the impact of dividends that are reinvested on the ex-dividend date, by (B) the Beginning Average Value.</w:t>
      </w:r>
    </w:p>
    <w:p>
      <w:pPr>
        <w:spacing w:after="0" w:line="194" w:lineRule="exact"/>
        <w:rPr>
          <w:sz w:val="20"/>
          <w:szCs w:val="20"/>
          <w:color w:val="auto"/>
        </w:rPr>
      </w:pPr>
    </w:p>
    <w:p>
      <w:pPr>
        <w:jc w:val="both"/>
        <w:ind w:left="635"/>
        <w:spacing w:after="0" w:line="235" w:lineRule="auto"/>
        <w:rPr>
          <w:sz w:val="20"/>
          <w:szCs w:val="20"/>
          <w:color w:val="auto"/>
        </w:rPr>
      </w:pPr>
      <w:r>
        <w:rPr>
          <w:rFonts w:ascii="Verdana" w:cs="Verdana" w:eastAsia="Verdana" w:hAnsi="Verdana"/>
          <w:sz w:val="18"/>
          <w:szCs w:val="18"/>
          <w:color w:val="auto"/>
        </w:rPr>
        <w:t>For the avoidance of doubt, it is intended that the foregoing calculation of TSR shall take into account not only the reinvestment of dividends in a share of common stock of the Company or any Peer Group Member, as applicable, but also capital appreciation or depreciation in the shares deemed acquired by such reinvestment</w:t>
      </w:r>
      <w:r>
        <w:rPr>
          <w:rFonts w:ascii="Verdana" w:cs="Verdana" w:eastAsia="Verdana" w:hAnsi="Verdana"/>
          <w:sz w:val="18"/>
          <w:szCs w:val="18"/>
          <w:color w:val="030307"/>
        </w:rPr>
        <w:t>.</w:t>
      </w:r>
      <w:r>
        <w:rPr>
          <w:rFonts w:ascii="Verdana" w:cs="Verdana" w:eastAsia="Verdana" w:hAnsi="Verdana"/>
          <w:sz w:val="18"/>
          <w:szCs w:val="18"/>
          <w:color w:val="auto"/>
        </w:rPr>
        <w:t xml:space="preserve"> All determinat</w:t>
      </w:r>
      <w:r>
        <w:rPr>
          <w:rFonts w:ascii="Verdana" w:cs="Verdana" w:eastAsia="Verdana" w:hAnsi="Verdana"/>
          <w:sz w:val="18"/>
          <w:szCs w:val="18"/>
          <w:color w:val="573621"/>
        </w:rPr>
        <w:t>i</w:t>
      </w:r>
      <w:r>
        <w:rPr>
          <w:rFonts w:ascii="Verdana" w:cs="Verdana" w:eastAsia="Verdana" w:hAnsi="Verdana"/>
          <w:sz w:val="18"/>
          <w:szCs w:val="18"/>
          <w:color w:val="auto"/>
        </w:rPr>
        <w:t>ons under th</w:t>
      </w:r>
      <w:r>
        <w:rPr>
          <w:rFonts w:ascii="Verdana" w:cs="Verdana" w:eastAsia="Verdana" w:hAnsi="Verdana"/>
          <w:sz w:val="18"/>
          <w:szCs w:val="18"/>
          <w:color w:val="0C1C46"/>
        </w:rPr>
        <w:t>i</w:t>
      </w:r>
      <w:r>
        <w:rPr>
          <w:rFonts w:ascii="Verdana" w:cs="Verdana" w:eastAsia="Verdana" w:hAnsi="Verdana"/>
          <w:sz w:val="18"/>
          <w:szCs w:val="18"/>
          <w:color w:val="auto"/>
        </w:rPr>
        <w:t xml:space="preserve">s </w:t>
      </w:r>
      <w:r>
        <w:rPr>
          <w:rFonts w:ascii="Verdana" w:cs="Verdana" w:eastAsia="Verdana" w:hAnsi="Verdana"/>
          <w:sz w:val="18"/>
          <w:szCs w:val="18"/>
          <w:u w:val="single" w:color="auto"/>
          <w:color w:val="auto"/>
        </w:rPr>
        <w:t>Sect</w:t>
      </w:r>
      <w:r>
        <w:rPr>
          <w:rFonts w:ascii="Verdana" w:cs="Verdana" w:eastAsia="Verdana" w:hAnsi="Verdana"/>
          <w:sz w:val="18"/>
          <w:szCs w:val="18"/>
          <w:u w:val="single" w:color="auto"/>
          <w:color w:val="573621"/>
        </w:rPr>
        <w:t>i</w:t>
      </w:r>
      <w:r>
        <w:rPr>
          <w:rFonts w:ascii="Verdana" w:cs="Verdana" w:eastAsia="Verdana" w:hAnsi="Verdana"/>
          <w:sz w:val="18"/>
          <w:szCs w:val="18"/>
          <w:u w:val="single" w:color="auto"/>
          <w:color w:val="auto"/>
        </w:rPr>
        <w:t>on 2(d)</w:t>
      </w:r>
      <w:r>
        <w:rPr>
          <w:rFonts w:ascii="Verdana" w:cs="Verdana" w:eastAsia="Verdana" w:hAnsi="Verdana"/>
          <w:sz w:val="18"/>
          <w:szCs w:val="18"/>
          <w:color w:val="auto"/>
        </w:rPr>
        <w:t xml:space="preserve"> shall be made by the Comm</w:t>
      </w:r>
      <w:r>
        <w:rPr>
          <w:rFonts w:ascii="Verdana" w:cs="Verdana" w:eastAsia="Verdana" w:hAnsi="Verdana"/>
          <w:sz w:val="18"/>
          <w:szCs w:val="18"/>
          <w:color w:val="0C1C46"/>
        </w:rPr>
        <w:t>i</w:t>
      </w:r>
      <w:r>
        <w:rPr>
          <w:rFonts w:ascii="Verdana" w:cs="Verdana" w:eastAsia="Verdana" w:hAnsi="Verdana"/>
          <w:sz w:val="18"/>
          <w:szCs w:val="18"/>
          <w:color w:val="auto"/>
        </w:rPr>
        <w:t>ttee</w:t>
      </w:r>
      <w:r>
        <w:rPr>
          <w:rFonts w:ascii="Verdana" w:cs="Verdana" w:eastAsia="Verdana" w:hAnsi="Verdana"/>
          <w:sz w:val="18"/>
          <w:szCs w:val="18"/>
          <w:color w:val="030307"/>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144145</wp:posOffset>
            </wp:positionV>
            <wp:extent cx="6300470" cy="6013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74">
                      <a:extLst>
                        <a:ext uri="{28A0092B-C50C-407E-A947-70E740481C1C}"/>
                      </a:extLst>
                    </a:blip>
                    <a:srcRect/>
                    <a:stretch>
                      <a:fillRect/>
                    </a:stretch>
                  </pic:blipFill>
                  <pic:spPr bwMode="auto">
                    <a:xfrm>
                      <a:off x="0" y="0"/>
                      <a:ext cx="6300470" cy="601345"/>
                    </a:xfrm>
                    <a:prstGeom prst="rect">
                      <a:avLst/>
                    </a:prstGeom>
                    <a:noFill/>
                  </pic:spPr>
                </pic:pic>
              </a:graphicData>
            </a:graphic>
          </wp:anchor>
        </w:drawing>
      </w:r>
    </w:p>
    <w:p>
      <w:pPr>
        <w:spacing w:after="0" w:line="215" w:lineRule="exact"/>
        <w:rPr>
          <w:sz w:val="20"/>
          <w:szCs w:val="20"/>
          <w:color w:val="auto"/>
        </w:rPr>
      </w:pPr>
    </w:p>
    <w:p>
      <w:pPr>
        <w:ind w:left="655"/>
        <w:spacing w:after="0"/>
        <w:rPr>
          <w:sz w:val="20"/>
          <w:szCs w:val="20"/>
          <w:color w:val="auto"/>
        </w:rPr>
      </w:pPr>
      <w:r>
        <w:rPr>
          <w:rFonts w:ascii="Verdana" w:cs="Verdana" w:eastAsia="Verdana" w:hAnsi="Verdana"/>
          <w:sz w:val="18"/>
          <w:szCs w:val="18"/>
          <w:b w:val="1"/>
          <w:bCs w:val="1"/>
          <w:color w:val="auto"/>
        </w:rPr>
        <w:t>Illustration of formula described above</w:t>
      </w:r>
    </w:p>
    <w:p>
      <w:pPr>
        <w:spacing w:after="0" w:line="201" w:lineRule="exact"/>
        <w:rPr>
          <w:sz w:val="20"/>
          <w:szCs w:val="20"/>
          <w:color w:val="auto"/>
        </w:rPr>
      </w:pPr>
    </w:p>
    <w:tbl>
      <w:tblPr>
        <w:tblLayout w:type="fixed"/>
        <w:tblInd w:w="635" w:type="dxa"/>
        <w:tblCellMar>
          <w:top w:w="0" w:type="dxa"/>
          <w:left w:w="0" w:type="dxa"/>
          <w:bottom w:w="0" w:type="dxa"/>
          <w:right w:w="0" w:type="dxa"/>
        </w:tblCellMar>
      </w:tblPr>
      <w:tr>
        <w:trPr>
          <w:trHeight w:val="289"/>
        </w:trPr>
        <w:tc>
          <w:tcPr>
            <w:tcW w:w="3800" w:type="dxa"/>
            <w:vAlign w:val="bottom"/>
            <w:tcBorders>
              <w:top w:val="single" w:sz="8" w:color="auto"/>
              <w:right w:val="single" w:sz="8" w:color="auto"/>
            </w:tcBorders>
          </w:tcPr>
          <w:p>
            <w:pPr>
              <w:ind w:left="80"/>
              <w:spacing w:after="0"/>
              <w:rPr>
                <w:sz w:val="20"/>
                <w:szCs w:val="20"/>
                <w:color w:val="auto"/>
              </w:rPr>
            </w:pPr>
            <w:r>
              <w:rPr>
                <w:rFonts w:ascii="Verdana" w:cs="Verdana" w:eastAsia="Verdana" w:hAnsi="Verdana"/>
                <w:sz w:val="18"/>
                <w:szCs w:val="18"/>
                <w:color w:val="030307"/>
              </w:rPr>
              <w:t>T</w:t>
            </w:r>
            <w:r>
              <w:rPr>
                <w:rFonts w:ascii="Verdana" w:cs="Verdana" w:eastAsia="Verdana" w:hAnsi="Verdana"/>
                <w:sz w:val="18"/>
                <w:szCs w:val="18"/>
                <w:color w:val="000000"/>
              </w:rPr>
              <w:t>otal Shareholder Return</w:t>
            </w:r>
          </w:p>
        </w:tc>
        <w:tc>
          <w:tcPr>
            <w:tcW w:w="6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1"/>
                <w:szCs w:val="21"/>
                <w:color w:val="auto"/>
              </w:rPr>
              <w:t>#VALUE!</w:t>
            </w:r>
          </w:p>
        </w:tc>
      </w:tr>
      <w:tr>
        <w:trPr>
          <w:trHeight w:val="198"/>
        </w:trPr>
        <w:tc>
          <w:tcPr>
            <w:tcW w:w="3800" w:type="dxa"/>
            <w:vAlign w:val="bottom"/>
            <w:tcBorders>
              <w:bottom w:val="single" w:sz="8" w:color="auto"/>
              <w:right w:val="single" w:sz="8" w:color="auto"/>
            </w:tcBorders>
          </w:tcPr>
          <w:p>
            <w:pPr>
              <w:spacing w:after="0"/>
              <w:rPr>
                <w:sz w:val="17"/>
                <w:szCs w:val="17"/>
                <w:color w:val="auto"/>
              </w:rPr>
            </w:pPr>
          </w:p>
        </w:tc>
        <w:tc>
          <w:tcPr>
            <w:tcW w:w="6120" w:type="dxa"/>
            <w:vAlign w:val="bottom"/>
            <w:tcBorders>
              <w:bottom w:val="single" w:sz="8" w:color="auto"/>
            </w:tcBorders>
          </w:tcPr>
          <w:p>
            <w:pPr>
              <w:spacing w:after="0"/>
              <w:rPr>
                <w:sz w:val="17"/>
                <w:szCs w:val="17"/>
                <w:color w:val="auto"/>
              </w:rPr>
            </w:pPr>
          </w:p>
        </w:tc>
      </w:tr>
    </w:tbl>
    <w:p>
      <w:pPr>
        <w:spacing w:after="0" w:line="271" w:lineRule="exact"/>
        <w:rPr>
          <w:sz w:val="20"/>
          <w:szCs w:val="20"/>
          <w:color w:val="auto"/>
        </w:rPr>
      </w:pPr>
    </w:p>
    <w:p>
      <w:pPr>
        <w:ind w:left="615" w:hanging="615"/>
        <w:spacing w:after="0"/>
        <w:tabs>
          <w:tab w:leader="none" w:pos="615" w:val="left"/>
        </w:tabs>
        <w:numPr>
          <w:ilvl w:val="0"/>
          <w:numId w:val="283"/>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Settlement of Final Award</w:t>
      </w:r>
    </w:p>
    <w:p>
      <w:pPr>
        <w:spacing w:after="0" w:line="189" w:lineRule="exact"/>
        <w:rPr>
          <w:rFonts w:ascii="Verdana" w:cs="Verdana" w:eastAsia="Verdana" w:hAnsi="Verdana"/>
          <w:sz w:val="18"/>
          <w:szCs w:val="18"/>
          <w:b w:val="1"/>
          <w:bCs w:val="1"/>
          <w:color w:val="010000"/>
        </w:rPr>
      </w:pPr>
    </w:p>
    <w:p>
      <w:pPr>
        <w:jc w:val="both"/>
        <w:ind w:left="635"/>
        <w:spacing w:after="0" w:line="232" w:lineRule="auto"/>
        <w:rPr>
          <w:rFonts w:ascii="Verdana" w:cs="Verdana" w:eastAsia="Verdana" w:hAnsi="Verdana"/>
          <w:sz w:val="18"/>
          <w:szCs w:val="18"/>
          <w:b w:val="1"/>
          <w:bCs w:val="1"/>
          <w:color w:val="010000"/>
        </w:rPr>
      </w:pPr>
      <w:r>
        <w:rPr>
          <w:rFonts w:ascii="Verdana" w:cs="Verdana" w:eastAsia="Verdana" w:hAnsi="Verdana"/>
          <w:sz w:val="18"/>
          <w:szCs w:val="18"/>
          <w:color w:val="auto"/>
        </w:rPr>
        <w:t xml:space="preserve">As soon as </w:t>
      </w:r>
      <w:r>
        <w:rPr>
          <w:rFonts w:ascii="Verdana" w:cs="Verdana" w:eastAsia="Verdana" w:hAnsi="Verdana"/>
          <w:sz w:val="18"/>
          <w:szCs w:val="18"/>
          <w:color w:val="382626"/>
        </w:rPr>
        <w:t>reasonably</w:t>
      </w:r>
      <w:r>
        <w:rPr>
          <w:rFonts w:ascii="Verdana" w:cs="Verdana" w:eastAsia="Verdana" w:hAnsi="Verdana"/>
          <w:sz w:val="18"/>
          <w:szCs w:val="18"/>
          <w:color w:val="auto"/>
        </w:rPr>
        <w:t xml:space="preserve"> practicab</w:t>
      </w:r>
      <w:r>
        <w:rPr>
          <w:rFonts w:ascii="Verdana" w:cs="Verdana" w:eastAsia="Verdana" w:hAnsi="Verdana"/>
          <w:sz w:val="18"/>
          <w:szCs w:val="18"/>
          <w:color w:val="573621"/>
        </w:rPr>
        <w:t>l</w:t>
      </w:r>
      <w:r>
        <w:rPr>
          <w:rFonts w:ascii="Verdana" w:cs="Verdana" w:eastAsia="Verdana" w:hAnsi="Verdana"/>
          <w:sz w:val="18"/>
          <w:szCs w:val="18"/>
          <w:color w:val="auto"/>
        </w:rPr>
        <w:t>e fo</w:t>
      </w:r>
      <w:r>
        <w:rPr>
          <w:rFonts w:ascii="Verdana" w:cs="Verdana" w:eastAsia="Verdana" w:hAnsi="Verdana"/>
          <w:sz w:val="18"/>
          <w:szCs w:val="18"/>
          <w:color w:val="382626"/>
        </w:rPr>
        <w:t>ll</w:t>
      </w:r>
      <w:r>
        <w:rPr>
          <w:rFonts w:ascii="Verdana" w:cs="Verdana" w:eastAsia="Verdana" w:hAnsi="Verdana"/>
          <w:sz w:val="18"/>
          <w:szCs w:val="18"/>
          <w:color w:val="auto"/>
        </w:rPr>
        <w:t>ow</w:t>
      </w:r>
      <w:r>
        <w:rPr>
          <w:rFonts w:ascii="Verdana" w:cs="Verdana" w:eastAsia="Verdana" w:hAnsi="Verdana"/>
          <w:sz w:val="18"/>
          <w:szCs w:val="18"/>
          <w:color w:val="0C1C46"/>
        </w:rPr>
        <w:t>i</w:t>
      </w:r>
      <w:r>
        <w:rPr>
          <w:rFonts w:ascii="Verdana" w:cs="Verdana" w:eastAsia="Verdana" w:hAnsi="Verdana"/>
          <w:sz w:val="18"/>
          <w:szCs w:val="18"/>
          <w:color w:val="auto"/>
        </w:rPr>
        <w:t>ng complet</w:t>
      </w:r>
      <w:r>
        <w:rPr>
          <w:rFonts w:ascii="Verdana" w:cs="Verdana" w:eastAsia="Verdana" w:hAnsi="Verdana"/>
          <w:sz w:val="18"/>
          <w:szCs w:val="18"/>
          <w:color w:val="573621"/>
        </w:rPr>
        <w:t>i</w:t>
      </w:r>
      <w:r>
        <w:rPr>
          <w:rFonts w:ascii="Verdana" w:cs="Verdana" w:eastAsia="Verdana" w:hAnsi="Verdana"/>
          <w:sz w:val="18"/>
          <w:szCs w:val="18"/>
          <w:color w:val="auto"/>
        </w:rPr>
        <w:t>on of all determ</w:t>
      </w:r>
      <w:r>
        <w:rPr>
          <w:rFonts w:ascii="Verdana" w:cs="Verdana" w:eastAsia="Verdana" w:hAnsi="Verdana"/>
          <w:sz w:val="18"/>
          <w:szCs w:val="18"/>
          <w:color w:val="573621"/>
        </w:rPr>
        <w:t>i</w:t>
      </w:r>
      <w:r>
        <w:rPr>
          <w:rFonts w:ascii="Verdana" w:cs="Verdana" w:eastAsia="Verdana" w:hAnsi="Verdana"/>
          <w:sz w:val="18"/>
          <w:szCs w:val="18"/>
          <w:color w:val="auto"/>
        </w:rPr>
        <w:t>nat</w:t>
      </w:r>
      <w:r>
        <w:rPr>
          <w:rFonts w:ascii="Verdana" w:cs="Verdana" w:eastAsia="Verdana" w:hAnsi="Verdana"/>
          <w:sz w:val="18"/>
          <w:szCs w:val="18"/>
          <w:color w:val="0C1C46"/>
        </w:rPr>
        <w:t>i</w:t>
      </w:r>
      <w:r>
        <w:rPr>
          <w:rFonts w:ascii="Verdana" w:cs="Verdana" w:eastAsia="Verdana" w:hAnsi="Verdana"/>
          <w:sz w:val="18"/>
          <w:szCs w:val="18"/>
          <w:color w:val="auto"/>
        </w:rPr>
        <w:t>ons and cert</w:t>
      </w:r>
      <w:r>
        <w:rPr>
          <w:rFonts w:ascii="Verdana" w:cs="Verdana" w:eastAsia="Verdana" w:hAnsi="Verdana"/>
          <w:sz w:val="18"/>
          <w:szCs w:val="18"/>
          <w:color w:val="0C1C46"/>
        </w:rPr>
        <w:t>i</w:t>
      </w:r>
      <w:r>
        <w:rPr>
          <w:rFonts w:ascii="Verdana" w:cs="Verdana" w:eastAsia="Verdana" w:hAnsi="Verdana"/>
          <w:sz w:val="18"/>
          <w:szCs w:val="18"/>
          <w:color w:val="auto"/>
        </w:rPr>
        <w:t>ficat</w:t>
      </w:r>
      <w:r>
        <w:rPr>
          <w:rFonts w:ascii="Verdana" w:cs="Verdana" w:eastAsia="Verdana" w:hAnsi="Verdana"/>
          <w:sz w:val="18"/>
          <w:szCs w:val="18"/>
          <w:color w:val="0C1C46"/>
        </w:rPr>
        <w:t>i</w:t>
      </w:r>
      <w:r>
        <w:rPr>
          <w:rFonts w:ascii="Verdana" w:cs="Verdana" w:eastAsia="Verdana" w:hAnsi="Verdana"/>
          <w:sz w:val="18"/>
          <w:szCs w:val="18"/>
          <w:color w:val="auto"/>
        </w:rPr>
        <w:t>ons contemp</w:t>
      </w:r>
      <w:r>
        <w:rPr>
          <w:rFonts w:ascii="Verdana" w:cs="Verdana" w:eastAsia="Verdana" w:hAnsi="Verdana"/>
          <w:sz w:val="18"/>
          <w:szCs w:val="18"/>
          <w:color w:val="573621"/>
        </w:rPr>
        <w:t>l</w:t>
      </w:r>
      <w:r>
        <w:rPr>
          <w:rFonts w:ascii="Verdana" w:cs="Verdana" w:eastAsia="Verdana" w:hAnsi="Verdana"/>
          <w:sz w:val="18"/>
          <w:szCs w:val="18"/>
          <w:color w:val="auto"/>
        </w:rPr>
        <w:t xml:space="preserve">ated by </w:t>
      </w:r>
      <w:r>
        <w:rPr>
          <w:rFonts w:ascii="Verdana" w:cs="Verdana" w:eastAsia="Verdana" w:hAnsi="Verdana"/>
          <w:sz w:val="18"/>
          <w:szCs w:val="18"/>
          <w:u w:val="single" w:color="auto"/>
          <w:color w:val="auto"/>
        </w:rPr>
        <w:t>Sect</w:t>
      </w:r>
      <w:r>
        <w:rPr>
          <w:rFonts w:ascii="Verdana" w:cs="Verdana" w:eastAsia="Verdana" w:hAnsi="Verdana"/>
          <w:sz w:val="18"/>
          <w:szCs w:val="18"/>
          <w:u w:val="single" w:color="auto"/>
          <w:color w:val="0C1C46"/>
        </w:rPr>
        <w:t>i</w:t>
      </w:r>
      <w:r>
        <w:rPr>
          <w:rFonts w:ascii="Verdana" w:cs="Verdana" w:eastAsia="Verdana" w:hAnsi="Verdana"/>
          <w:sz w:val="18"/>
          <w:szCs w:val="18"/>
          <w:u w:val="single" w:color="auto"/>
          <w:color w:val="auto"/>
        </w:rPr>
        <w:t>ons</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070E23"/>
        </w:rPr>
        <w:t>1</w:t>
      </w:r>
      <w:r>
        <w:rPr>
          <w:rFonts w:ascii="Verdana" w:cs="Verdana" w:eastAsia="Verdana" w:hAnsi="Verdana"/>
          <w:sz w:val="18"/>
          <w:szCs w:val="18"/>
          <w:color w:val="auto"/>
        </w:rPr>
        <w:t xml:space="preserve"> and </w:t>
      </w:r>
      <w:r>
        <w:rPr>
          <w:rFonts w:ascii="Verdana" w:cs="Verdana" w:eastAsia="Verdana" w:hAnsi="Verdana"/>
          <w:sz w:val="18"/>
          <w:szCs w:val="18"/>
          <w:u w:val="single" w:color="auto"/>
          <w:color w:val="auto"/>
        </w:rPr>
        <w:t>2</w:t>
      </w:r>
      <w:r>
        <w:rPr>
          <w:rFonts w:ascii="Verdana" w:cs="Verdana" w:eastAsia="Verdana" w:hAnsi="Verdana"/>
          <w:sz w:val="18"/>
          <w:szCs w:val="18"/>
          <w:i w:val="1"/>
          <w:iCs w:val="1"/>
          <w:color w:val="auto"/>
        </w:rPr>
        <w:t>,</w:t>
      </w:r>
      <w:r>
        <w:rPr>
          <w:rFonts w:ascii="Verdana" w:cs="Verdana" w:eastAsia="Verdana" w:hAnsi="Verdana"/>
          <w:sz w:val="18"/>
          <w:szCs w:val="18"/>
          <w:color w:val="auto"/>
        </w:rPr>
        <w:t xml:space="preserve"> but </w:t>
      </w:r>
      <w:r>
        <w:rPr>
          <w:rFonts w:ascii="Verdana" w:cs="Verdana" w:eastAsia="Verdana" w:hAnsi="Verdana"/>
          <w:sz w:val="18"/>
          <w:szCs w:val="18"/>
          <w:color w:val="0C1C46"/>
        </w:rPr>
        <w:t>i</w:t>
      </w:r>
      <w:r>
        <w:rPr>
          <w:rFonts w:ascii="Verdana" w:cs="Verdana" w:eastAsia="Verdana" w:hAnsi="Verdana"/>
          <w:sz w:val="18"/>
          <w:szCs w:val="18"/>
          <w:color w:val="auto"/>
        </w:rPr>
        <w:t xml:space="preserve">n no event later than March </w:t>
      </w:r>
      <w:r>
        <w:rPr>
          <w:rFonts w:ascii="Verdana" w:cs="Verdana" w:eastAsia="Verdana" w:hAnsi="Verdana"/>
          <w:sz w:val="18"/>
          <w:szCs w:val="18"/>
          <w:color w:val="030307"/>
        </w:rPr>
        <w:t>15</w:t>
      </w:r>
      <w:r>
        <w:rPr>
          <w:rFonts w:ascii="Verdana" w:cs="Verdana" w:eastAsia="Verdana" w:hAnsi="Verdana"/>
          <w:sz w:val="18"/>
          <w:szCs w:val="18"/>
          <w:color w:val="auto"/>
        </w:rPr>
        <w:t xml:space="preserve"> of the year following the year </w:t>
      </w:r>
      <w:r>
        <w:rPr>
          <w:rFonts w:ascii="Verdana" w:cs="Verdana" w:eastAsia="Verdana" w:hAnsi="Verdana"/>
          <w:sz w:val="18"/>
          <w:szCs w:val="18"/>
          <w:color w:val="0C1C46"/>
        </w:rPr>
        <w:t>i</w:t>
      </w:r>
      <w:r>
        <w:rPr>
          <w:rFonts w:ascii="Verdana" w:cs="Verdana" w:eastAsia="Verdana" w:hAnsi="Verdana"/>
          <w:sz w:val="18"/>
          <w:szCs w:val="18"/>
          <w:color w:val="auto"/>
        </w:rPr>
        <w:t xml:space="preserve">n which the Performance </w:t>
      </w:r>
      <w:r>
        <w:rPr>
          <w:rFonts w:ascii="Verdana" w:cs="Verdana" w:eastAsia="Verdana" w:hAnsi="Verdana"/>
          <w:sz w:val="18"/>
          <w:szCs w:val="18"/>
          <w:color w:val="030307"/>
        </w:rPr>
        <w:t>P</w:t>
      </w:r>
      <w:r>
        <w:rPr>
          <w:rFonts w:ascii="Verdana" w:cs="Verdana" w:eastAsia="Verdana" w:hAnsi="Verdana"/>
          <w:sz w:val="18"/>
          <w:szCs w:val="18"/>
          <w:color w:val="auto"/>
        </w:rPr>
        <w:t>er</w:t>
      </w:r>
      <w:r>
        <w:rPr>
          <w:rFonts w:ascii="Verdana" w:cs="Verdana" w:eastAsia="Verdana" w:hAnsi="Verdana"/>
          <w:sz w:val="18"/>
          <w:szCs w:val="18"/>
          <w:color w:val="573621"/>
        </w:rPr>
        <w:t>i</w:t>
      </w:r>
      <w:r>
        <w:rPr>
          <w:rFonts w:ascii="Verdana" w:cs="Verdana" w:eastAsia="Verdana" w:hAnsi="Verdana"/>
          <w:sz w:val="18"/>
          <w:szCs w:val="18"/>
          <w:color w:val="auto"/>
        </w:rPr>
        <w:t>od ends, subject to sat</w:t>
      </w:r>
      <w:r>
        <w:rPr>
          <w:rFonts w:ascii="Verdana" w:cs="Verdana" w:eastAsia="Verdana" w:hAnsi="Verdana"/>
          <w:sz w:val="18"/>
          <w:szCs w:val="18"/>
          <w:color w:val="0C1C46"/>
        </w:rPr>
        <w:t>i</w:t>
      </w:r>
      <w:r>
        <w:rPr>
          <w:rFonts w:ascii="Verdana" w:cs="Verdana" w:eastAsia="Verdana" w:hAnsi="Verdana"/>
          <w:sz w:val="18"/>
          <w:szCs w:val="18"/>
          <w:color w:val="auto"/>
        </w:rPr>
        <w:t>sfaction of app</w:t>
      </w:r>
      <w:r>
        <w:rPr>
          <w:rFonts w:ascii="Verdana" w:cs="Verdana" w:eastAsia="Verdana" w:hAnsi="Verdana"/>
          <w:sz w:val="18"/>
          <w:szCs w:val="18"/>
          <w:color w:val="573621"/>
        </w:rPr>
        <w:t>l</w:t>
      </w:r>
      <w:r>
        <w:rPr>
          <w:rFonts w:ascii="Verdana" w:cs="Verdana" w:eastAsia="Verdana" w:hAnsi="Verdana"/>
          <w:sz w:val="18"/>
          <w:szCs w:val="18"/>
          <w:color w:val="auto"/>
        </w:rPr>
        <w:t>icable tax w</w:t>
      </w:r>
      <w:r>
        <w:rPr>
          <w:rFonts w:ascii="Verdana" w:cs="Verdana" w:eastAsia="Verdana" w:hAnsi="Verdana"/>
          <w:sz w:val="18"/>
          <w:szCs w:val="18"/>
          <w:color w:val="573621"/>
        </w:rPr>
        <w:t>i</w:t>
      </w:r>
      <w:r>
        <w:rPr>
          <w:rFonts w:ascii="Verdana" w:cs="Verdana" w:eastAsia="Verdana" w:hAnsi="Verdana"/>
          <w:sz w:val="18"/>
          <w:szCs w:val="18"/>
          <w:color w:val="auto"/>
        </w:rPr>
        <w:t>thholding obl</w:t>
      </w:r>
      <w:r>
        <w:rPr>
          <w:rFonts w:ascii="Verdana" w:cs="Verdana" w:eastAsia="Verdana" w:hAnsi="Verdana"/>
          <w:sz w:val="18"/>
          <w:szCs w:val="18"/>
          <w:color w:val="0C1C46"/>
        </w:rPr>
        <w:t>i</w:t>
      </w:r>
      <w:r>
        <w:rPr>
          <w:rFonts w:ascii="Verdana" w:cs="Verdana" w:eastAsia="Verdana" w:hAnsi="Verdana"/>
          <w:sz w:val="18"/>
          <w:szCs w:val="18"/>
          <w:color w:val="auto"/>
        </w:rPr>
        <w:t>gat</w:t>
      </w:r>
      <w:r>
        <w:rPr>
          <w:rFonts w:ascii="Verdana" w:cs="Verdana" w:eastAsia="Verdana" w:hAnsi="Verdana"/>
          <w:sz w:val="18"/>
          <w:szCs w:val="18"/>
          <w:color w:val="0C1C46"/>
        </w:rPr>
        <w:t>i</w:t>
      </w:r>
      <w:r>
        <w:rPr>
          <w:rFonts w:ascii="Verdana" w:cs="Verdana" w:eastAsia="Verdana" w:hAnsi="Verdana"/>
          <w:sz w:val="18"/>
          <w:szCs w:val="18"/>
          <w:color w:val="auto"/>
        </w:rPr>
        <w:t>ons in accordance w</w:t>
      </w:r>
      <w:r>
        <w:rPr>
          <w:rFonts w:ascii="Verdana" w:cs="Verdana" w:eastAsia="Verdana" w:hAnsi="Verdana"/>
          <w:sz w:val="18"/>
          <w:szCs w:val="18"/>
          <w:color w:val="0C1C46"/>
        </w:rPr>
        <w:t>i</w:t>
      </w:r>
      <w:r>
        <w:rPr>
          <w:rFonts w:ascii="Verdana" w:cs="Verdana" w:eastAsia="Verdana" w:hAnsi="Verdana"/>
          <w:sz w:val="18"/>
          <w:szCs w:val="18"/>
          <w:color w:val="auto"/>
        </w:rPr>
        <w:t xml:space="preserve">th </w:t>
      </w:r>
      <w:r>
        <w:rPr>
          <w:rFonts w:ascii="Verdana" w:cs="Verdana" w:eastAsia="Verdana" w:hAnsi="Verdana"/>
          <w:sz w:val="18"/>
          <w:szCs w:val="18"/>
          <w:u w:val="single" w:color="auto"/>
          <w:color w:val="auto"/>
        </w:rPr>
        <w:t>Sect</w:t>
      </w:r>
      <w:r>
        <w:rPr>
          <w:rFonts w:ascii="Verdana" w:cs="Verdana" w:eastAsia="Verdana" w:hAnsi="Verdana"/>
          <w:sz w:val="18"/>
          <w:szCs w:val="18"/>
          <w:u w:val="single" w:color="auto"/>
          <w:color w:val="0C1C46"/>
        </w:rPr>
        <w:t>i</w:t>
      </w:r>
      <w:r>
        <w:rPr>
          <w:rFonts w:ascii="Verdana" w:cs="Verdana" w:eastAsia="Verdana" w:hAnsi="Verdana"/>
          <w:sz w:val="18"/>
          <w:szCs w:val="18"/>
          <w:u w:val="single" w:color="auto"/>
          <w:color w:val="auto"/>
        </w:rPr>
        <w:t>on</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030307"/>
        </w:rPr>
        <w:t>1</w:t>
      </w:r>
      <w:r>
        <w:rPr>
          <w:rFonts w:ascii="Verdana" w:cs="Verdana" w:eastAsia="Verdana" w:hAnsi="Verdana"/>
          <w:sz w:val="18"/>
          <w:szCs w:val="18"/>
          <w:u w:val="single" w:color="auto"/>
          <w:color w:val="auto"/>
        </w:rPr>
        <w:t>2(g),</w:t>
      </w:r>
      <w:r>
        <w:rPr>
          <w:rFonts w:ascii="Verdana" w:cs="Verdana" w:eastAsia="Verdana" w:hAnsi="Verdana"/>
          <w:sz w:val="18"/>
          <w:szCs w:val="18"/>
          <w:color w:val="auto"/>
        </w:rPr>
        <w:t xml:space="preserve"> the Company shall cause to be paid to the Participant the number of shares of the Company</w:t>
      </w:r>
      <w:r>
        <w:rPr>
          <w:rFonts w:ascii="Verdana" w:cs="Verdana" w:eastAsia="Verdana" w:hAnsi="Verdana"/>
          <w:sz w:val="18"/>
          <w:szCs w:val="18"/>
          <w:color w:val="3D3446"/>
        </w:rPr>
        <w:t>’</w:t>
      </w:r>
      <w:r>
        <w:rPr>
          <w:rFonts w:ascii="Verdana" w:cs="Verdana" w:eastAsia="Verdana" w:hAnsi="Verdana"/>
          <w:sz w:val="18"/>
          <w:szCs w:val="18"/>
          <w:color w:val="auto"/>
        </w:rPr>
        <w:t>s Common Stock equa</w:t>
      </w:r>
      <w:r>
        <w:rPr>
          <w:rFonts w:ascii="Verdana" w:cs="Verdana" w:eastAsia="Verdana" w:hAnsi="Verdana"/>
          <w:sz w:val="18"/>
          <w:szCs w:val="18"/>
          <w:color w:val="0C1C46"/>
        </w:rPr>
        <w:t>l</w:t>
      </w:r>
      <w:r>
        <w:rPr>
          <w:rFonts w:ascii="Verdana" w:cs="Verdana" w:eastAsia="Verdana" w:hAnsi="Verdana"/>
          <w:sz w:val="18"/>
          <w:szCs w:val="18"/>
          <w:color w:val="auto"/>
        </w:rPr>
        <w:t xml:space="preserve"> to the number of R</w:t>
      </w:r>
      <w:r>
        <w:rPr>
          <w:rFonts w:ascii="Verdana" w:cs="Verdana" w:eastAsia="Verdana" w:hAnsi="Verdana"/>
          <w:sz w:val="18"/>
          <w:szCs w:val="18"/>
          <w:color w:val="030307"/>
        </w:rPr>
        <w:t>P</w:t>
      </w:r>
      <w:r>
        <w:rPr>
          <w:rFonts w:ascii="Verdana" w:cs="Verdana" w:eastAsia="Verdana" w:hAnsi="Verdana"/>
          <w:sz w:val="18"/>
          <w:szCs w:val="18"/>
          <w:color w:val="auto"/>
        </w:rPr>
        <w:t xml:space="preserve">SUs representing the </w:t>
      </w:r>
      <w:r>
        <w:rPr>
          <w:rFonts w:ascii="Verdana" w:cs="Verdana" w:eastAsia="Verdana" w:hAnsi="Verdana"/>
          <w:sz w:val="18"/>
          <w:szCs w:val="18"/>
          <w:color w:val="030307"/>
        </w:rPr>
        <w:t>F</w:t>
      </w:r>
      <w:r>
        <w:rPr>
          <w:rFonts w:ascii="Verdana" w:cs="Verdana" w:eastAsia="Verdana" w:hAnsi="Verdana"/>
          <w:sz w:val="18"/>
          <w:szCs w:val="18"/>
          <w:color w:val="0C1C46"/>
        </w:rPr>
        <w:t>i</w:t>
      </w:r>
      <w:r>
        <w:rPr>
          <w:rFonts w:ascii="Verdana" w:cs="Verdana" w:eastAsia="Verdana" w:hAnsi="Verdana"/>
          <w:sz w:val="18"/>
          <w:szCs w:val="18"/>
          <w:color w:val="auto"/>
        </w:rPr>
        <w:t xml:space="preserve">nal Award, as determined under </w:t>
      </w:r>
      <w:r>
        <w:rPr>
          <w:rFonts w:ascii="Verdana" w:cs="Verdana" w:eastAsia="Verdana" w:hAnsi="Verdana"/>
          <w:sz w:val="18"/>
          <w:szCs w:val="18"/>
          <w:u w:val="single" w:color="auto"/>
          <w:color w:val="auto"/>
        </w:rPr>
        <w:t>Sect</w:t>
      </w:r>
      <w:r>
        <w:rPr>
          <w:rFonts w:ascii="Verdana" w:cs="Verdana" w:eastAsia="Verdana" w:hAnsi="Verdana"/>
          <w:sz w:val="18"/>
          <w:szCs w:val="18"/>
          <w:u w:val="single" w:color="auto"/>
          <w:color w:val="0C1C46"/>
        </w:rPr>
        <w:t>i</w:t>
      </w:r>
      <w:r>
        <w:rPr>
          <w:rFonts w:ascii="Verdana" w:cs="Verdana" w:eastAsia="Verdana" w:hAnsi="Verdana"/>
          <w:sz w:val="18"/>
          <w:szCs w:val="18"/>
          <w:u w:val="single" w:color="auto"/>
          <w:color w:val="auto"/>
        </w:rPr>
        <w:t>on</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030307"/>
        </w:rPr>
        <w:t>1</w:t>
      </w:r>
      <w:r>
        <w:rPr>
          <w:rFonts w:ascii="Verdana" w:cs="Verdana" w:eastAsia="Verdana" w:hAnsi="Verdana"/>
          <w:sz w:val="18"/>
          <w:szCs w:val="18"/>
          <w:color w:val="auto"/>
        </w:rPr>
        <w:t xml:space="preserve"> of this Agreement (the “</w:t>
      </w:r>
      <w:r>
        <w:rPr>
          <w:rFonts w:ascii="Verdana" w:cs="Verdana" w:eastAsia="Verdana" w:hAnsi="Verdana"/>
          <w:sz w:val="18"/>
          <w:szCs w:val="18"/>
          <w:u w:val="single" w:color="auto"/>
          <w:color w:val="auto"/>
        </w:rPr>
        <w:t>Awarded Shares</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auto"/>
        </w:rPr>
        <w:t>prov</w:t>
      </w:r>
      <w:r>
        <w:rPr>
          <w:rFonts w:ascii="Verdana" w:cs="Verdana" w:eastAsia="Verdana" w:hAnsi="Verdana"/>
          <w:sz w:val="18"/>
          <w:szCs w:val="18"/>
          <w:u w:val="single" w:color="auto"/>
          <w:color w:val="573621"/>
        </w:rPr>
        <w:t>i</w:t>
      </w:r>
      <w:r>
        <w:rPr>
          <w:rFonts w:ascii="Verdana" w:cs="Verdana" w:eastAsia="Verdana" w:hAnsi="Verdana"/>
          <w:sz w:val="18"/>
          <w:szCs w:val="18"/>
          <w:u w:val="single" w:color="auto"/>
          <w:color w:val="auto"/>
        </w:rPr>
        <w:t>ded</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auto"/>
        </w:rPr>
        <w:t>however,</w:t>
      </w:r>
      <w:r>
        <w:rPr>
          <w:rFonts w:ascii="Verdana" w:cs="Verdana" w:eastAsia="Verdana" w:hAnsi="Verdana"/>
          <w:sz w:val="18"/>
          <w:szCs w:val="18"/>
          <w:color w:val="auto"/>
        </w:rPr>
        <w:t xml:space="preserve"> that if the </w:t>
      </w:r>
      <w:r>
        <w:rPr>
          <w:rFonts w:ascii="Verdana" w:cs="Verdana" w:eastAsia="Verdana" w:hAnsi="Verdana"/>
          <w:sz w:val="18"/>
          <w:szCs w:val="18"/>
          <w:color w:val="030307"/>
        </w:rPr>
        <w:t>P</w:t>
      </w:r>
      <w:r>
        <w:rPr>
          <w:rFonts w:ascii="Verdana" w:cs="Verdana" w:eastAsia="Verdana" w:hAnsi="Verdana"/>
          <w:sz w:val="18"/>
          <w:szCs w:val="18"/>
          <w:color w:val="auto"/>
        </w:rPr>
        <w:t>art</w:t>
      </w:r>
      <w:r>
        <w:rPr>
          <w:rFonts w:ascii="Verdana" w:cs="Verdana" w:eastAsia="Verdana" w:hAnsi="Verdana"/>
          <w:sz w:val="18"/>
          <w:szCs w:val="18"/>
          <w:color w:val="0C1C46"/>
        </w:rPr>
        <w:t>i</w:t>
      </w:r>
      <w:r>
        <w:rPr>
          <w:rFonts w:ascii="Verdana" w:cs="Verdana" w:eastAsia="Verdana" w:hAnsi="Verdana"/>
          <w:sz w:val="18"/>
          <w:szCs w:val="18"/>
          <w:color w:val="auto"/>
        </w:rPr>
        <w:t xml:space="preserve">cipant </w:t>
      </w:r>
      <w:r>
        <w:rPr>
          <w:rFonts w:ascii="Verdana" w:cs="Verdana" w:eastAsia="Verdana" w:hAnsi="Verdana"/>
          <w:sz w:val="18"/>
          <w:szCs w:val="18"/>
          <w:color w:val="0C1C46"/>
        </w:rPr>
        <w:t>i</w:t>
      </w:r>
      <w:r>
        <w:rPr>
          <w:rFonts w:ascii="Verdana" w:cs="Verdana" w:eastAsia="Verdana" w:hAnsi="Verdana"/>
          <w:sz w:val="18"/>
          <w:szCs w:val="18"/>
          <w:color w:val="auto"/>
        </w:rPr>
        <w:t xml:space="preserve">ncurs a </w:t>
      </w:r>
      <w:r>
        <w:rPr>
          <w:rFonts w:ascii="Verdana" w:cs="Verdana" w:eastAsia="Verdana" w:hAnsi="Verdana"/>
          <w:sz w:val="18"/>
          <w:szCs w:val="18"/>
          <w:color w:val="030307"/>
        </w:rPr>
        <w:t>T</w:t>
      </w:r>
      <w:r>
        <w:rPr>
          <w:rFonts w:ascii="Verdana" w:cs="Verdana" w:eastAsia="Verdana" w:hAnsi="Verdana"/>
          <w:sz w:val="18"/>
          <w:szCs w:val="18"/>
          <w:color w:val="auto"/>
        </w:rPr>
        <w:t>erm</w:t>
      </w:r>
      <w:r>
        <w:rPr>
          <w:rFonts w:ascii="Verdana" w:cs="Verdana" w:eastAsia="Verdana" w:hAnsi="Verdana"/>
          <w:sz w:val="18"/>
          <w:szCs w:val="18"/>
          <w:color w:val="0C1C46"/>
        </w:rPr>
        <w:t>i</w:t>
      </w:r>
      <w:r>
        <w:rPr>
          <w:rFonts w:ascii="Verdana" w:cs="Verdana" w:eastAsia="Verdana" w:hAnsi="Verdana"/>
          <w:sz w:val="18"/>
          <w:szCs w:val="18"/>
          <w:color w:val="auto"/>
        </w:rPr>
        <w:t>nation of Serv</w:t>
      </w:r>
      <w:r>
        <w:rPr>
          <w:rFonts w:ascii="Verdana" w:cs="Verdana" w:eastAsia="Verdana" w:hAnsi="Verdana"/>
          <w:sz w:val="18"/>
          <w:szCs w:val="18"/>
          <w:color w:val="0C1C46"/>
        </w:rPr>
        <w:t>i</w:t>
      </w:r>
      <w:r>
        <w:rPr>
          <w:rFonts w:ascii="Verdana" w:cs="Verdana" w:eastAsia="Verdana" w:hAnsi="Verdana"/>
          <w:sz w:val="18"/>
          <w:szCs w:val="18"/>
          <w:color w:val="auto"/>
        </w:rPr>
        <w:t>ce that qual</w:t>
      </w:r>
      <w:r>
        <w:rPr>
          <w:rFonts w:ascii="Verdana" w:cs="Verdana" w:eastAsia="Verdana" w:hAnsi="Verdana"/>
          <w:sz w:val="18"/>
          <w:szCs w:val="18"/>
          <w:color w:val="0C1C46"/>
        </w:rPr>
        <w:t>i</w:t>
      </w:r>
      <w:r>
        <w:rPr>
          <w:rFonts w:ascii="Verdana" w:cs="Verdana" w:eastAsia="Verdana" w:hAnsi="Verdana"/>
          <w:sz w:val="18"/>
          <w:szCs w:val="18"/>
          <w:color w:val="auto"/>
        </w:rPr>
        <w:t xml:space="preserve">fies for payment of a </w:t>
      </w:r>
      <w:r>
        <w:rPr>
          <w:rFonts w:ascii="Verdana" w:cs="Verdana" w:eastAsia="Verdana" w:hAnsi="Verdana"/>
          <w:sz w:val="18"/>
          <w:szCs w:val="18"/>
          <w:color w:val="030307"/>
        </w:rPr>
        <w:t>F</w:t>
      </w:r>
      <w:r>
        <w:rPr>
          <w:rFonts w:ascii="Verdana" w:cs="Verdana" w:eastAsia="Verdana" w:hAnsi="Verdana"/>
          <w:sz w:val="18"/>
          <w:szCs w:val="18"/>
          <w:color w:val="auto"/>
        </w:rPr>
        <w:t>inal Award as descr</w:t>
      </w:r>
      <w:r>
        <w:rPr>
          <w:rFonts w:ascii="Verdana" w:cs="Verdana" w:eastAsia="Verdana" w:hAnsi="Verdana"/>
          <w:sz w:val="18"/>
          <w:szCs w:val="18"/>
          <w:color w:val="573621"/>
        </w:rPr>
        <w:t>i</w:t>
      </w:r>
      <w:r>
        <w:rPr>
          <w:rFonts w:ascii="Verdana" w:cs="Verdana" w:eastAsia="Verdana" w:hAnsi="Verdana"/>
          <w:sz w:val="18"/>
          <w:szCs w:val="18"/>
          <w:color w:val="auto"/>
        </w:rPr>
        <w:t xml:space="preserve">bed </w:t>
      </w:r>
      <w:r>
        <w:rPr>
          <w:rFonts w:ascii="Verdana" w:cs="Verdana" w:eastAsia="Verdana" w:hAnsi="Verdana"/>
          <w:sz w:val="18"/>
          <w:szCs w:val="18"/>
          <w:color w:val="573621"/>
        </w:rPr>
        <w:t>i</w:t>
      </w:r>
      <w:r>
        <w:rPr>
          <w:rFonts w:ascii="Verdana" w:cs="Verdana" w:eastAsia="Verdana" w:hAnsi="Verdana"/>
          <w:sz w:val="18"/>
          <w:szCs w:val="18"/>
          <w:color w:val="auto"/>
        </w:rPr>
        <w:t xml:space="preserve">n </w:t>
      </w:r>
      <w:r>
        <w:rPr>
          <w:rFonts w:ascii="Verdana" w:cs="Verdana" w:eastAsia="Verdana" w:hAnsi="Verdana"/>
          <w:sz w:val="18"/>
          <w:szCs w:val="18"/>
          <w:u w:val="single" w:color="auto"/>
          <w:color w:val="auto"/>
        </w:rPr>
        <w:t>Sect</w:t>
      </w:r>
      <w:r>
        <w:rPr>
          <w:rFonts w:ascii="Verdana" w:cs="Verdana" w:eastAsia="Verdana" w:hAnsi="Verdana"/>
          <w:sz w:val="18"/>
          <w:szCs w:val="18"/>
          <w:u w:val="single" w:color="auto"/>
          <w:color w:val="0C1C46"/>
        </w:rPr>
        <w:t>i</w:t>
      </w:r>
      <w:r>
        <w:rPr>
          <w:rFonts w:ascii="Verdana" w:cs="Verdana" w:eastAsia="Verdana" w:hAnsi="Verdana"/>
          <w:sz w:val="18"/>
          <w:szCs w:val="18"/>
          <w:u w:val="single" w:color="auto"/>
          <w:color w:val="auto"/>
        </w:rPr>
        <w:t>on 8,</w:t>
      </w:r>
      <w:r>
        <w:rPr>
          <w:rFonts w:ascii="Verdana" w:cs="Verdana" w:eastAsia="Verdana" w:hAnsi="Verdana"/>
          <w:sz w:val="18"/>
          <w:szCs w:val="18"/>
          <w:color w:val="auto"/>
        </w:rPr>
        <w:t xml:space="preserve"> then such payment shall be made on the next admin</w:t>
      </w:r>
      <w:r>
        <w:rPr>
          <w:rFonts w:ascii="Verdana" w:cs="Verdana" w:eastAsia="Verdana" w:hAnsi="Verdana"/>
          <w:sz w:val="18"/>
          <w:szCs w:val="18"/>
          <w:color w:val="573621"/>
        </w:rPr>
        <w:t>i</w:t>
      </w:r>
      <w:r>
        <w:rPr>
          <w:rFonts w:ascii="Verdana" w:cs="Verdana" w:eastAsia="Verdana" w:hAnsi="Verdana"/>
          <w:sz w:val="18"/>
          <w:szCs w:val="18"/>
          <w:color w:val="auto"/>
        </w:rPr>
        <w:t>strat</w:t>
      </w:r>
      <w:r>
        <w:rPr>
          <w:rFonts w:ascii="Verdana" w:cs="Verdana" w:eastAsia="Verdana" w:hAnsi="Verdana"/>
          <w:sz w:val="18"/>
          <w:szCs w:val="18"/>
          <w:color w:val="573621"/>
        </w:rPr>
        <w:t>i</w:t>
      </w:r>
      <w:r>
        <w:rPr>
          <w:rFonts w:ascii="Verdana" w:cs="Verdana" w:eastAsia="Verdana" w:hAnsi="Verdana"/>
          <w:sz w:val="18"/>
          <w:szCs w:val="18"/>
          <w:color w:val="auto"/>
        </w:rPr>
        <w:t>ve</w:t>
      </w:r>
      <w:r>
        <w:rPr>
          <w:rFonts w:ascii="Verdana" w:cs="Verdana" w:eastAsia="Verdana" w:hAnsi="Verdana"/>
          <w:sz w:val="18"/>
          <w:szCs w:val="18"/>
          <w:color w:val="573621"/>
        </w:rPr>
        <w:t>l</w:t>
      </w:r>
      <w:r>
        <w:rPr>
          <w:rFonts w:ascii="Verdana" w:cs="Verdana" w:eastAsia="Verdana" w:hAnsi="Verdana"/>
          <w:sz w:val="18"/>
          <w:szCs w:val="18"/>
          <w:color w:val="auto"/>
        </w:rPr>
        <w:t>y feas</w:t>
      </w:r>
      <w:r>
        <w:rPr>
          <w:rFonts w:ascii="Verdana" w:cs="Verdana" w:eastAsia="Verdana" w:hAnsi="Verdana"/>
          <w:sz w:val="18"/>
          <w:szCs w:val="18"/>
          <w:color w:val="0C1C46"/>
        </w:rPr>
        <w:t>i</w:t>
      </w:r>
      <w:r>
        <w:rPr>
          <w:rFonts w:ascii="Verdana" w:cs="Verdana" w:eastAsia="Verdana" w:hAnsi="Verdana"/>
          <w:sz w:val="18"/>
          <w:szCs w:val="18"/>
          <w:color w:val="auto"/>
        </w:rPr>
        <w:t>b</w:t>
      </w:r>
      <w:r>
        <w:rPr>
          <w:rFonts w:ascii="Verdana" w:cs="Verdana" w:eastAsia="Verdana" w:hAnsi="Verdana"/>
          <w:sz w:val="18"/>
          <w:szCs w:val="18"/>
          <w:color w:val="0C1C46"/>
        </w:rPr>
        <w:t>l</w:t>
      </w:r>
      <w:r>
        <w:rPr>
          <w:rFonts w:ascii="Verdana" w:cs="Verdana" w:eastAsia="Verdana" w:hAnsi="Verdana"/>
          <w:sz w:val="18"/>
          <w:szCs w:val="18"/>
          <w:color w:val="auto"/>
        </w:rPr>
        <w:t>e regu</w:t>
      </w:r>
      <w:r>
        <w:rPr>
          <w:rFonts w:ascii="Verdana" w:cs="Verdana" w:eastAsia="Verdana" w:hAnsi="Verdana"/>
          <w:sz w:val="18"/>
          <w:szCs w:val="18"/>
          <w:color w:val="0C1C46"/>
        </w:rPr>
        <w:t>l</w:t>
      </w:r>
      <w:r>
        <w:rPr>
          <w:rFonts w:ascii="Verdana" w:cs="Verdana" w:eastAsia="Verdana" w:hAnsi="Verdana"/>
          <w:sz w:val="18"/>
          <w:szCs w:val="18"/>
          <w:color w:val="auto"/>
        </w:rPr>
        <w:t>arly scheduled payroll date but at no t</w:t>
      </w:r>
      <w:r>
        <w:rPr>
          <w:rFonts w:ascii="Verdana" w:cs="Verdana" w:eastAsia="Verdana" w:hAnsi="Verdana"/>
          <w:sz w:val="18"/>
          <w:szCs w:val="18"/>
          <w:color w:val="0C1C46"/>
        </w:rPr>
        <w:t>i</w:t>
      </w:r>
      <w:r>
        <w:rPr>
          <w:rFonts w:ascii="Verdana" w:cs="Verdana" w:eastAsia="Verdana" w:hAnsi="Verdana"/>
          <w:sz w:val="18"/>
          <w:szCs w:val="18"/>
          <w:color w:val="auto"/>
        </w:rPr>
        <w:t>me more than s</w:t>
      </w:r>
      <w:r>
        <w:rPr>
          <w:rFonts w:ascii="Verdana" w:cs="Verdana" w:eastAsia="Verdana" w:hAnsi="Verdana"/>
          <w:sz w:val="18"/>
          <w:szCs w:val="18"/>
          <w:color w:val="573621"/>
        </w:rPr>
        <w:t>i</w:t>
      </w:r>
      <w:r>
        <w:rPr>
          <w:rFonts w:ascii="Verdana" w:cs="Verdana" w:eastAsia="Verdana" w:hAnsi="Verdana"/>
          <w:sz w:val="18"/>
          <w:szCs w:val="18"/>
          <w:color w:val="auto"/>
        </w:rPr>
        <w:t xml:space="preserve">xty </w:t>
      </w:r>
      <w:r>
        <w:rPr>
          <w:rFonts w:ascii="Verdana" w:cs="Verdana" w:eastAsia="Verdana" w:hAnsi="Verdana"/>
          <w:sz w:val="18"/>
          <w:szCs w:val="18"/>
          <w:color w:val="382626"/>
        </w:rPr>
        <w:t>(60)</w:t>
      </w:r>
      <w:r>
        <w:rPr>
          <w:rFonts w:ascii="Verdana" w:cs="Verdana" w:eastAsia="Verdana" w:hAnsi="Verdana"/>
          <w:sz w:val="18"/>
          <w:szCs w:val="18"/>
          <w:color w:val="auto"/>
        </w:rPr>
        <w:t xml:space="preserve"> days after the date a </w:t>
      </w:r>
      <w:r>
        <w:rPr>
          <w:rFonts w:ascii="Verdana" w:cs="Verdana" w:eastAsia="Verdana" w:hAnsi="Verdana"/>
          <w:sz w:val="18"/>
          <w:szCs w:val="18"/>
          <w:color w:val="030307"/>
        </w:rPr>
        <w:t>F</w:t>
      </w:r>
      <w:r>
        <w:rPr>
          <w:rFonts w:ascii="Verdana" w:cs="Verdana" w:eastAsia="Verdana" w:hAnsi="Verdana"/>
          <w:sz w:val="18"/>
          <w:szCs w:val="18"/>
          <w:color w:val="auto"/>
        </w:rPr>
        <w:t>inal Award, if any, is determ</w:t>
      </w:r>
      <w:r>
        <w:rPr>
          <w:rFonts w:ascii="Verdana" w:cs="Verdana" w:eastAsia="Verdana" w:hAnsi="Verdana"/>
          <w:sz w:val="18"/>
          <w:szCs w:val="18"/>
          <w:color w:val="0C1C46"/>
        </w:rPr>
        <w:t>i</w:t>
      </w:r>
      <w:r>
        <w:rPr>
          <w:rFonts w:ascii="Verdana" w:cs="Verdana" w:eastAsia="Verdana" w:hAnsi="Verdana"/>
          <w:sz w:val="18"/>
          <w:szCs w:val="18"/>
          <w:color w:val="auto"/>
        </w:rPr>
        <w:t>ned or becomes payable, as descr</w:t>
      </w:r>
      <w:r>
        <w:rPr>
          <w:rFonts w:ascii="Verdana" w:cs="Verdana" w:eastAsia="Verdana" w:hAnsi="Verdana"/>
          <w:sz w:val="18"/>
          <w:szCs w:val="18"/>
          <w:color w:val="0C1C46"/>
        </w:rPr>
        <w:t>i</w:t>
      </w:r>
      <w:r>
        <w:rPr>
          <w:rFonts w:ascii="Verdana" w:cs="Verdana" w:eastAsia="Verdana" w:hAnsi="Verdana"/>
          <w:sz w:val="18"/>
          <w:szCs w:val="18"/>
          <w:color w:val="auto"/>
        </w:rPr>
        <w:t xml:space="preserve">bed </w:t>
      </w:r>
      <w:r>
        <w:rPr>
          <w:rFonts w:ascii="Verdana" w:cs="Verdana" w:eastAsia="Verdana" w:hAnsi="Verdana"/>
          <w:sz w:val="18"/>
          <w:szCs w:val="18"/>
          <w:color w:val="0C1C46"/>
        </w:rPr>
        <w:t>i</w:t>
      </w:r>
      <w:r>
        <w:rPr>
          <w:rFonts w:ascii="Verdana" w:cs="Verdana" w:eastAsia="Verdana" w:hAnsi="Verdana"/>
          <w:sz w:val="18"/>
          <w:szCs w:val="18"/>
          <w:color w:val="auto"/>
        </w:rPr>
        <w:t>n the appl</w:t>
      </w:r>
      <w:r>
        <w:rPr>
          <w:rFonts w:ascii="Verdana" w:cs="Verdana" w:eastAsia="Verdana" w:hAnsi="Verdana"/>
          <w:sz w:val="18"/>
          <w:szCs w:val="18"/>
          <w:color w:val="0C1C46"/>
        </w:rPr>
        <w:t>i</w:t>
      </w:r>
      <w:r>
        <w:rPr>
          <w:rFonts w:ascii="Verdana" w:cs="Verdana" w:eastAsia="Verdana" w:hAnsi="Verdana"/>
          <w:sz w:val="18"/>
          <w:szCs w:val="18"/>
          <w:color w:val="auto"/>
        </w:rPr>
        <w:t>cable subsect</w:t>
      </w:r>
      <w:r>
        <w:rPr>
          <w:rFonts w:ascii="Verdana" w:cs="Verdana" w:eastAsia="Verdana" w:hAnsi="Verdana"/>
          <w:sz w:val="18"/>
          <w:szCs w:val="18"/>
          <w:color w:val="573621"/>
        </w:rPr>
        <w:t>i</w:t>
      </w:r>
      <w:r>
        <w:rPr>
          <w:rFonts w:ascii="Verdana" w:cs="Verdana" w:eastAsia="Verdana" w:hAnsi="Verdana"/>
          <w:sz w:val="18"/>
          <w:szCs w:val="18"/>
          <w:color w:val="auto"/>
        </w:rPr>
        <w:t xml:space="preserve">on of </w:t>
      </w:r>
      <w:r>
        <w:rPr>
          <w:rFonts w:ascii="Verdana" w:cs="Verdana" w:eastAsia="Verdana" w:hAnsi="Verdana"/>
          <w:sz w:val="18"/>
          <w:szCs w:val="18"/>
          <w:u w:val="single" w:color="auto"/>
          <w:color w:val="auto"/>
        </w:rPr>
        <w:t>Section 8,</w:t>
      </w:r>
      <w:r>
        <w:rPr>
          <w:rFonts w:ascii="Verdana" w:cs="Verdana" w:eastAsia="Verdana" w:hAnsi="Verdana"/>
          <w:sz w:val="18"/>
          <w:szCs w:val="18"/>
          <w:color w:val="auto"/>
        </w:rPr>
        <w:t xml:space="preserve"> and, </w:t>
      </w:r>
      <w:r>
        <w:rPr>
          <w:rFonts w:ascii="Verdana" w:cs="Verdana" w:eastAsia="Verdana" w:hAnsi="Verdana"/>
          <w:sz w:val="18"/>
          <w:szCs w:val="18"/>
          <w:color w:val="0C1C46"/>
        </w:rPr>
        <w:t>i</w:t>
      </w:r>
      <w:r>
        <w:rPr>
          <w:rFonts w:ascii="Verdana" w:cs="Verdana" w:eastAsia="Verdana" w:hAnsi="Verdana"/>
          <w:sz w:val="18"/>
          <w:szCs w:val="18"/>
          <w:color w:val="auto"/>
        </w:rPr>
        <w:t xml:space="preserve">n accordance with </w:t>
      </w:r>
      <w:r>
        <w:rPr>
          <w:rFonts w:ascii="Verdana" w:cs="Verdana" w:eastAsia="Verdana" w:hAnsi="Verdana"/>
          <w:sz w:val="18"/>
          <w:szCs w:val="18"/>
          <w:u w:val="single" w:color="auto"/>
          <w:color w:val="auto"/>
        </w:rPr>
        <w:t>Sect</w:t>
      </w:r>
      <w:r>
        <w:rPr>
          <w:rFonts w:ascii="Verdana" w:cs="Verdana" w:eastAsia="Verdana" w:hAnsi="Verdana"/>
          <w:sz w:val="18"/>
          <w:szCs w:val="18"/>
          <w:u w:val="single" w:color="auto"/>
          <w:color w:val="0C1C46"/>
        </w:rPr>
        <w:t>i</w:t>
      </w:r>
      <w:r>
        <w:rPr>
          <w:rFonts w:ascii="Verdana" w:cs="Verdana" w:eastAsia="Verdana" w:hAnsi="Verdana"/>
          <w:sz w:val="18"/>
          <w:szCs w:val="18"/>
          <w:u w:val="single" w:color="auto"/>
          <w:color w:val="auto"/>
        </w:rPr>
        <w:t>on</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030307"/>
        </w:rPr>
        <w:t>1</w:t>
      </w:r>
      <w:r>
        <w:rPr>
          <w:rFonts w:ascii="Verdana" w:cs="Verdana" w:eastAsia="Verdana" w:hAnsi="Verdana"/>
          <w:sz w:val="18"/>
          <w:szCs w:val="18"/>
          <w:u w:val="single" w:color="auto"/>
          <w:color w:val="auto"/>
        </w:rPr>
        <w:t>2(g)</w:t>
      </w:r>
      <w:r>
        <w:rPr>
          <w:rFonts w:ascii="Verdana" w:cs="Verdana" w:eastAsia="Verdana" w:hAnsi="Verdana"/>
          <w:sz w:val="18"/>
          <w:szCs w:val="18"/>
          <w:color w:val="auto"/>
        </w:rPr>
        <w:t>, the Fa</w:t>
      </w:r>
      <w:r>
        <w:rPr>
          <w:rFonts w:ascii="Verdana" w:cs="Verdana" w:eastAsia="Verdana" w:hAnsi="Verdana"/>
          <w:sz w:val="18"/>
          <w:szCs w:val="18"/>
          <w:color w:val="573621"/>
        </w:rPr>
        <w:t>i</w:t>
      </w:r>
      <w:r>
        <w:rPr>
          <w:rFonts w:ascii="Verdana" w:cs="Verdana" w:eastAsia="Verdana" w:hAnsi="Verdana"/>
          <w:sz w:val="18"/>
          <w:szCs w:val="18"/>
          <w:color w:val="auto"/>
        </w:rPr>
        <w:t>r Market Value of the R</w:t>
      </w:r>
      <w:r>
        <w:rPr>
          <w:rFonts w:ascii="Verdana" w:cs="Verdana" w:eastAsia="Verdana" w:hAnsi="Verdana"/>
          <w:sz w:val="18"/>
          <w:szCs w:val="18"/>
          <w:color w:val="030307"/>
        </w:rPr>
        <w:t>P</w:t>
      </w:r>
      <w:r>
        <w:rPr>
          <w:rFonts w:ascii="Verdana" w:cs="Verdana" w:eastAsia="Verdana" w:hAnsi="Verdana"/>
          <w:sz w:val="18"/>
          <w:szCs w:val="18"/>
          <w:color w:val="auto"/>
        </w:rPr>
        <w:t xml:space="preserve">SUs shall be determined as of such date, </w:t>
      </w:r>
      <w:r>
        <w:rPr>
          <w:rFonts w:ascii="Verdana" w:cs="Verdana" w:eastAsia="Verdana" w:hAnsi="Verdana"/>
          <w:sz w:val="18"/>
          <w:szCs w:val="18"/>
          <w:color w:val="573621"/>
        </w:rPr>
        <w:t>l</w:t>
      </w:r>
      <w:r>
        <w:rPr>
          <w:rFonts w:ascii="Verdana" w:cs="Verdana" w:eastAsia="Verdana" w:hAnsi="Verdana"/>
          <w:sz w:val="18"/>
          <w:szCs w:val="18"/>
          <w:color w:val="auto"/>
        </w:rPr>
        <w:t>ess app</w:t>
      </w:r>
      <w:r>
        <w:rPr>
          <w:rFonts w:ascii="Verdana" w:cs="Verdana" w:eastAsia="Verdana" w:hAnsi="Verdana"/>
          <w:sz w:val="18"/>
          <w:szCs w:val="18"/>
          <w:color w:val="573621"/>
        </w:rPr>
        <w:t>l</w:t>
      </w:r>
      <w:r>
        <w:rPr>
          <w:rFonts w:ascii="Verdana" w:cs="Verdana" w:eastAsia="Verdana" w:hAnsi="Verdana"/>
          <w:sz w:val="18"/>
          <w:szCs w:val="18"/>
          <w:color w:val="0C1C46"/>
        </w:rPr>
        <w:t>i</w:t>
      </w:r>
      <w:r>
        <w:rPr>
          <w:rFonts w:ascii="Verdana" w:cs="Verdana" w:eastAsia="Verdana" w:hAnsi="Verdana"/>
          <w:sz w:val="18"/>
          <w:szCs w:val="18"/>
          <w:color w:val="auto"/>
        </w:rPr>
        <w:t>cable taxes</w:t>
      </w:r>
      <w:r>
        <w:rPr>
          <w:rFonts w:ascii="Verdana" w:cs="Verdana" w:eastAsia="Verdana" w:hAnsi="Verdana"/>
          <w:sz w:val="18"/>
          <w:szCs w:val="18"/>
          <w:color w:val="030307"/>
        </w:rPr>
        <w:t>.</w:t>
      </w:r>
    </w:p>
    <w:p>
      <w:pPr>
        <w:spacing w:after="0" w:line="201" w:lineRule="exact"/>
        <w:rPr>
          <w:rFonts w:ascii="Verdana" w:cs="Verdana" w:eastAsia="Verdana" w:hAnsi="Verdana"/>
          <w:sz w:val="18"/>
          <w:szCs w:val="18"/>
          <w:b w:val="1"/>
          <w:bCs w:val="1"/>
          <w:color w:val="010000"/>
        </w:rPr>
      </w:pPr>
    </w:p>
    <w:p>
      <w:pPr>
        <w:jc w:val="both"/>
        <w:ind w:left="635"/>
        <w:spacing w:after="0" w:line="234" w:lineRule="auto"/>
        <w:rPr>
          <w:rFonts w:ascii="Verdana" w:cs="Verdana" w:eastAsia="Verdana" w:hAnsi="Verdana"/>
          <w:sz w:val="18"/>
          <w:szCs w:val="18"/>
          <w:b w:val="1"/>
          <w:bCs w:val="1"/>
          <w:color w:val="010000"/>
        </w:rPr>
      </w:pPr>
      <w:r>
        <w:rPr>
          <w:rFonts w:ascii="Verdana" w:cs="Verdana" w:eastAsia="Verdana" w:hAnsi="Verdana"/>
          <w:sz w:val="18"/>
          <w:szCs w:val="18"/>
          <w:i w:val="1"/>
          <w:iCs w:val="1"/>
          <w:color w:val="auto"/>
        </w:rPr>
        <w:t xml:space="preserve">Post-Settlement Holding Period. </w:t>
      </w:r>
      <w:r>
        <w:rPr>
          <w:rFonts w:ascii="Verdana" w:cs="Verdana" w:eastAsia="Verdana" w:hAnsi="Verdana"/>
          <w:sz w:val="18"/>
          <w:szCs w:val="18"/>
          <w:color w:val="auto"/>
        </w:rPr>
        <w:t>Participant may not pledge, sell, assign or otherwise transfer the Awarded Shares</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(which shall include any stock dividends issued or issuable thereon) until one (1) year after the settlement of the Final Award (the “</w:t>
      </w:r>
      <w:r>
        <w:rPr>
          <w:rFonts w:ascii="Verdana" w:cs="Verdana" w:eastAsia="Verdana" w:hAnsi="Verdana"/>
          <w:sz w:val="18"/>
          <w:szCs w:val="18"/>
          <w:u w:val="single" w:color="auto"/>
          <w:color w:val="auto"/>
        </w:rPr>
        <w:t>Post-Settlement Holding Period</w:t>
      </w:r>
      <w:r>
        <w:rPr>
          <w:rFonts w:ascii="Verdana" w:cs="Verdana" w:eastAsia="Verdana" w:hAnsi="Verdana"/>
          <w:sz w:val="18"/>
          <w:szCs w:val="18"/>
          <w:color w:val="auto"/>
        </w:rPr>
        <w:t>”). During the Post-Settlement Holding Period, Participant will be able to vote the Awarded Shares and receive any dividends issued, if any, with respect to the Awarded Shares. Notwithstanding the foregoing, these restrictions with respect to the Awarded Shares (regardless of whether they have settled) shall immediately lapse upon Participant’s death or Disability or a Change in Control of the Company.</w:t>
      </w:r>
    </w:p>
    <w:p>
      <w:pPr>
        <w:spacing w:after="0" w:line="194" w:lineRule="exact"/>
        <w:rPr>
          <w:rFonts w:ascii="Verdana" w:cs="Verdana" w:eastAsia="Verdana" w:hAnsi="Verdana"/>
          <w:sz w:val="18"/>
          <w:szCs w:val="18"/>
          <w:b w:val="1"/>
          <w:bCs w:val="1"/>
          <w:color w:val="010000"/>
        </w:rPr>
      </w:pPr>
    </w:p>
    <w:p>
      <w:pPr>
        <w:jc w:val="both"/>
        <w:ind w:left="635"/>
        <w:spacing w:after="0" w:line="270" w:lineRule="auto"/>
        <w:rPr>
          <w:rFonts w:ascii="Verdana" w:cs="Verdana" w:eastAsia="Verdana" w:hAnsi="Verdana"/>
          <w:sz w:val="18"/>
          <w:szCs w:val="18"/>
          <w:b w:val="1"/>
          <w:bCs w:val="1"/>
          <w:color w:val="010000"/>
        </w:rPr>
      </w:pPr>
      <w:r>
        <w:rPr>
          <w:rFonts w:ascii="Verdana" w:cs="Verdana" w:eastAsia="Verdana" w:hAnsi="Verdana"/>
          <w:sz w:val="16"/>
          <w:szCs w:val="16"/>
          <w:color w:val="auto"/>
        </w:rPr>
        <w:t>Notw</w:t>
      </w:r>
      <w:r>
        <w:rPr>
          <w:rFonts w:ascii="Verdana" w:cs="Verdana" w:eastAsia="Verdana" w:hAnsi="Verdana"/>
          <w:sz w:val="16"/>
          <w:szCs w:val="16"/>
          <w:color w:val="0C1C46"/>
        </w:rPr>
        <w:t>i</w:t>
      </w:r>
      <w:r>
        <w:rPr>
          <w:rFonts w:ascii="Verdana" w:cs="Verdana" w:eastAsia="Verdana" w:hAnsi="Verdana"/>
          <w:sz w:val="16"/>
          <w:szCs w:val="16"/>
          <w:color w:val="auto"/>
        </w:rPr>
        <w:t>thstand</w:t>
      </w:r>
      <w:r>
        <w:rPr>
          <w:rFonts w:ascii="Verdana" w:cs="Verdana" w:eastAsia="Verdana" w:hAnsi="Verdana"/>
          <w:sz w:val="16"/>
          <w:szCs w:val="16"/>
          <w:color w:val="382626"/>
        </w:rPr>
        <w:t>i</w:t>
      </w:r>
      <w:r>
        <w:rPr>
          <w:rFonts w:ascii="Verdana" w:cs="Verdana" w:eastAsia="Verdana" w:hAnsi="Verdana"/>
          <w:sz w:val="16"/>
          <w:szCs w:val="16"/>
          <w:color w:val="auto"/>
        </w:rPr>
        <w:t>ng the forego</w:t>
      </w:r>
      <w:r>
        <w:rPr>
          <w:rFonts w:ascii="Verdana" w:cs="Verdana" w:eastAsia="Verdana" w:hAnsi="Verdana"/>
          <w:sz w:val="16"/>
          <w:szCs w:val="16"/>
          <w:color w:val="0C1C46"/>
        </w:rPr>
        <w:t>i</w:t>
      </w:r>
      <w:r>
        <w:rPr>
          <w:rFonts w:ascii="Verdana" w:cs="Verdana" w:eastAsia="Verdana" w:hAnsi="Verdana"/>
          <w:sz w:val="16"/>
          <w:szCs w:val="16"/>
          <w:color w:val="auto"/>
        </w:rPr>
        <w:t>ng prov</w:t>
      </w:r>
      <w:r>
        <w:rPr>
          <w:rFonts w:ascii="Verdana" w:cs="Verdana" w:eastAsia="Verdana" w:hAnsi="Verdana"/>
          <w:sz w:val="16"/>
          <w:szCs w:val="16"/>
          <w:color w:val="0C1C46"/>
        </w:rPr>
        <w:t>i</w:t>
      </w:r>
      <w:r>
        <w:rPr>
          <w:rFonts w:ascii="Verdana" w:cs="Verdana" w:eastAsia="Verdana" w:hAnsi="Verdana"/>
          <w:sz w:val="16"/>
          <w:szCs w:val="16"/>
          <w:color w:val="auto"/>
        </w:rPr>
        <w:t xml:space="preserve">sions of this </w:t>
      </w:r>
      <w:r>
        <w:rPr>
          <w:rFonts w:ascii="Verdana" w:cs="Verdana" w:eastAsia="Verdana" w:hAnsi="Verdana"/>
          <w:sz w:val="16"/>
          <w:szCs w:val="16"/>
          <w:u w:val="single" w:color="auto"/>
          <w:color w:val="auto"/>
        </w:rPr>
        <w:t>Section 3</w:t>
      </w:r>
      <w:r>
        <w:rPr>
          <w:rFonts w:ascii="Verdana" w:cs="Verdana" w:eastAsia="Verdana" w:hAnsi="Verdana"/>
          <w:sz w:val="16"/>
          <w:szCs w:val="16"/>
          <w:color w:val="auto"/>
        </w:rPr>
        <w:t xml:space="preserve"> to the contrary, </w:t>
      </w:r>
      <w:r>
        <w:rPr>
          <w:rFonts w:ascii="Verdana" w:cs="Verdana" w:eastAsia="Verdana" w:hAnsi="Verdana"/>
          <w:sz w:val="16"/>
          <w:szCs w:val="16"/>
          <w:color w:val="0C1C46"/>
        </w:rPr>
        <w:t>i</w:t>
      </w:r>
      <w:r>
        <w:rPr>
          <w:rFonts w:ascii="Verdana" w:cs="Verdana" w:eastAsia="Verdana" w:hAnsi="Verdana"/>
          <w:sz w:val="16"/>
          <w:szCs w:val="16"/>
          <w:color w:val="auto"/>
        </w:rPr>
        <w:t xml:space="preserve">f at the time of the </w:t>
      </w:r>
      <w:r>
        <w:rPr>
          <w:rFonts w:ascii="Verdana" w:cs="Verdana" w:eastAsia="Verdana" w:hAnsi="Verdana"/>
          <w:sz w:val="16"/>
          <w:szCs w:val="16"/>
          <w:color w:val="030307"/>
        </w:rPr>
        <w:t>P</w:t>
      </w:r>
      <w:r>
        <w:rPr>
          <w:rFonts w:ascii="Verdana" w:cs="Verdana" w:eastAsia="Verdana" w:hAnsi="Verdana"/>
          <w:sz w:val="16"/>
          <w:szCs w:val="16"/>
          <w:color w:val="auto"/>
        </w:rPr>
        <w:t>articipant’s separation from serv</w:t>
      </w:r>
      <w:r>
        <w:rPr>
          <w:rFonts w:ascii="Verdana" w:cs="Verdana" w:eastAsia="Verdana" w:hAnsi="Verdana"/>
          <w:sz w:val="16"/>
          <w:szCs w:val="16"/>
          <w:color w:val="573621"/>
        </w:rPr>
        <w:t>i</w:t>
      </w:r>
      <w:r>
        <w:rPr>
          <w:rFonts w:ascii="Verdana" w:cs="Verdana" w:eastAsia="Verdana" w:hAnsi="Verdana"/>
          <w:sz w:val="16"/>
          <w:szCs w:val="16"/>
          <w:color w:val="auto"/>
        </w:rPr>
        <w:t xml:space="preserve">ce within the meaning of Code Section 409A, the </w:t>
      </w:r>
      <w:r>
        <w:rPr>
          <w:rFonts w:ascii="Verdana" w:cs="Verdana" w:eastAsia="Verdana" w:hAnsi="Verdana"/>
          <w:sz w:val="16"/>
          <w:szCs w:val="16"/>
          <w:color w:val="030307"/>
        </w:rPr>
        <w:t>P</w:t>
      </w:r>
      <w:r>
        <w:rPr>
          <w:rFonts w:ascii="Verdana" w:cs="Verdana" w:eastAsia="Verdana" w:hAnsi="Verdana"/>
          <w:sz w:val="16"/>
          <w:szCs w:val="16"/>
          <w:color w:val="auto"/>
        </w:rPr>
        <w:t>art</w:t>
      </w:r>
      <w:r>
        <w:rPr>
          <w:rFonts w:ascii="Verdana" w:cs="Verdana" w:eastAsia="Verdana" w:hAnsi="Verdana"/>
          <w:sz w:val="16"/>
          <w:szCs w:val="16"/>
          <w:color w:val="573621"/>
        </w:rPr>
        <w:t>i</w:t>
      </w:r>
      <w:r>
        <w:rPr>
          <w:rFonts w:ascii="Verdana" w:cs="Verdana" w:eastAsia="Verdana" w:hAnsi="Verdana"/>
          <w:sz w:val="16"/>
          <w:szCs w:val="16"/>
          <w:color w:val="auto"/>
        </w:rPr>
        <w:t xml:space="preserve">cipant </w:t>
      </w:r>
      <w:r>
        <w:rPr>
          <w:rFonts w:ascii="Verdana" w:cs="Verdana" w:eastAsia="Verdana" w:hAnsi="Verdana"/>
          <w:sz w:val="16"/>
          <w:szCs w:val="16"/>
          <w:color w:val="0C1C46"/>
        </w:rPr>
        <w:t>i</w:t>
      </w:r>
      <w:r>
        <w:rPr>
          <w:rFonts w:ascii="Verdana" w:cs="Verdana" w:eastAsia="Verdana" w:hAnsi="Verdana"/>
          <w:sz w:val="16"/>
          <w:szCs w:val="16"/>
          <w:color w:val="auto"/>
        </w:rPr>
        <w:t>s a “specified employee” w</w:t>
      </w:r>
      <w:r>
        <w:rPr>
          <w:rFonts w:ascii="Verdana" w:cs="Verdana" w:eastAsia="Verdana" w:hAnsi="Verdana"/>
          <w:sz w:val="16"/>
          <w:szCs w:val="16"/>
          <w:color w:val="0C1C46"/>
        </w:rPr>
        <w:t>i</w:t>
      </w:r>
      <w:r>
        <w:rPr>
          <w:rFonts w:ascii="Verdana" w:cs="Verdana" w:eastAsia="Verdana" w:hAnsi="Verdana"/>
          <w:sz w:val="16"/>
          <w:szCs w:val="16"/>
          <w:color w:val="auto"/>
        </w:rPr>
        <w:t>th</w:t>
      </w:r>
      <w:r>
        <w:rPr>
          <w:rFonts w:ascii="Verdana" w:cs="Verdana" w:eastAsia="Verdana" w:hAnsi="Verdana"/>
          <w:sz w:val="16"/>
          <w:szCs w:val="16"/>
          <w:color w:val="0C1C46"/>
        </w:rPr>
        <w:t>i</w:t>
      </w:r>
      <w:r>
        <w:rPr>
          <w:rFonts w:ascii="Verdana" w:cs="Verdana" w:eastAsia="Verdana" w:hAnsi="Verdana"/>
          <w:sz w:val="16"/>
          <w:szCs w:val="16"/>
          <w:color w:val="auto"/>
        </w:rPr>
        <w:t>n the mean</w:t>
      </w:r>
      <w:r>
        <w:rPr>
          <w:rFonts w:ascii="Verdana" w:cs="Verdana" w:eastAsia="Verdana" w:hAnsi="Verdana"/>
          <w:sz w:val="16"/>
          <w:szCs w:val="16"/>
          <w:color w:val="573621"/>
        </w:rPr>
        <w:t>i</w:t>
      </w:r>
      <w:r>
        <w:rPr>
          <w:rFonts w:ascii="Verdana" w:cs="Verdana" w:eastAsia="Verdana" w:hAnsi="Verdana"/>
          <w:sz w:val="16"/>
          <w:szCs w:val="16"/>
          <w:color w:val="auto"/>
        </w:rPr>
        <w:t xml:space="preserve">ng of Code Section </w:t>
      </w:r>
      <w:r>
        <w:rPr>
          <w:rFonts w:ascii="Verdana" w:cs="Verdana" w:eastAsia="Verdana" w:hAnsi="Verdana"/>
          <w:sz w:val="16"/>
          <w:szCs w:val="16"/>
          <w:color w:val="070E23"/>
        </w:rPr>
        <w:t>409A,</w:t>
      </w:r>
      <w:r>
        <w:rPr>
          <w:rFonts w:ascii="Verdana" w:cs="Verdana" w:eastAsia="Verdana" w:hAnsi="Verdana"/>
          <w:sz w:val="16"/>
          <w:szCs w:val="16"/>
          <w:color w:val="auto"/>
        </w:rPr>
        <w:t xml:space="preserve"> any payment hereunder that const</w:t>
      </w:r>
      <w:r>
        <w:rPr>
          <w:rFonts w:ascii="Verdana" w:cs="Verdana" w:eastAsia="Verdana" w:hAnsi="Verdana"/>
          <w:sz w:val="16"/>
          <w:szCs w:val="16"/>
          <w:color w:val="0C1C46"/>
        </w:rPr>
        <w:t>i</w:t>
      </w:r>
      <w:r>
        <w:rPr>
          <w:rFonts w:ascii="Verdana" w:cs="Verdana" w:eastAsia="Verdana" w:hAnsi="Verdana"/>
          <w:sz w:val="16"/>
          <w:szCs w:val="16"/>
          <w:color w:val="auto"/>
        </w:rPr>
        <w:t xml:space="preserve">tutes a “deferral of compensation” under Code Section </w:t>
      </w:r>
      <w:r>
        <w:rPr>
          <w:rFonts w:ascii="Verdana" w:cs="Verdana" w:eastAsia="Verdana" w:hAnsi="Verdana"/>
          <w:sz w:val="16"/>
          <w:szCs w:val="16"/>
          <w:color w:val="070E23"/>
        </w:rPr>
        <w:t>409A</w:t>
      </w:r>
      <w:r>
        <w:rPr>
          <w:rFonts w:ascii="Verdana" w:cs="Verdana" w:eastAsia="Verdana" w:hAnsi="Verdana"/>
          <w:sz w:val="16"/>
          <w:szCs w:val="16"/>
          <w:color w:val="auto"/>
        </w:rPr>
        <w:t xml:space="preserve"> and that wou</w:t>
      </w:r>
      <w:r>
        <w:rPr>
          <w:rFonts w:ascii="Verdana" w:cs="Verdana" w:eastAsia="Verdana" w:hAnsi="Verdana"/>
          <w:sz w:val="16"/>
          <w:szCs w:val="16"/>
          <w:color w:val="0C1C46"/>
        </w:rPr>
        <w:t>l</w:t>
      </w:r>
      <w:r>
        <w:rPr>
          <w:rFonts w:ascii="Verdana" w:cs="Verdana" w:eastAsia="Verdana" w:hAnsi="Verdana"/>
          <w:sz w:val="16"/>
          <w:szCs w:val="16"/>
          <w:color w:val="auto"/>
        </w:rPr>
        <w:t>d otherwise become due on account of such sepa</w:t>
      </w:r>
      <w:r>
        <w:rPr>
          <w:rFonts w:ascii="Verdana" w:cs="Verdana" w:eastAsia="Verdana" w:hAnsi="Verdana"/>
          <w:sz w:val="16"/>
          <w:szCs w:val="16"/>
          <w:color w:val="382626"/>
        </w:rPr>
        <w:t>r</w:t>
      </w:r>
      <w:r>
        <w:rPr>
          <w:rFonts w:ascii="Verdana" w:cs="Verdana" w:eastAsia="Verdana" w:hAnsi="Verdana"/>
          <w:sz w:val="16"/>
          <w:szCs w:val="16"/>
          <w:color w:val="auto"/>
        </w:rPr>
        <w:t>at</w:t>
      </w:r>
      <w:r>
        <w:rPr>
          <w:rFonts w:ascii="Verdana" w:cs="Verdana" w:eastAsia="Verdana" w:hAnsi="Verdana"/>
          <w:sz w:val="16"/>
          <w:szCs w:val="16"/>
          <w:color w:val="0C1C46"/>
        </w:rPr>
        <w:t>i</w:t>
      </w:r>
      <w:r>
        <w:rPr>
          <w:rFonts w:ascii="Verdana" w:cs="Verdana" w:eastAsia="Verdana" w:hAnsi="Verdana"/>
          <w:sz w:val="16"/>
          <w:szCs w:val="16"/>
          <w:color w:val="auto"/>
        </w:rPr>
        <w:t>on from serv</w:t>
      </w:r>
      <w:r>
        <w:rPr>
          <w:rFonts w:ascii="Verdana" w:cs="Verdana" w:eastAsia="Verdana" w:hAnsi="Verdana"/>
          <w:sz w:val="16"/>
          <w:szCs w:val="16"/>
          <w:color w:val="573621"/>
        </w:rPr>
        <w:t>i</w:t>
      </w:r>
      <w:r>
        <w:rPr>
          <w:rFonts w:ascii="Verdana" w:cs="Verdana" w:eastAsia="Verdana" w:hAnsi="Verdana"/>
          <w:sz w:val="16"/>
          <w:szCs w:val="16"/>
          <w:color w:val="auto"/>
        </w:rPr>
        <w:t>ce shall be de</w:t>
      </w:r>
      <w:r>
        <w:rPr>
          <w:rFonts w:ascii="Verdana" w:cs="Verdana" w:eastAsia="Verdana" w:hAnsi="Verdana"/>
          <w:sz w:val="16"/>
          <w:szCs w:val="16"/>
          <w:color w:val="573621"/>
        </w:rPr>
        <w:t>l</w:t>
      </w:r>
      <w:r>
        <w:rPr>
          <w:rFonts w:ascii="Verdana" w:cs="Verdana" w:eastAsia="Verdana" w:hAnsi="Verdana"/>
          <w:sz w:val="16"/>
          <w:szCs w:val="16"/>
          <w:color w:val="auto"/>
        </w:rPr>
        <w:t>ayed</w:t>
      </w:r>
      <w:r>
        <w:rPr>
          <w:rFonts w:ascii="Verdana" w:cs="Verdana" w:eastAsia="Verdana" w:hAnsi="Verdana"/>
          <w:sz w:val="16"/>
          <w:szCs w:val="16"/>
          <w:color w:val="382626"/>
        </w:rPr>
        <w:t>,</w:t>
      </w:r>
      <w:r>
        <w:rPr>
          <w:rFonts w:ascii="Verdana" w:cs="Verdana" w:eastAsia="Verdana" w:hAnsi="Verdana"/>
          <w:sz w:val="16"/>
          <w:szCs w:val="16"/>
          <w:color w:val="auto"/>
        </w:rPr>
        <w:t xml:space="preserve"> and payment shall be made in full upon the ear</w:t>
      </w:r>
      <w:r>
        <w:rPr>
          <w:rFonts w:ascii="Verdana" w:cs="Verdana" w:eastAsia="Verdana" w:hAnsi="Verdana"/>
          <w:sz w:val="16"/>
          <w:szCs w:val="16"/>
          <w:color w:val="573621"/>
        </w:rPr>
        <w:t>l</w:t>
      </w:r>
      <w:r>
        <w:rPr>
          <w:rFonts w:ascii="Verdana" w:cs="Verdana" w:eastAsia="Verdana" w:hAnsi="Verdana"/>
          <w:sz w:val="16"/>
          <w:szCs w:val="16"/>
          <w:color w:val="auto"/>
        </w:rPr>
        <w:t>ier of (a) a date during the th</w:t>
      </w:r>
      <w:r>
        <w:rPr>
          <w:rFonts w:ascii="Verdana" w:cs="Verdana" w:eastAsia="Verdana" w:hAnsi="Verdana"/>
          <w:sz w:val="16"/>
          <w:szCs w:val="16"/>
          <w:color w:val="0C1C46"/>
        </w:rPr>
        <w:t>i</w:t>
      </w:r>
      <w:r>
        <w:rPr>
          <w:rFonts w:ascii="Verdana" w:cs="Verdana" w:eastAsia="Verdana" w:hAnsi="Verdana"/>
          <w:sz w:val="16"/>
          <w:szCs w:val="16"/>
          <w:color w:val="auto"/>
        </w:rPr>
        <w:t xml:space="preserve">rty </w:t>
      </w:r>
      <w:r>
        <w:rPr>
          <w:rFonts w:ascii="Verdana" w:cs="Verdana" w:eastAsia="Verdana" w:hAnsi="Verdana"/>
          <w:sz w:val="16"/>
          <w:szCs w:val="16"/>
          <w:color w:val="382626"/>
        </w:rPr>
        <w:t>(30)</w:t>
      </w:r>
      <w:r>
        <w:rPr>
          <w:rFonts w:ascii="Verdana" w:cs="Verdana" w:eastAsia="Verdana" w:hAnsi="Verdana"/>
          <w:sz w:val="16"/>
          <w:szCs w:val="16"/>
          <w:color w:val="auto"/>
        </w:rPr>
        <w:t xml:space="preserve"> day per</w:t>
      </w:r>
      <w:r>
        <w:rPr>
          <w:rFonts w:ascii="Verdana" w:cs="Verdana" w:eastAsia="Verdana" w:hAnsi="Verdana"/>
          <w:sz w:val="16"/>
          <w:szCs w:val="16"/>
          <w:color w:val="573621"/>
        </w:rPr>
        <w:t>i</w:t>
      </w:r>
      <w:r>
        <w:rPr>
          <w:rFonts w:ascii="Verdana" w:cs="Verdana" w:eastAsia="Verdana" w:hAnsi="Verdana"/>
          <w:sz w:val="16"/>
          <w:szCs w:val="16"/>
          <w:color w:val="auto"/>
        </w:rPr>
        <w:t>od commencing s</w:t>
      </w:r>
      <w:r>
        <w:rPr>
          <w:rFonts w:ascii="Verdana" w:cs="Verdana" w:eastAsia="Verdana" w:hAnsi="Verdana"/>
          <w:sz w:val="16"/>
          <w:szCs w:val="16"/>
          <w:color w:val="573621"/>
        </w:rPr>
        <w:t>i</w:t>
      </w:r>
      <w:r>
        <w:rPr>
          <w:rFonts w:ascii="Verdana" w:cs="Verdana" w:eastAsia="Verdana" w:hAnsi="Verdana"/>
          <w:sz w:val="16"/>
          <w:szCs w:val="16"/>
          <w:color w:val="auto"/>
        </w:rPr>
        <w:t>x (6)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15"/>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35"/>
          </w:cols>
          <w:pgMar w:left="325" w:top="1440" w:right="339" w:bottom="1440" w:gutter="0" w:footer="0" w:header="0"/>
        </w:sectPr>
      </w:pPr>
    </w:p>
    <w:bookmarkStart w:id="297" w:name="page298"/>
    <w:bookmarkEnd w:id="2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35"/>
        <w:spacing w:after="0"/>
        <w:rPr>
          <w:sz w:val="20"/>
          <w:szCs w:val="20"/>
          <w:color w:val="auto"/>
        </w:rPr>
      </w:pPr>
      <w:r>
        <w:rPr>
          <w:rFonts w:ascii="Verdana" w:cs="Verdana" w:eastAsia="Verdana" w:hAnsi="Verdana"/>
          <w:sz w:val="18"/>
          <w:szCs w:val="18"/>
          <w:color w:val="auto"/>
        </w:rPr>
        <w:t>and one (1) day following such sepa</w:t>
      </w:r>
      <w:r>
        <w:rPr>
          <w:rFonts w:ascii="Verdana" w:cs="Verdana" w:eastAsia="Verdana" w:hAnsi="Verdana"/>
          <w:sz w:val="18"/>
          <w:szCs w:val="18"/>
          <w:color w:val="382626"/>
        </w:rPr>
        <w:t>r</w:t>
      </w:r>
      <w:r>
        <w:rPr>
          <w:rFonts w:ascii="Verdana" w:cs="Verdana" w:eastAsia="Verdana" w:hAnsi="Verdana"/>
          <w:sz w:val="18"/>
          <w:szCs w:val="18"/>
          <w:color w:val="auto"/>
        </w:rPr>
        <w:t>at</w:t>
      </w:r>
      <w:r>
        <w:rPr>
          <w:rFonts w:ascii="Verdana" w:cs="Verdana" w:eastAsia="Verdana" w:hAnsi="Verdana"/>
          <w:sz w:val="18"/>
          <w:szCs w:val="18"/>
          <w:color w:val="0C1C46"/>
        </w:rPr>
        <w:t>i</w:t>
      </w:r>
      <w:r>
        <w:rPr>
          <w:rFonts w:ascii="Verdana" w:cs="Verdana" w:eastAsia="Verdana" w:hAnsi="Verdana"/>
          <w:sz w:val="18"/>
          <w:szCs w:val="18"/>
          <w:color w:val="auto"/>
        </w:rPr>
        <w:t>on from serv</w:t>
      </w:r>
      <w:r>
        <w:rPr>
          <w:rFonts w:ascii="Verdana" w:cs="Verdana" w:eastAsia="Verdana" w:hAnsi="Verdana"/>
          <w:sz w:val="18"/>
          <w:szCs w:val="18"/>
          <w:color w:val="573621"/>
        </w:rPr>
        <w:t>i</w:t>
      </w:r>
      <w:r>
        <w:rPr>
          <w:rFonts w:ascii="Verdana" w:cs="Verdana" w:eastAsia="Verdana" w:hAnsi="Verdana"/>
          <w:sz w:val="18"/>
          <w:szCs w:val="18"/>
          <w:color w:val="auto"/>
        </w:rPr>
        <w:t xml:space="preserve">ce and (b) the date of the </w:t>
      </w:r>
      <w:r>
        <w:rPr>
          <w:rFonts w:ascii="Verdana" w:cs="Verdana" w:eastAsia="Verdana" w:hAnsi="Verdana"/>
          <w:sz w:val="18"/>
          <w:szCs w:val="18"/>
          <w:color w:val="030307"/>
        </w:rPr>
        <w:t>P</w:t>
      </w:r>
      <w:r>
        <w:rPr>
          <w:rFonts w:ascii="Verdana" w:cs="Verdana" w:eastAsia="Verdana" w:hAnsi="Verdana"/>
          <w:sz w:val="18"/>
          <w:szCs w:val="18"/>
          <w:color w:val="auto"/>
        </w:rPr>
        <w:t>art</w:t>
      </w:r>
      <w:r>
        <w:rPr>
          <w:rFonts w:ascii="Verdana" w:cs="Verdana" w:eastAsia="Verdana" w:hAnsi="Verdana"/>
          <w:sz w:val="18"/>
          <w:szCs w:val="18"/>
          <w:color w:val="0C1C46"/>
        </w:rPr>
        <w:t>i</w:t>
      </w:r>
      <w:r>
        <w:rPr>
          <w:rFonts w:ascii="Verdana" w:cs="Verdana" w:eastAsia="Verdana" w:hAnsi="Verdana"/>
          <w:sz w:val="18"/>
          <w:szCs w:val="18"/>
          <w:color w:val="auto"/>
        </w:rPr>
        <w:t>cipant</w:t>
      </w:r>
      <w:r>
        <w:rPr>
          <w:rFonts w:ascii="Verdana" w:cs="Verdana" w:eastAsia="Verdana" w:hAnsi="Verdana"/>
          <w:sz w:val="18"/>
          <w:szCs w:val="18"/>
          <w:color w:val="3D3446"/>
        </w:rPr>
        <w:t>’</w:t>
      </w:r>
      <w:r>
        <w:rPr>
          <w:rFonts w:ascii="Verdana" w:cs="Verdana" w:eastAsia="Verdana" w:hAnsi="Verdana"/>
          <w:sz w:val="18"/>
          <w:szCs w:val="18"/>
          <w:color w:val="auto"/>
        </w:rPr>
        <w:t>s death</w:t>
      </w:r>
      <w:r>
        <w:rPr>
          <w:rFonts w:ascii="Verdana" w:cs="Verdana" w:eastAsia="Verdana" w:hAnsi="Verdana"/>
          <w:sz w:val="18"/>
          <w:szCs w:val="18"/>
          <w:color w:val="030307"/>
        </w:rPr>
        <w:t>.</w:t>
      </w:r>
    </w:p>
    <w:p>
      <w:pPr>
        <w:spacing w:after="0" w:line="176" w:lineRule="exact"/>
        <w:rPr>
          <w:sz w:val="20"/>
          <w:szCs w:val="20"/>
          <w:color w:val="auto"/>
        </w:rPr>
      </w:pPr>
    </w:p>
    <w:p>
      <w:pPr>
        <w:ind w:left="615" w:hanging="615"/>
        <w:spacing w:after="0"/>
        <w:tabs>
          <w:tab w:leader="none" w:pos="615" w:val="left"/>
        </w:tabs>
        <w:numPr>
          <w:ilvl w:val="0"/>
          <w:numId w:val="284"/>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Dividend Equivalent Right</w:t>
      </w:r>
      <w:r>
        <w:rPr>
          <w:rFonts w:ascii="Verdana" w:cs="Verdana" w:eastAsia="Verdana" w:hAnsi="Verdana"/>
          <w:sz w:val="18"/>
          <w:szCs w:val="18"/>
          <w:b w:val="1"/>
          <w:bCs w:val="1"/>
          <w:color w:val="1F1823"/>
        </w:rPr>
        <w:t>s</w:t>
      </w:r>
    </w:p>
    <w:p>
      <w:pPr>
        <w:spacing w:after="0" w:line="202" w:lineRule="exact"/>
        <w:rPr>
          <w:rFonts w:ascii="Verdana" w:cs="Verdana" w:eastAsia="Verdana" w:hAnsi="Verdana"/>
          <w:sz w:val="18"/>
          <w:szCs w:val="18"/>
          <w:b w:val="1"/>
          <w:bCs w:val="1"/>
          <w:color w:val="010000"/>
        </w:rPr>
      </w:pPr>
    </w:p>
    <w:p>
      <w:pPr>
        <w:jc w:val="both"/>
        <w:ind w:left="635"/>
        <w:spacing w:after="0" w:line="232" w:lineRule="auto"/>
        <w:rPr>
          <w:rFonts w:ascii="Verdana" w:cs="Verdana" w:eastAsia="Verdana" w:hAnsi="Verdana"/>
          <w:sz w:val="18"/>
          <w:szCs w:val="18"/>
          <w:b w:val="1"/>
          <w:bCs w:val="1"/>
          <w:color w:val="010000"/>
        </w:rPr>
      </w:pPr>
      <w:r>
        <w:rPr>
          <w:rFonts w:ascii="Verdana" w:cs="Verdana" w:eastAsia="Verdana" w:hAnsi="Verdana"/>
          <w:sz w:val="18"/>
          <w:szCs w:val="18"/>
          <w:color w:val="auto"/>
        </w:rPr>
        <w:t>Cash d</w:t>
      </w:r>
      <w:r>
        <w:rPr>
          <w:rFonts w:ascii="Verdana" w:cs="Verdana" w:eastAsia="Verdana" w:hAnsi="Verdana"/>
          <w:sz w:val="18"/>
          <w:szCs w:val="18"/>
          <w:color w:val="0C1C46"/>
        </w:rPr>
        <w:t>i</w:t>
      </w:r>
      <w:r>
        <w:rPr>
          <w:rFonts w:ascii="Verdana" w:cs="Verdana" w:eastAsia="Verdana" w:hAnsi="Verdana"/>
          <w:sz w:val="18"/>
          <w:szCs w:val="18"/>
          <w:color w:val="auto"/>
        </w:rPr>
        <w:t>v</w:t>
      </w:r>
      <w:r>
        <w:rPr>
          <w:rFonts w:ascii="Verdana" w:cs="Verdana" w:eastAsia="Verdana" w:hAnsi="Verdana"/>
          <w:sz w:val="18"/>
          <w:szCs w:val="18"/>
          <w:color w:val="0C1C46"/>
        </w:rPr>
        <w:t>i</w:t>
      </w:r>
      <w:r>
        <w:rPr>
          <w:rFonts w:ascii="Verdana" w:cs="Verdana" w:eastAsia="Verdana" w:hAnsi="Verdana"/>
          <w:sz w:val="18"/>
          <w:szCs w:val="18"/>
          <w:color w:val="auto"/>
        </w:rPr>
        <w:t xml:space="preserve">dends on shares of Common Stock </w:t>
      </w:r>
      <w:r>
        <w:rPr>
          <w:rFonts w:ascii="Verdana" w:cs="Verdana" w:eastAsia="Verdana" w:hAnsi="Verdana"/>
          <w:sz w:val="18"/>
          <w:szCs w:val="18"/>
          <w:color w:val="0C1C46"/>
        </w:rPr>
        <w:t>i</w:t>
      </w:r>
      <w:r>
        <w:rPr>
          <w:rFonts w:ascii="Verdana" w:cs="Verdana" w:eastAsia="Verdana" w:hAnsi="Verdana"/>
          <w:sz w:val="18"/>
          <w:szCs w:val="18"/>
          <w:color w:val="auto"/>
        </w:rPr>
        <w:t>ssuab</w:t>
      </w:r>
      <w:r>
        <w:rPr>
          <w:rFonts w:ascii="Verdana" w:cs="Verdana" w:eastAsia="Verdana" w:hAnsi="Verdana"/>
          <w:sz w:val="18"/>
          <w:szCs w:val="18"/>
          <w:color w:val="573621"/>
        </w:rPr>
        <w:t>l</w:t>
      </w:r>
      <w:r>
        <w:rPr>
          <w:rFonts w:ascii="Verdana" w:cs="Verdana" w:eastAsia="Verdana" w:hAnsi="Verdana"/>
          <w:sz w:val="18"/>
          <w:szCs w:val="18"/>
          <w:color w:val="auto"/>
        </w:rPr>
        <w:t>e hereunder shall be cred</w:t>
      </w:r>
      <w:r>
        <w:rPr>
          <w:rFonts w:ascii="Verdana" w:cs="Verdana" w:eastAsia="Verdana" w:hAnsi="Verdana"/>
          <w:sz w:val="18"/>
          <w:szCs w:val="18"/>
          <w:color w:val="0C1C46"/>
        </w:rPr>
        <w:t>i</w:t>
      </w:r>
      <w:r>
        <w:rPr>
          <w:rFonts w:ascii="Verdana" w:cs="Verdana" w:eastAsia="Verdana" w:hAnsi="Verdana"/>
          <w:sz w:val="18"/>
          <w:szCs w:val="18"/>
          <w:color w:val="auto"/>
        </w:rPr>
        <w:t>ted to a d</w:t>
      </w:r>
      <w:r>
        <w:rPr>
          <w:rFonts w:ascii="Verdana" w:cs="Verdana" w:eastAsia="Verdana" w:hAnsi="Verdana"/>
          <w:sz w:val="18"/>
          <w:szCs w:val="18"/>
          <w:color w:val="573621"/>
        </w:rPr>
        <w:t>i</w:t>
      </w:r>
      <w:r>
        <w:rPr>
          <w:rFonts w:ascii="Verdana" w:cs="Verdana" w:eastAsia="Verdana" w:hAnsi="Verdana"/>
          <w:sz w:val="18"/>
          <w:szCs w:val="18"/>
          <w:color w:val="auto"/>
        </w:rPr>
        <w:t>v</w:t>
      </w:r>
      <w:r>
        <w:rPr>
          <w:rFonts w:ascii="Verdana" w:cs="Verdana" w:eastAsia="Verdana" w:hAnsi="Verdana"/>
          <w:sz w:val="18"/>
          <w:szCs w:val="18"/>
          <w:color w:val="0C1C46"/>
        </w:rPr>
        <w:t>i</w:t>
      </w:r>
      <w:r>
        <w:rPr>
          <w:rFonts w:ascii="Verdana" w:cs="Verdana" w:eastAsia="Verdana" w:hAnsi="Verdana"/>
          <w:sz w:val="18"/>
          <w:szCs w:val="18"/>
          <w:color w:val="auto"/>
        </w:rPr>
        <w:t>dend book entry account on behalf of the Part</w:t>
      </w:r>
      <w:r>
        <w:rPr>
          <w:rFonts w:ascii="Verdana" w:cs="Verdana" w:eastAsia="Verdana" w:hAnsi="Verdana"/>
          <w:sz w:val="18"/>
          <w:szCs w:val="18"/>
          <w:color w:val="573621"/>
        </w:rPr>
        <w:t>i</w:t>
      </w:r>
      <w:r>
        <w:rPr>
          <w:rFonts w:ascii="Verdana" w:cs="Verdana" w:eastAsia="Verdana" w:hAnsi="Verdana"/>
          <w:sz w:val="18"/>
          <w:szCs w:val="18"/>
          <w:color w:val="382626"/>
        </w:rPr>
        <w:t>ci</w:t>
      </w:r>
      <w:r>
        <w:rPr>
          <w:rFonts w:ascii="Verdana" w:cs="Verdana" w:eastAsia="Verdana" w:hAnsi="Verdana"/>
          <w:sz w:val="18"/>
          <w:szCs w:val="18"/>
          <w:color w:val="auto"/>
        </w:rPr>
        <w:t>pant w</w:t>
      </w:r>
      <w:r>
        <w:rPr>
          <w:rFonts w:ascii="Verdana" w:cs="Verdana" w:eastAsia="Verdana" w:hAnsi="Verdana"/>
          <w:sz w:val="18"/>
          <w:szCs w:val="18"/>
          <w:color w:val="573621"/>
        </w:rPr>
        <w:t>i</w:t>
      </w:r>
      <w:r>
        <w:rPr>
          <w:rFonts w:ascii="Verdana" w:cs="Verdana" w:eastAsia="Verdana" w:hAnsi="Verdana"/>
          <w:sz w:val="18"/>
          <w:szCs w:val="18"/>
          <w:color w:val="auto"/>
        </w:rPr>
        <w:t xml:space="preserve">th respect to the </w:t>
      </w:r>
      <w:r>
        <w:rPr>
          <w:rFonts w:ascii="Verdana" w:cs="Verdana" w:eastAsia="Verdana" w:hAnsi="Verdana"/>
          <w:sz w:val="18"/>
          <w:szCs w:val="18"/>
          <w:color w:val="030307"/>
        </w:rPr>
        <w:t>T</w:t>
      </w:r>
      <w:r>
        <w:rPr>
          <w:rFonts w:ascii="Verdana" w:cs="Verdana" w:eastAsia="Verdana" w:hAnsi="Verdana"/>
          <w:sz w:val="18"/>
          <w:szCs w:val="18"/>
          <w:color w:val="auto"/>
        </w:rPr>
        <w:t xml:space="preserve">arget Award; </w:t>
      </w:r>
      <w:r>
        <w:rPr>
          <w:rFonts w:ascii="Verdana" w:cs="Verdana" w:eastAsia="Verdana" w:hAnsi="Verdana"/>
          <w:sz w:val="18"/>
          <w:szCs w:val="18"/>
          <w:u w:val="single" w:color="auto"/>
          <w:color w:val="auto"/>
        </w:rPr>
        <w:t>provided</w:t>
      </w:r>
      <w:r>
        <w:rPr>
          <w:rFonts w:ascii="Verdana" w:cs="Verdana" w:eastAsia="Verdana" w:hAnsi="Verdana"/>
          <w:sz w:val="18"/>
          <w:szCs w:val="18"/>
          <w:color w:val="auto"/>
        </w:rPr>
        <w:t xml:space="preserve"> that such cash d</w:t>
      </w:r>
      <w:r>
        <w:rPr>
          <w:rFonts w:ascii="Verdana" w:cs="Verdana" w:eastAsia="Verdana" w:hAnsi="Verdana"/>
          <w:sz w:val="18"/>
          <w:szCs w:val="18"/>
          <w:color w:val="0C1C46"/>
        </w:rPr>
        <w:t>i</w:t>
      </w:r>
      <w:r>
        <w:rPr>
          <w:rFonts w:ascii="Verdana" w:cs="Verdana" w:eastAsia="Verdana" w:hAnsi="Verdana"/>
          <w:sz w:val="18"/>
          <w:szCs w:val="18"/>
          <w:color w:val="auto"/>
        </w:rPr>
        <w:t>vidends shall be deemed to be re</w:t>
      </w:r>
      <w:r>
        <w:rPr>
          <w:rFonts w:ascii="Verdana" w:cs="Verdana" w:eastAsia="Verdana" w:hAnsi="Verdana"/>
          <w:sz w:val="18"/>
          <w:szCs w:val="18"/>
          <w:color w:val="0C1C46"/>
        </w:rPr>
        <w:t>i</w:t>
      </w:r>
      <w:r>
        <w:rPr>
          <w:rFonts w:ascii="Verdana" w:cs="Verdana" w:eastAsia="Verdana" w:hAnsi="Verdana"/>
          <w:sz w:val="18"/>
          <w:szCs w:val="18"/>
          <w:color w:val="auto"/>
        </w:rPr>
        <w:t xml:space="preserve">nvested in shares of Common Stock </w:t>
      </w:r>
      <w:r>
        <w:rPr>
          <w:rFonts w:ascii="Verdana" w:cs="Verdana" w:eastAsia="Verdana" w:hAnsi="Verdana"/>
          <w:sz w:val="18"/>
          <w:szCs w:val="18"/>
          <w:color w:val="573621"/>
        </w:rPr>
        <w:t>i</w:t>
      </w:r>
      <w:r>
        <w:rPr>
          <w:rFonts w:ascii="Verdana" w:cs="Verdana" w:eastAsia="Verdana" w:hAnsi="Verdana"/>
          <w:sz w:val="18"/>
          <w:szCs w:val="18"/>
          <w:color w:val="auto"/>
        </w:rPr>
        <w:t>mmed</w:t>
      </w:r>
      <w:r>
        <w:rPr>
          <w:rFonts w:ascii="Verdana" w:cs="Verdana" w:eastAsia="Verdana" w:hAnsi="Verdana"/>
          <w:sz w:val="18"/>
          <w:szCs w:val="18"/>
          <w:color w:val="0C1C46"/>
        </w:rPr>
        <w:t>i</w:t>
      </w:r>
      <w:r>
        <w:rPr>
          <w:rFonts w:ascii="Verdana" w:cs="Verdana" w:eastAsia="Verdana" w:hAnsi="Verdana"/>
          <w:sz w:val="18"/>
          <w:szCs w:val="18"/>
          <w:color w:val="auto"/>
        </w:rPr>
        <w:t>ate</w:t>
      </w:r>
      <w:r>
        <w:rPr>
          <w:rFonts w:ascii="Verdana" w:cs="Verdana" w:eastAsia="Verdana" w:hAnsi="Verdana"/>
          <w:sz w:val="18"/>
          <w:szCs w:val="18"/>
          <w:color w:val="382626"/>
        </w:rPr>
        <w:t>l</w:t>
      </w:r>
      <w:r>
        <w:rPr>
          <w:rFonts w:ascii="Verdana" w:cs="Verdana" w:eastAsia="Verdana" w:hAnsi="Verdana"/>
          <w:sz w:val="18"/>
          <w:szCs w:val="18"/>
          <w:color w:val="auto"/>
        </w:rPr>
        <w:t>y following the t</w:t>
      </w:r>
      <w:r>
        <w:rPr>
          <w:rFonts w:ascii="Verdana" w:cs="Verdana" w:eastAsia="Verdana" w:hAnsi="Verdana"/>
          <w:sz w:val="18"/>
          <w:szCs w:val="18"/>
          <w:color w:val="573621"/>
        </w:rPr>
        <w:t>i</w:t>
      </w:r>
      <w:r>
        <w:rPr>
          <w:rFonts w:ascii="Verdana" w:cs="Verdana" w:eastAsia="Verdana" w:hAnsi="Verdana"/>
          <w:sz w:val="18"/>
          <w:szCs w:val="18"/>
          <w:color w:val="auto"/>
        </w:rPr>
        <w:t>me declared at the then Fa</w:t>
      </w:r>
      <w:r>
        <w:rPr>
          <w:rFonts w:ascii="Verdana" w:cs="Verdana" w:eastAsia="Verdana" w:hAnsi="Verdana"/>
          <w:sz w:val="18"/>
          <w:szCs w:val="18"/>
          <w:color w:val="0C1C46"/>
        </w:rPr>
        <w:t>i</w:t>
      </w:r>
      <w:r>
        <w:rPr>
          <w:rFonts w:ascii="Verdana" w:cs="Verdana" w:eastAsia="Verdana" w:hAnsi="Verdana"/>
          <w:sz w:val="18"/>
          <w:szCs w:val="18"/>
          <w:color w:val="auto"/>
        </w:rPr>
        <w:t>r Market Value of the Common Stock and shall be paid at the same t</w:t>
      </w:r>
      <w:r>
        <w:rPr>
          <w:rFonts w:ascii="Verdana" w:cs="Verdana" w:eastAsia="Verdana" w:hAnsi="Verdana"/>
          <w:sz w:val="18"/>
          <w:szCs w:val="18"/>
          <w:color w:val="0C1C46"/>
        </w:rPr>
        <w:t>i</w:t>
      </w:r>
      <w:r>
        <w:rPr>
          <w:rFonts w:ascii="Verdana" w:cs="Verdana" w:eastAsia="Verdana" w:hAnsi="Verdana"/>
          <w:sz w:val="18"/>
          <w:szCs w:val="18"/>
          <w:color w:val="auto"/>
        </w:rPr>
        <w:t>me that the F</w:t>
      </w:r>
      <w:r>
        <w:rPr>
          <w:rFonts w:ascii="Verdana" w:cs="Verdana" w:eastAsia="Verdana" w:hAnsi="Verdana"/>
          <w:sz w:val="18"/>
          <w:szCs w:val="18"/>
          <w:color w:val="573621"/>
        </w:rPr>
        <w:t>i</w:t>
      </w:r>
      <w:r>
        <w:rPr>
          <w:rFonts w:ascii="Verdana" w:cs="Verdana" w:eastAsia="Verdana" w:hAnsi="Verdana"/>
          <w:sz w:val="18"/>
          <w:szCs w:val="18"/>
          <w:color w:val="auto"/>
        </w:rPr>
        <w:t>na</w:t>
      </w:r>
      <w:r>
        <w:rPr>
          <w:rFonts w:ascii="Verdana" w:cs="Verdana" w:eastAsia="Verdana" w:hAnsi="Verdana"/>
          <w:sz w:val="18"/>
          <w:szCs w:val="18"/>
          <w:color w:val="0C1C46"/>
        </w:rPr>
        <w:t>l</w:t>
      </w:r>
      <w:r>
        <w:rPr>
          <w:rFonts w:ascii="Verdana" w:cs="Verdana" w:eastAsia="Verdana" w:hAnsi="Verdana"/>
          <w:sz w:val="18"/>
          <w:szCs w:val="18"/>
          <w:color w:val="auto"/>
        </w:rPr>
        <w:t xml:space="preserve"> Award </w:t>
      </w:r>
      <w:r>
        <w:rPr>
          <w:rFonts w:ascii="Verdana" w:cs="Verdana" w:eastAsia="Verdana" w:hAnsi="Verdana"/>
          <w:sz w:val="18"/>
          <w:szCs w:val="18"/>
          <w:color w:val="573621"/>
        </w:rPr>
        <w:t>i</w:t>
      </w:r>
      <w:r>
        <w:rPr>
          <w:rFonts w:ascii="Verdana" w:cs="Verdana" w:eastAsia="Verdana" w:hAnsi="Verdana"/>
          <w:sz w:val="18"/>
          <w:szCs w:val="18"/>
          <w:color w:val="auto"/>
        </w:rPr>
        <w:t>s de</w:t>
      </w:r>
      <w:r>
        <w:rPr>
          <w:rFonts w:ascii="Verdana" w:cs="Verdana" w:eastAsia="Verdana" w:hAnsi="Verdana"/>
          <w:sz w:val="18"/>
          <w:szCs w:val="18"/>
          <w:color w:val="0C1C46"/>
        </w:rPr>
        <w:t>l</w:t>
      </w:r>
      <w:r>
        <w:rPr>
          <w:rFonts w:ascii="Verdana" w:cs="Verdana" w:eastAsia="Verdana" w:hAnsi="Verdana"/>
          <w:sz w:val="18"/>
          <w:szCs w:val="18"/>
          <w:color w:val="auto"/>
        </w:rPr>
        <w:t xml:space="preserve">ivered to the </w:t>
      </w:r>
      <w:r>
        <w:rPr>
          <w:rFonts w:ascii="Verdana" w:cs="Verdana" w:eastAsia="Verdana" w:hAnsi="Verdana"/>
          <w:sz w:val="18"/>
          <w:szCs w:val="18"/>
          <w:color w:val="030307"/>
        </w:rPr>
        <w:t>P</w:t>
      </w:r>
      <w:r>
        <w:rPr>
          <w:rFonts w:ascii="Verdana" w:cs="Verdana" w:eastAsia="Verdana" w:hAnsi="Verdana"/>
          <w:sz w:val="18"/>
          <w:szCs w:val="18"/>
          <w:color w:val="auto"/>
        </w:rPr>
        <w:t>art</w:t>
      </w:r>
      <w:r>
        <w:rPr>
          <w:rFonts w:ascii="Verdana" w:cs="Verdana" w:eastAsia="Verdana" w:hAnsi="Verdana"/>
          <w:sz w:val="18"/>
          <w:szCs w:val="18"/>
          <w:color w:val="573621"/>
        </w:rPr>
        <w:t>i</w:t>
      </w:r>
      <w:r>
        <w:rPr>
          <w:rFonts w:ascii="Verdana" w:cs="Verdana" w:eastAsia="Verdana" w:hAnsi="Verdana"/>
          <w:sz w:val="18"/>
          <w:szCs w:val="18"/>
          <w:color w:val="382626"/>
        </w:rPr>
        <w:t>ci</w:t>
      </w:r>
      <w:r>
        <w:rPr>
          <w:rFonts w:ascii="Verdana" w:cs="Verdana" w:eastAsia="Verdana" w:hAnsi="Verdana"/>
          <w:sz w:val="18"/>
          <w:szCs w:val="18"/>
          <w:color w:val="auto"/>
        </w:rPr>
        <w:t xml:space="preserve">pant </w:t>
      </w:r>
      <w:r>
        <w:rPr>
          <w:rFonts w:ascii="Verdana" w:cs="Verdana" w:eastAsia="Verdana" w:hAnsi="Verdana"/>
          <w:sz w:val="18"/>
          <w:szCs w:val="18"/>
          <w:color w:val="573621"/>
        </w:rPr>
        <w:t>i</w:t>
      </w:r>
      <w:r>
        <w:rPr>
          <w:rFonts w:ascii="Verdana" w:cs="Verdana" w:eastAsia="Verdana" w:hAnsi="Verdana"/>
          <w:sz w:val="18"/>
          <w:szCs w:val="18"/>
          <w:color w:val="auto"/>
        </w:rPr>
        <w:t>n accordance w</w:t>
      </w:r>
      <w:r>
        <w:rPr>
          <w:rFonts w:ascii="Verdana" w:cs="Verdana" w:eastAsia="Verdana" w:hAnsi="Verdana"/>
          <w:sz w:val="18"/>
          <w:szCs w:val="18"/>
          <w:color w:val="0C1C46"/>
        </w:rPr>
        <w:t>i</w:t>
      </w:r>
      <w:r>
        <w:rPr>
          <w:rFonts w:ascii="Verdana" w:cs="Verdana" w:eastAsia="Verdana" w:hAnsi="Verdana"/>
          <w:sz w:val="18"/>
          <w:szCs w:val="18"/>
          <w:color w:val="auto"/>
        </w:rPr>
        <w:t>th the prov</w:t>
      </w:r>
      <w:r>
        <w:rPr>
          <w:rFonts w:ascii="Verdana" w:cs="Verdana" w:eastAsia="Verdana" w:hAnsi="Verdana"/>
          <w:sz w:val="18"/>
          <w:szCs w:val="18"/>
          <w:color w:val="382626"/>
        </w:rPr>
        <w:t>i</w:t>
      </w:r>
      <w:r>
        <w:rPr>
          <w:rFonts w:ascii="Verdana" w:cs="Verdana" w:eastAsia="Verdana" w:hAnsi="Verdana"/>
          <w:sz w:val="18"/>
          <w:szCs w:val="18"/>
          <w:color w:val="auto"/>
        </w:rPr>
        <w:t>s</w:t>
      </w:r>
      <w:r>
        <w:rPr>
          <w:rFonts w:ascii="Verdana" w:cs="Verdana" w:eastAsia="Verdana" w:hAnsi="Verdana"/>
          <w:sz w:val="18"/>
          <w:szCs w:val="18"/>
          <w:color w:val="573621"/>
        </w:rPr>
        <w:t>i</w:t>
      </w:r>
      <w:r>
        <w:rPr>
          <w:rFonts w:ascii="Verdana" w:cs="Verdana" w:eastAsia="Verdana" w:hAnsi="Verdana"/>
          <w:sz w:val="18"/>
          <w:szCs w:val="18"/>
          <w:color w:val="auto"/>
        </w:rPr>
        <w:t>ons hereof</w:t>
      </w:r>
      <w:r>
        <w:rPr>
          <w:rFonts w:ascii="Verdana" w:cs="Verdana" w:eastAsia="Verdana" w:hAnsi="Verdana"/>
          <w:sz w:val="18"/>
          <w:szCs w:val="18"/>
          <w:color w:val="030307"/>
        </w:rPr>
        <w:t>.</w:t>
      </w:r>
      <w:r>
        <w:rPr>
          <w:rFonts w:ascii="Verdana" w:cs="Verdana" w:eastAsia="Verdana" w:hAnsi="Verdana"/>
          <w:sz w:val="18"/>
          <w:szCs w:val="18"/>
          <w:color w:val="auto"/>
        </w:rPr>
        <w:t xml:space="preserve"> Stock div</w:t>
      </w:r>
      <w:r>
        <w:rPr>
          <w:rFonts w:ascii="Verdana" w:cs="Verdana" w:eastAsia="Verdana" w:hAnsi="Verdana"/>
          <w:sz w:val="18"/>
          <w:szCs w:val="18"/>
          <w:color w:val="573621"/>
        </w:rPr>
        <w:t>i</w:t>
      </w:r>
      <w:r>
        <w:rPr>
          <w:rFonts w:ascii="Verdana" w:cs="Verdana" w:eastAsia="Verdana" w:hAnsi="Verdana"/>
          <w:sz w:val="18"/>
          <w:szCs w:val="18"/>
          <w:color w:val="auto"/>
        </w:rPr>
        <w:t xml:space="preserve">dends on shares of Common Stock </w:t>
      </w:r>
      <w:r>
        <w:rPr>
          <w:rFonts w:ascii="Verdana" w:cs="Verdana" w:eastAsia="Verdana" w:hAnsi="Verdana"/>
          <w:sz w:val="18"/>
          <w:szCs w:val="18"/>
          <w:color w:val="0C1C46"/>
        </w:rPr>
        <w:t>i</w:t>
      </w:r>
      <w:r>
        <w:rPr>
          <w:rFonts w:ascii="Verdana" w:cs="Verdana" w:eastAsia="Verdana" w:hAnsi="Verdana"/>
          <w:sz w:val="18"/>
          <w:szCs w:val="18"/>
          <w:color w:val="auto"/>
        </w:rPr>
        <w:t>ssuab</w:t>
      </w:r>
      <w:r>
        <w:rPr>
          <w:rFonts w:ascii="Verdana" w:cs="Verdana" w:eastAsia="Verdana" w:hAnsi="Verdana"/>
          <w:sz w:val="18"/>
          <w:szCs w:val="18"/>
          <w:color w:val="573621"/>
        </w:rPr>
        <w:t>l</w:t>
      </w:r>
      <w:r>
        <w:rPr>
          <w:rFonts w:ascii="Verdana" w:cs="Verdana" w:eastAsia="Verdana" w:hAnsi="Verdana"/>
          <w:sz w:val="18"/>
          <w:szCs w:val="18"/>
          <w:color w:val="auto"/>
        </w:rPr>
        <w:t>e hereunder shall be credited to a d</w:t>
      </w:r>
      <w:r>
        <w:rPr>
          <w:rFonts w:ascii="Verdana" w:cs="Verdana" w:eastAsia="Verdana" w:hAnsi="Verdana"/>
          <w:sz w:val="18"/>
          <w:szCs w:val="18"/>
          <w:color w:val="0C1C46"/>
        </w:rPr>
        <w:t>i</w:t>
      </w:r>
      <w:r>
        <w:rPr>
          <w:rFonts w:ascii="Verdana" w:cs="Verdana" w:eastAsia="Verdana" w:hAnsi="Verdana"/>
          <w:sz w:val="18"/>
          <w:szCs w:val="18"/>
          <w:color w:val="auto"/>
        </w:rPr>
        <w:t xml:space="preserve">vidend book entry account on behalf of the </w:t>
      </w:r>
      <w:r>
        <w:rPr>
          <w:rFonts w:ascii="Verdana" w:cs="Verdana" w:eastAsia="Verdana" w:hAnsi="Verdana"/>
          <w:sz w:val="18"/>
          <w:szCs w:val="18"/>
          <w:color w:val="030307"/>
        </w:rPr>
        <w:t>P</w:t>
      </w:r>
      <w:r>
        <w:rPr>
          <w:rFonts w:ascii="Verdana" w:cs="Verdana" w:eastAsia="Verdana" w:hAnsi="Verdana"/>
          <w:sz w:val="18"/>
          <w:szCs w:val="18"/>
          <w:color w:val="auto"/>
        </w:rPr>
        <w:t>art</w:t>
      </w:r>
      <w:r>
        <w:rPr>
          <w:rFonts w:ascii="Verdana" w:cs="Verdana" w:eastAsia="Verdana" w:hAnsi="Verdana"/>
          <w:sz w:val="18"/>
          <w:szCs w:val="18"/>
          <w:color w:val="573621"/>
        </w:rPr>
        <w:t>i</w:t>
      </w:r>
      <w:r>
        <w:rPr>
          <w:rFonts w:ascii="Verdana" w:cs="Verdana" w:eastAsia="Verdana" w:hAnsi="Verdana"/>
          <w:sz w:val="18"/>
          <w:szCs w:val="18"/>
          <w:color w:val="auto"/>
        </w:rPr>
        <w:t>cipant w</w:t>
      </w:r>
      <w:r>
        <w:rPr>
          <w:rFonts w:ascii="Verdana" w:cs="Verdana" w:eastAsia="Verdana" w:hAnsi="Verdana"/>
          <w:sz w:val="18"/>
          <w:szCs w:val="18"/>
          <w:color w:val="0C1C46"/>
        </w:rPr>
        <w:t>i</w:t>
      </w:r>
      <w:r>
        <w:rPr>
          <w:rFonts w:ascii="Verdana" w:cs="Verdana" w:eastAsia="Verdana" w:hAnsi="Verdana"/>
          <w:sz w:val="18"/>
          <w:szCs w:val="18"/>
          <w:color w:val="auto"/>
        </w:rPr>
        <w:t xml:space="preserve">th respect to the </w:t>
      </w:r>
      <w:r>
        <w:rPr>
          <w:rFonts w:ascii="Verdana" w:cs="Verdana" w:eastAsia="Verdana" w:hAnsi="Verdana"/>
          <w:sz w:val="18"/>
          <w:szCs w:val="18"/>
          <w:color w:val="070E23"/>
        </w:rPr>
        <w:t>Target</w:t>
      </w:r>
      <w:r>
        <w:rPr>
          <w:rFonts w:ascii="Verdana" w:cs="Verdana" w:eastAsia="Verdana" w:hAnsi="Verdana"/>
          <w:sz w:val="18"/>
          <w:szCs w:val="18"/>
          <w:color w:val="auto"/>
        </w:rPr>
        <w:t xml:space="preserve"> Award; </w:t>
      </w:r>
      <w:r>
        <w:rPr>
          <w:rFonts w:ascii="Verdana" w:cs="Verdana" w:eastAsia="Verdana" w:hAnsi="Verdana"/>
          <w:sz w:val="18"/>
          <w:szCs w:val="18"/>
          <w:u w:val="single" w:color="auto"/>
          <w:color w:val="auto"/>
        </w:rPr>
        <w:t>prov</w:t>
      </w:r>
      <w:r>
        <w:rPr>
          <w:rFonts w:ascii="Verdana" w:cs="Verdana" w:eastAsia="Verdana" w:hAnsi="Verdana"/>
          <w:sz w:val="18"/>
          <w:szCs w:val="18"/>
          <w:u w:val="single" w:color="auto"/>
          <w:color w:val="0C1C46"/>
        </w:rPr>
        <w:t>i</w:t>
      </w:r>
      <w:r>
        <w:rPr>
          <w:rFonts w:ascii="Verdana" w:cs="Verdana" w:eastAsia="Verdana" w:hAnsi="Verdana"/>
          <w:sz w:val="18"/>
          <w:szCs w:val="18"/>
          <w:u w:val="single" w:color="auto"/>
          <w:color w:val="auto"/>
        </w:rPr>
        <w:t>ded</w:t>
      </w:r>
      <w:r>
        <w:rPr>
          <w:rFonts w:ascii="Verdana" w:cs="Verdana" w:eastAsia="Verdana" w:hAnsi="Verdana"/>
          <w:sz w:val="18"/>
          <w:szCs w:val="18"/>
          <w:color w:val="auto"/>
        </w:rPr>
        <w:t xml:space="preserve"> that such stock d</w:t>
      </w:r>
      <w:r>
        <w:rPr>
          <w:rFonts w:ascii="Verdana" w:cs="Verdana" w:eastAsia="Verdana" w:hAnsi="Verdana"/>
          <w:sz w:val="18"/>
          <w:szCs w:val="18"/>
          <w:color w:val="0C1C46"/>
        </w:rPr>
        <w:t>i</w:t>
      </w:r>
      <w:r>
        <w:rPr>
          <w:rFonts w:ascii="Verdana" w:cs="Verdana" w:eastAsia="Verdana" w:hAnsi="Verdana"/>
          <w:sz w:val="18"/>
          <w:szCs w:val="18"/>
          <w:color w:val="auto"/>
        </w:rPr>
        <w:t>vidends shall be pa</w:t>
      </w:r>
      <w:r>
        <w:rPr>
          <w:rFonts w:ascii="Verdana" w:cs="Verdana" w:eastAsia="Verdana" w:hAnsi="Verdana"/>
          <w:sz w:val="18"/>
          <w:szCs w:val="18"/>
          <w:color w:val="0C1C46"/>
        </w:rPr>
        <w:t>i</w:t>
      </w:r>
      <w:r>
        <w:rPr>
          <w:rFonts w:ascii="Verdana" w:cs="Verdana" w:eastAsia="Verdana" w:hAnsi="Verdana"/>
          <w:sz w:val="18"/>
          <w:szCs w:val="18"/>
          <w:color w:val="auto"/>
        </w:rPr>
        <w:t>d at the same t</w:t>
      </w:r>
      <w:r>
        <w:rPr>
          <w:rFonts w:ascii="Verdana" w:cs="Verdana" w:eastAsia="Verdana" w:hAnsi="Verdana"/>
          <w:sz w:val="18"/>
          <w:szCs w:val="18"/>
          <w:color w:val="573621"/>
        </w:rPr>
        <w:t>i</w:t>
      </w:r>
      <w:r>
        <w:rPr>
          <w:rFonts w:ascii="Verdana" w:cs="Verdana" w:eastAsia="Verdana" w:hAnsi="Verdana"/>
          <w:sz w:val="18"/>
          <w:szCs w:val="18"/>
          <w:color w:val="auto"/>
        </w:rPr>
        <w:t xml:space="preserve">me that the </w:t>
      </w:r>
      <w:r>
        <w:rPr>
          <w:rFonts w:ascii="Verdana" w:cs="Verdana" w:eastAsia="Verdana" w:hAnsi="Verdana"/>
          <w:sz w:val="18"/>
          <w:szCs w:val="18"/>
          <w:color w:val="030307"/>
        </w:rPr>
        <w:t>F</w:t>
      </w:r>
      <w:r>
        <w:rPr>
          <w:rFonts w:ascii="Verdana" w:cs="Verdana" w:eastAsia="Verdana" w:hAnsi="Verdana"/>
          <w:sz w:val="18"/>
          <w:szCs w:val="18"/>
          <w:color w:val="auto"/>
        </w:rPr>
        <w:t xml:space="preserve">inal Award </w:t>
      </w:r>
      <w:r>
        <w:rPr>
          <w:rFonts w:ascii="Verdana" w:cs="Verdana" w:eastAsia="Verdana" w:hAnsi="Verdana"/>
          <w:sz w:val="18"/>
          <w:szCs w:val="18"/>
          <w:color w:val="0C1C46"/>
        </w:rPr>
        <w:t>i</w:t>
      </w:r>
      <w:r>
        <w:rPr>
          <w:rFonts w:ascii="Verdana" w:cs="Verdana" w:eastAsia="Verdana" w:hAnsi="Verdana"/>
          <w:sz w:val="18"/>
          <w:szCs w:val="18"/>
          <w:color w:val="auto"/>
        </w:rPr>
        <w:t>s de</w:t>
      </w:r>
      <w:r>
        <w:rPr>
          <w:rFonts w:ascii="Verdana" w:cs="Verdana" w:eastAsia="Verdana" w:hAnsi="Verdana"/>
          <w:sz w:val="18"/>
          <w:szCs w:val="18"/>
          <w:color w:val="0C1C46"/>
        </w:rPr>
        <w:t>l</w:t>
      </w:r>
      <w:r>
        <w:rPr>
          <w:rFonts w:ascii="Verdana" w:cs="Verdana" w:eastAsia="Verdana" w:hAnsi="Verdana"/>
          <w:sz w:val="18"/>
          <w:szCs w:val="18"/>
          <w:color w:val="auto"/>
        </w:rPr>
        <w:t>ivered to the Part</w:t>
      </w:r>
      <w:r>
        <w:rPr>
          <w:rFonts w:ascii="Verdana" w:cs="Verdana" w:eastAsia="Verdana" w:hAnsi="Verdana"/>
          <w:sz w:val="18"/>
          <w:szCs w:val="18"/>
          <w:color w:val="573621"/>
        </w:rPr>
        <w:t>i</w:t>
      </w:r>
      <w:r>
        <w:rPr>
          <w:rFonts w:ascii="Verdana" w:cs="Verdana" w:eastAsia="Verdana" w:hAnsi="Verdana"/>
          <w:sz w:val="18"/>
          <w:szCs w:val="18"/>
          <w:color w:val="382626"/>
        </w:rPr>
        <w:t>ci</w:t>
      </w:r>
      <w:r>
        <w:rPr>
          <w:rFonts w:ascii="Verdana" w:cs="Verdana" w:eastAsia="Verdana" w:hAnsi="Verdana"/>
          <w:sz w:val="18"/>
          <w:szCs w:val="18"/>
          <w:color w:val="auto"/>
        </w:rPr>
        <w:t xml:space="preserve">pant </w:t>
      </w:r>
      <w:r>
        <w:rPr>
          <w:rFonts w:ascii="Verdana" w:cs="Verdana" w:eastAsia="Verdana" w:hAnsi="Verdana"/>
          <w:sz w:val="18"/>
          <w:szCs w:val="18"/>
          <w:color w:val="0C1C46"/>
        </w:rPr>
        <w:t>i</w:t>
      </w:r>
      <w:r>
        <w:rPr>
          <w:rFonts w:ascii="Verdana" w:cs="Verdana" w:eastAsia="Verdana" w:hAnsi="Verdana"/>
          <w:sz w:val="18"/>
          <w:szCs w:val="18"/>
          <w:color w:val="auto"/>
        </w:rPr>
        <w:t>n accordance with the provisions hereof</w:t>
      </w:r>
      <w:r>
        <w:rPr>
          <w:rFonts w:ascii="Verdana" w:cs="Verdana" w:eastAsia="Verdana" w:hAnsi="Verdana"/>
          <w:sz w:val="18"/>
          <w:szCs w:val="18"/>
          <w:color w:val="030307"/>
        </w:rPr>
        <w:t>.</w:t>
      </w:r>
      <w:r>
        <w:rPr>
          <w:rFonts w:ascii="Verdana" w:cs="Verdana" w:eastAsia="Verdana" w:hAnsi="Verdana"/>
          <w:sz w:val="18"/>
          <w:szCs w:val="18"/>
          <w:color w:val="auto"/>
        </w:rPr>
        <w:t xml:space="preserve"> Notwithstand</w:t>
      </w:r>
      <w:r>
        <w:rPr>
          <w:rFonts w:ascii="Verdana" w:cs="Verdana" w:eastAsia="Verdana" w:hAnsi="Verdana"/>
          <w:sz w:val="18"/>
          <w:szCs w:val="18"/>
          <w:color w:val="573621"/>
        </w:rPr>
        <w:t>i</w:t>
      </w:r>
      <w:r>
        <w:rPr>
          <w:rFonts w:ascii="Verdana" w:cs="Verdana" w:eastAsia="Verdana" w:hAnsi="Verdana"/>
          <w:sz w:val="18"/>
          <w:szCs w:val="18"/>
          <w:color w:val="auto"/>
        </w:rPr>
        <w:t>ng the forego</w:t>
      </w:r>
      <w:r>
        <w:rPr>
          <w:rFonts w:ascii="Verdana" w:cs="Verdana" w:eastAsia="Verdana" w:hAnsi="Verdana"/>
          <w:sz w:val="18"/>
          <w:szCs w:val="18"/>
          <w:color w:val="0C1C46"/>
        </w:rPr>
        <w:t>i</w:t>
      </w:r>
      <w:r>
        <w:rPr>
          <w:rFonts w:ascii="Verdana" w:cs="Verdana" w:eastAsia="Verdana" w:hAnsi="Verdana"/>
          <w:sz w:val="18"/>
          <w:szCs w:val="18"/>
          <w:color w:val="auto"/>
        </w:rPr>
        <w:t xml:space="preserve">ng, </w:t>
      </w:r>
      <w:r>
        <w:rPr>
          <w:rFonts w:ascii="Verdana" w:cs="Verdana" w:eastAsia="Verdana" w:hAnsi="Verdana"/>
          <w:sz w:val="18"/>
          <w:szCs w:val="18"/>
          <w:color w:val="573621"/>
        </w:rPr>
        <w:t>i</w:t>
      </w:r>
      <w:r>
        <w:rPr>
          <w:rFonts w:ascii="Verdana" w:cs="Verdana" w:eastAsia="Verdana" w:hAnsi="Verdana"/>
          <w:sz w:val="18"/>
          <w:szCs w:val="18"/>
          <w:color w:val="auto"/>
        </w:rPr>
        <w:t>n the event that there are insufficient shares of Common Stock avai</w:t>
      </w:r>
      <w:r>
        <w:rPr>
          <w:rFonts w:ascii="Verdana" w:cs="Verdana" w:eastAsia="Verdana" w:hAnsi="Verdana"/>
          <w:sz w:val="18"/>
          <w:szCs w:val="18"/>
          <w:color w:val="573621"/>
        </w:rPr>
        <w:t>l</w:t>
      </w:r>
      <w:r>
        <w:rPr>
          <w:rFonts w:ascii="Verdana" w:cs="Verdana" w:eastAsia="Verdana" w:hAnsi="Verdana"/>
          <w:sz w:val="18"/>
          <w:szCs w:val="18"/>
          <w:color w:val="auto"/>
        </w:rPr>
        <w:t>ab</w:t>
      </w:r>
      <w:r>
        <w:rPr>
          <w:rFonts w:ascii="Verdana" w:cs="Verdana" w:eastAsia="Verdana" w:hAnsi="Verdana"/>
          <w:sz w:val="18"/>
          <w:szCs w:val="18"/>
          <w:color w:val="573621"/>
        </w:rPr>
        <w:t>l</w:t>
      </w:r>
      <w:r>
        <w:rPr>
          <w:rFonts w:ascii="Verdana" w:cs="Verdana" w:eastAsia="Verdana" w:hAnsi="Verdana"/>
          <w:sz w:val="18"/>
          <w:szCs w:val="18"/>
          <w:color w:val="auto"/>
        </w:rPr>
        <w:t xml:space="preserve">e </w:t>
      </w:r>
      <w:r>
        <w:rPr>
          <w:rFonts w:ascii="Verdana" w:cs="Verdana" w:eastAsia="Verdana" w:hAnsi="Verdana"/>
          <w:sz w:val="18"/>
          <w:szCs w:val="18"/>
          <w:color w:val="573621"/>
        </w:rPr>
        <w:t>i</w:t>
      </w:r>
      <w:r>
        <w:rPr>
          <w:rFonts w:ascii="Verdana" w:cs="Verdana" w:eastAsia="Verdana" w:hAnsi="Verdana"/>
          <w:sz w:val="18"/>
          <w:szCs w:val="18"/>
          <w:color w:val="auto"/>
        </w:rPr>
        <w:t xml:space="preserve">n the </w:t>
      </w:r>
      <w:r>
        <w:rPr>
          <w:rFonts w:ascii="Verdana" w:cs="Verdana" w:eastAsia="Verdana" w:hAnsi="Verdana"/>
          <w:sz w:val="18"/>
          <w:szCs w:val="18"/>
          <w:color w:val="030307"/>
        </w:rPr>
        <w:t>P</w:t>
      </w:r>
      <w:r>
        <w:rPr>
          <w:rFonts w:ascii="Verdana" w:cs="Verdana" w:eastAsia="Verdana" w:hAnsi="Verdana"/>
          <w:sz w:val="18"/>
          <w:szCs w:val="18"/>
          <w:color w:val="0C1C46"/>
        </w:rPr>
        <w:t>l</w:t>
      </w:r>
      <w:r>
        <w:rPr>
          <w:rFonts w:ascii="Verdana" w:cs="Verdana" w:eastAsia="Verdana" w:hAnsi="Verdana"/>
          <w:sz w:val="18"/>
          <w:szCs w:val="18"/>
          <w:color w:val="auto"/>
        </w:rPr>
        <w:t>an to sett</w:t>
      </w:r>
      <w:r>
        <w:rPr>
          <w:rFonts w:ascii="Verdana" w:cs="Verdana" w:eastAsia="Verdana" w:hAnsi="Verdana"/>
          <w:sz w:val="18"/>
          <w:szCs w:val="18"/>
          <w:color w:val="0C1C46"/>
        </w:rPr>
        <w:t>l</w:t>
      </w:r>
      <w:r>
        <w:rPr>
          <w:rFonts w:ascii="Verdana" w:cs="Verdana" w:eastAsia="Verdana" w:hAnsi="Verdana"/>
          <w:sz w:val="18"/>
          <w:szCs w:val="18"/>
          <w:color w:val="auto"/>
        </w:rPr>
        <w:t>e the accrued d</w:t>
      </w:r>
      <w:r>
        <w:rPr>
          <w:rFonts w:ascii="Verdana" w:cs="Verdana" w:eastAsia="Verdana" w:hAnsi="Verdana"/>
          <w:sz w:val="18"/>
          <w:szCs w:val="18"/>
          <w:color w:val="573621"/>
        </w:rPr>
        <w:t>i</w:t>
      </w:r>
      <w:r>
        <w:rPr>
          <w:rFonts w:ascii="Verdana" w:cs="Verdana" w:eastAsia="Verdana" w:hAnsi="Verdana"/>
          <w:sz w:val="18"/>
          <w:szCs w:val="18"/>
          <w:color w:val="auto"/>
        </w:rPr>
        <w:t>v</w:t>
      </w:r>
      <w:r>
        <w:rPr>
          <w:rFonts w:ascii="Verdana" w:cs="Verdana" w:eastAsia="Verdana" w:hAnsi="Verdana"/>
          <w:sz w:val="18"/>
          <w:szCs w:val="18"/>
          <w:color w:val="0C1C46"/>
        </w:rPr>
        <w:t>i</w:t>
      </w:r>
      <w:r>
        <w:rPr>
          <w:rFonts w:ascii="Verdana" w:cs="Verdana" w:eastAsia="Verdana" w:hAnsi="Verdana"/>
          <w:sz w:val="18"/>
          <w:szCs w:val="18"/>
          <w:color w:val="auto"/>
        </w:rPr>
        <w:t>dend book entry account in shares of Common Stock, such accrued book entry account shall be sett</w:t>
      </w:r>
      <w:r>
        <w:rPr>
          <w:rFonts w:ascii="Verdana" w:cs="Verdana" w:eastAsia="Verdana" w:hAnsi="Verdana"/>
          <w:sz w:val="18"/>
          <w:szCs w:val="18"/>
          <w:color w:val="573621"/>
        </w:rPr>
        <w:t>l</w:t>
      </w:r>
      <w:r>
        <w:rPr>
          <w:rFonts w:ascii="Verdana" w:cs="Verdana" w:eastAsia="Verdana" w:hAnsi="Verdana"/>
          <w:sz w:val="18"/>
          <w:szCs w:val="18"/>
          <w:color w:val="auto"/>
        </w:rPr>
        <w:t xml:space="preserve">ed </w:t>
      </w:r>
      <w:r>
        <w:rPr>
          <w:rFonts w:ascii="Verdana" w:cs="Verdana" w:eastAsia="Verdana" w:hAnsi="Verdana"/>
          <w:sz w:val="18"/>
          <w:szCs w:val="18"/>
          <w:color w:val="382626"/>
        </w:rPr>
        <w:t>in</w:t>
      </w:r>
      <w:r>
        <w:rPr>
          <w:rFonts w:ascii="Verdana" w:cs="Verdana" w:eastAsia="Verdana" w:hAnsi="Verdana"/>
          <w:sz w:val="18"/>
          <w:szCs w:val="18"/>
          <w:color w:val="auto"/>
        </w:rPr>
        <w:t xml:space="preserve"> cash in an amount equa</w:t>
      </w:r>
      <w:r>
        <w:rPr>
          <w:rFonts w:ascii="Verdana" w:cs="Verdana" w:eastAsia="Verdana" w:hAnsi="Verdana"/>
          <w:sz w:val="18"/>
          <w:szCs w:val="18"/>
          <w:color w:val="573621"/>
        </w:rPr>
        <w:t>l</w:t>
      </w:r>
      <w:r>
        <w:rPr>
          <w:rFonts w:ascii="Verdana" w:cs="Verdana" w:eastAsia="Verdana" w:hAnsi="Verdana"/>
          <w:sz w:val="18"/>
          <w:szCs w:val="18"/>
          <w:color w:val="auto"/>
        </w:rPr>
        <w:t xml:space="preserve"> to the Fair Market Value of such shares of Common Stock at the t</w:t>
      </w:r>
      <w:r>
        <w:rPr>
          <w:rFonts w:ascii="Verdana" w:cs="Verdana" w:eastAsia="Verdana" w:hAnsi="Verdana"/>
          <w:sz w:val="18"/>
          <w:szCs w:val="18"/>
          <w:color w:val="0C1C46"/>
        </w:rPr>
        <w:t>i</w:t>
      </w:r>
      <w:r>
        <w:rPr>
          <w:rFonts w:ascii="Verdana" w:cs="Verdana" w:eastAsia="Verdana" w:hAnsi="Verdana"/>
          <w:sz w:val="18"/>
          <w:szCs w:val="18"/>
          <w:color w:val="auto"/>
        </w:rPr>
        <w:t>me of sett</w:t>
      </w:r>
      <w:r>
        <w:rPr>
          <w:rFonts w:ascii="Verdana" w:cs="Verdana" w:eastAsia="Verdana" w:hAnsi="Verdana"/>
          <w:sz w:val="18"/>
          <w:szCs w:val="18"/>
          <w:color w:val="573621"/>
        </w:rPr>
        <w:t>l</w:t>
      </w:r>
      <w:r>
        <w:rPr>
          <w:rFonts w:ascii="Verdana" w:cs="Verdana" w:eastAsia="Verdana" w:hAnsi="Verdana"/>
          <w:sz w:val="18"/>
          <w:szCs w:val="18"/>
          <w:color w:val="auto"/>
        </w:rPr>
        <w:t>ement</w:t>
      </w:r>
      <w:r>
        <w:rPr>
          <w:rFonts w:ascii="Verdana" w:cs="Verdana" w:eastAsia="Verdana" w:hAnsi="Verdana"/>
          <w:sz w:val="18"/>
          <w:szCs w:val="18"/>
          <w:color w:val="030307"/>
        </w:rPr>
        <w:t>. E</w:t>
      </w:r>
      <w:r>
        <w:rPr>
          <w:rFonts w:ascii="Verdana" w:cs="Verdana" w:eastAsia="Verdana" w:hAnsi="Verdana"/>
          <w:sz w:val="18"/>
          <w:szCs w:val="18"/>
          <w:color w:val="auto"/>
        </w:rPr>
        <w:t>xcept as otherwise prov</w:t>
      </w:r>
      <w:r>
        <w:rPr>
          <w:rFonts w:ascii="Verdana" w:cs="Verdana" w:eastAsia="Verdana" w:hAnsi="Verdana"/>
          <w:sz w:val="18"/>
          <w:szCs w:val="18"/>
          <w:color w:val="0C1C46"/>
        </w:rPr>
        <w:t>i</w:t>
      </w:r>
      <w:r>
        <w:rPr>
          <w:rFonts w:ascii="Verdana" w:cs="Verdana" w:eastAsia="Verdana" w:hAnsi="Verdana"/>
          <w:sz w:val="18"/>
          <w:szCs w:val="18"/>
          <w:color w:val="auto"/>
        </w:rPr>
        <w:t>ded here</w:t>
      </w:r>
      <w:r>
        <w:rPr>
          <w:rFonts w:ascii="Verdana" w:cs="Verdana" w:eastAsia="Verdana" w:hAnsi="Verdana"/>
          <w:sz w:val="18"/>
          <w:szCs w:val="18"/>
          <w:color w:val="0C1C46"/>
        </w:rPr>
        <w:t>i</w:t>
      </w:r>
      <w:r>
        <w:rPr>
          <w:rFonts w:ascii="Verdana" w:cs="Verdana" w:eastAsia="Verdana" w:hAnsi="Verdana"/>
          <w:sz w:val="18"/>
          <w:szCs w:val="18"/>
          <w:color w:val="auto"/>
        </w:rPr>
        <w:t>n, the Participant shall have no rights as a stockho</w:t>
      </w:r>
      <w:r>
        <w:rPr>
          <w:rFonts w:ascii="Verdana" w:cs="Verdana" w:eastAsia="Verdana" w:hAnsi="Verdana"/>
          <w:sz w:val="18"/>
          <w:szCs w:val="18"/>
          <w:color w:val="573621"/>
        </w:rPr>
        <w:t>l</w:t>
      </w:r>
      <w:r>
        <w:rPr>
          <w:rFonts w:ascii="Verdana" w:cs="Verdana" w:eastAsia="Verdana" w:hAnsi="Verdana"/>
          <w:sz w:val="18"/>
          <w:szCs w:val="18"/>
          <w:color w:val="auto"/>
        </w:rPr>
        <w:t>der w</w:t>
      </w:r>
      <w:r>
        <w:rPr>
          <w:rFonts w:ascii="Verdana" w:cs="Verdana" w:eastAsia="Verdana" w:hAnsi="Verdana"/>
          <w:sz w:val="18"/>
          <w:szCs w:val="18"/>
          <w:color w:val="573621"/>
        </w:rPr>
        <w:t>i</w:t>
      </w:r>
      <w:r>
        <w:rPr>
          <w:rFonts w:ascii="Verdana" w:cs="Verdana" w:eastAsia="Verdana" w:hAnsi="Verdana"/>
          <w:sz w:val="18"/>
          <w:szCs w:val="18"/>
          <w:color w:val="auto"/>
        </w:rPr>
        <w:t>th respect to any shares of Common Stock under</w:t>
      </w:r>
      <w:r>
        <w:rPr>
          <w:rFonts w:ascii="Verdana" w:cs="Verdana" w:eastAsia="Verdana" w:hAnsi="Verdana"/>
          <w:sz w:val="18"/>
          <w:szCs w:val="18"/>
          <w:color w:val="0C1C46"/>
        </w:rPr>
        <w:t>l</w:t>
      </w:r>
      <w:r>
        <w:rPr>
          <w:rFonts w:ascii="Verdana" w:cs="Verdana" w:eastAsia="Verdana" w:hAnsi="Verdana"/>
          <w:sz w:val="18"/>
          <w:szCs w:val="18"/>
          <w:color w:val="auto"/>
        </w:rPr>
        <w:t>ying any RPSU un</w:t>
      </w:r>
      <w:r>
        <w:rPr>
          <w:rFonts w:ascii="Verdana" w:cs="Verdana" w:eastAsia="Verdana" w:hAnsi="Verdana"/>
          <w:sz w:val="18"/>
          <w:szCs w:val="18"/>
          <w:color w:val="573621"/>
        </w:rPr>
        <w:t>l</w:t>
      </w:r>
      <w:r>
        <w:rPr>
          <w:rFonts w:ascii="Verdana" w:cs="Verdana" w:eastAsia="Verdana" w:hAnsi="Verdana"/>
          <w:sz w:val="18"/>
          <w:szCs w:val="18"/>
          <w:color w:val="auto"/>
        </w:rPr>
        <w:t>ess and unt</w:t>
      </w:r>
      <w:r>
        <w:rPr>
          <w:rFonts w:ascii="Verdana" w:cs="Verdana" w:eastAsia="Verdana" w:hAnsi="Verdana"/>
          <w:sz w:val="18"/>
          <w:szCs w:val="18"/>
          <w:color w:val="573621"/>
        </w:rPr>
        <w:t>i</w:t>
      </w:r>
      <w:r>
        <w:rPr>
          <w:rFonts w:ascii="Verdana" w:cs="Verdana" w:eastAsia="Verdana" w:hAnsi="Verdana"/>
          <w:sz w:val="18"/>
          <w:szCs w:val="18"/>
          <w:color w:val="auto"/>
        </w:rPr>
        <w:t>l the Participant has become the ho</w:t>
      </w:r>
      <w:r>
        <w:rPr>
          <w:rFonts w:ascii="Verdana" w:cs="Verdana" w:eastAsia="Verdana" w:hAnsi="Verdana"/>
          <w:sz w:val="18"/>
          <w:szCs w:val="18"/>
          <w:color w:val="573621"/>
        </w:rPr>
        <w:t>l</w:t>
      </w:r>
      <w:r>
        <w:rPr>
          <w:rFonts w:ascii="Verdana" w:cs="Verdana" w:eastAsia="Verdana" w:hAnsi="Verdana"/>
          <w:sz w:val="18"/>
          <w:szCs w:val="18"/>
          <w:color w:val="auto"/>
        </w:rPr>
        <w:t>der of record of such shares</w:t>
      </w:r>
      <w:r>
        <w:rPr>
          <w:rFonts w:ascii="Verdana" w:cs="Verdana" w:eastAsia="Verdana" w:hAnsi="Verdana"/>
          <w:sz w:val="18"/>
          <w:szCs w:val="18"/>
          <w:color w:val="030307"/>
        </w:rPr>
        <w:t>.</w:t>
      </w:r>
    </w:p>
    <w:p>
      <w:pPr>
        <w:spacing w:after="0" w:line="172" w:lineRule="exact"/>
        <w:rPr>
          <w:rFonts w:ascii="Verdana" w:cs="Verdana" w:eastAsia="Verdana" w:hAnsi="Verdana"/>
          <w:sz w:val="18"/>
          <w:szCs w:val="18"/>
          <w:b w:val="1"/>
          <w:bCs w:val="1"/>
          <w:color w:val="010000"/>
        </w:rPr>
      </w:pPr>
    </w:p>
    <w:p>
      <w:pPr>
        <w:ind w:left="615" w:hanging="615"/>
        <w:spacing w:after="0"/>
        <w:tabs>
          <w:tab w:leader="none" w:pos="615" w:val="left"/>
        </w:tabs>
        <w:numPr>
          <w:ilvl w:val="0"/>
          <w:numId w:val="284"/>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Transfer of RPSUs</w:t>
      </w:r>
    </w:p>
    <w:p>
      <w:pPr>
        <w:spacing w:after="0" w:line="189" w:lineRule="exact"/>
        <w:rPr>
          <w:rFonts w:ascii="Verdana" w:cs="Verdana" w:eastAsia="Verdana" w:hAnsi="Verdana"/>
          <w:sz w:val="18"/>
          <w:szCs w:val="18"/>
          <w:b w:val="1"/>
          <w:bCs w:val="1"/>
          <w:color w:val="010000"/>
        </w:rPr>
      </w:pPr>
    </w:p>
    <w:p>
      <w:pPr>
        <w:jc w:val="both"/>
        <w:ind w:left="635"/>
        <w:spacing w:after="0" w:line="235" w:lineRule="auto"/>
        <w:rPr>
          <w:rFonts w:ascii="Verdana" w:cs="Verdana" w:eastAsia="Verdana" w:hAnsi="Verdana"/>
          <w:sz w:val="18"/>
          <w:szCs w:val="18"/>
          <w:b w:val="1"/>
          <w:bCs w:val="1"/>
          <w:color w:val="010000"/>
        </w:rPr>
      </w:pPr>
      <w:r>
        <w:rPr>
          <w:rFonts w:ascii="Verdana" w:cs="Verdana" w:eastAsia="Verdana" w:hAnsi="Verdana"/>
          <w:sz w:val="18"/>
          <w:szCs w:val="18"/>
          <w:color w:val="auto"/>
        </w:rPr>
        <w:t xml:space="preserve">Unless otherwise permitted by the Committee or </w:t>
      </w:r>
      <w:r>
        <w:rPr>
          <w:rFonts w:ascii="Verdana" w:cs="Verdana" w:eastAsia="Verdana" w:hAnsi="Verdana"/>
          <w:sz w:val="18"/>
          <w:szCs w:val="18"/>
          <w:u w:val="single" w:color="auto"/>
          <w:color w:val="auto"/>
        </w:rPr>
        <w:t>Section 13</w:t>
      </w:r>
      <w:r>
        <w:rPr>
          <w:rFonts w:ascii="Verdana" w:cs="Verdana" w:eastAsia="Verdana" w:hAnsi="Verdana"/>
          <w:sz w:val="18"/>
          <w:szCs w:val="18"/>
          <w:color w:val="auto"/>
        </w:rPr>
        <w:t xml:space="preserve"> of the Plan, no award or right granted hereunder may be sold, transferred, pledged, assigned or otherwise alienated or hypothecated, other than pursuant to a will or the laws of descent and distribution. Any attempted disposition in violation of this </w:t>
      </w:r>
      <w:r>
        <w:rPr>
          <w:rFonts w:ascii="Verdana" w:cs="Verdana" w:eastAsia="Verdana" w:hAnsi="Verdana"/>
          <w:sz w:val="18"/>
          <w:szCs w:val="18"/>
          <w:u w:val="single" w:color="auto"/>
          <w:color w:val="auto"/>
        </w:rPr>
        <w:t>Section 5</w:t>
      </w:r>
      <w:r>
        <w:rPr>
          <w:rFonts w:ascii="Verdana" w:cs="Verdana" w:eastAsia="Verdana" w:hAnsi="Verdana"/>
          <w:sz w:val="18"/>
          <w:szCs w:val="18"/>
          <w:color w:val="auto"/>
        </w:rPr>
        <w:t xml:space="preserve"> and </w:t>
      </w:r>
      <w:r>
        <w:rPr>
          <w:rFonts w:ascii="Verdana" w:cs="Verdana" w:eastAsia="Verdana" w:hAnsi="Verdana"/>
          <w:sz w:val="18"/>
          <w:szCs w:val="18"/>
          <w:u w:val="single" w:color="auto"/>
          <w:color w:val="auto"/>
        </w:rPr>
        <w:t>Section 13</w:t>
      </w:r>
      <w:r>
        <w:rPr>
          <w:rFonts w:ascii="Verdana" w:cs="Verdana" w:eastAsia="Verdana" w:hAnsi="Verdana"/>
          <w:sz w:val="18"/>
          <w:szCs w:val="18"/>
          <w:color w:val="auto"/>
        </w:rPr>
        <w:t xml:space="preserve"> of the Plan shall be void.</w:t>
      </w:r>
    </w:p>
    <w:p>
      <w:pPr>
        <w:spacing w:after="0" w:line="169" w:lineRule="exact"/>
        <w:rPr>
          <w:rFonts w:ascii="Verdana" w:cs="Verdana" w:eastAsia="Verdana" w:hAnsi="Verdana"/>
          <w:sz w:val="18"/>
          <w:szCs w:val="18"/>
          <w:b w:val="1"/>
          <w:bCs w:val="1"/>
          <w:color w:val="010000"/>
        </w:rPr>
      </w:pPr>
    </w:p>
    <w:p>
      <w:pPr>
        <w:ind w:left="615" w:hanging="615"/>
        <w:spacing w:after="0"/>
        <w:tabs>
          <w:tab w:leader="none" w:pos="615" w:val="left"/>
        </w:tabs>
        <w:numPr>
          <w:ilvl w:val="0"/>
          <w:numId w:val="284"/>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Status of Participant</w:t>
      </w:r>
    </w:p>
    <w:p>
      <w:pPr>
        <w:spacing w:after="0" w:line="189" w:lineRule="exact"/>
        <w:rPr>
          <w:rFonts w:ascii="Verdana" w:cs="Verdana" w:eastAsia="Verdana" w:hAnsi="Verdana"/>
          <w:sz w:val="18"/>
          <w:szCs w:val="18"/>
          <w:b w:val="1"/>
          <w:bCs w:val="1"/>
          <w:color w:val="010000"/>
        </w:rPr>
      </w:pPr>
    </w:p>
    <w:p>
      <w:pPr>
        <w:jc w:val="both"/>
        <w:ind w:left="635"/>
        <w:spacing w:after="0" w:line="234" w:lineRule="auto"/>
        <w:rPr>
          <w:rFonts w:ascii="Verdana" w:cs="Verdana" w:eastAsia="Verdana" w:hAnsi="Verdana"/>
          <w:sz w:val="18"/>
          <w:szCs w:val="18"/>
          <w:b w:val="1"/>
          <w:bCs w:val="1"/>
          <w:color w:val="010000"/>
        </w:rPr>
      </w:pPr>
      <w:r>
        <w:rPr>
          <w:rFonts w:ascii="Verdana" w:cs="Verdana" w:eastAsia="Verdana" w:hAnsi="Verdana"/>
          <w:sz w:val="18"/>
          <w:szCs w:val="18"/>
          <w:color w:val="auto"/>
        </w:rPr>
        <w:t>The Participant shall not be, and, except as otherwise provided herein, shall not have rights as, a stockholder of the Company with respect to any of the shares of Common Stock subject to, or underlying, the Target Award or Final Award, unless such shares have been issued and delivered to the Participant pursuant to the terms of this Agreement. The Company shall not be required to issue or transfer any certificates for shares of Common Stock until all applicable requirements of law have been complied with and such shares have been duly listed on any securities exchange on which the Common Stock may then be listed.</w:t>
      </w:r>
    </w:p>
    <w:p>
      <w:pPr>
        <w:spacing w:after="0" w:line="167" w:lineRule="exact"/>
        <w:rPr>
          <w:rFonts w:ascii="Verdana" w:cs="Verdana" w:eastAsia="Verdana" w:hAnsi="Verdana"/>
          <w:sz w:val="18"/>
          <w:szCs w:val="18"/>
          <w:b w:val="1"/>
          <w:bCs w:val="1"/>
          <w:color w:val="010000"/>
        </w:rPr>
      </w:pPr>
    </w:p>
    <w:p>
      <w:pPr>
        <w:ind w:left="615" w:hanging="615"/>
        <w:spacing w:after="0"/>
        <w:tabs>
          <w:tab w:leader="none" w:pos="615" w:val="left"/>
        </w:tabs>
        <w:numPr>
          <w:ilvl w:val="0"/>
          <w:numId w:val="284"/>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No Effect on Capital Structure</w:t>
      </w:r>
    </w:p>
    <w:p>
      <w:pPr>
        <w:spacing w:after="0" w:line="202" w:lineRule="exact"/>
        <w:rPr>
          <w:rFonts w:ascii="Verdana" w:cs="Verdana" w:eastAsia="Verdana" w:hAnsi="Verdana"/>
          <w:sz w:val="18"/>
          <w:szCs w:val="18"/>
          <w:b w:val="1"/>
          <w:bCs w:val="1"/>
          <w:color w:val="010000"/>
        </w:rPr>
      </w:pPr>
    </w:p>
    <w:p>
      <w:pPr>
        <w:jc w:val="both"/>
        <w:ind w:left="635"/>
        <w:spacing w:after="0" w:line="237" w:lineRule="auto"/>
        <w:rPr>
          <w:rFonts w:ascii="Verdana" w:cs="Verdana" w:eastAsia="Verdana" w:hAnsi="Verdana"/>
          <w:sz w:val="18"/>
          <w:szCs w:val="18"/>
          <w:b w:val="1"/>
          <w:bCs w:val="1"/>
          <w:color w:val="010000"/>
        </w:rPr>
      </w:pPr>
      <w:r>
        <w:rPr>
          <w:rFonts w:ascii="Verdana" w:cs="Verdana" w:eastAsia="Verdana" w:hAnsi="Verdana"/>
          <w:sz w:val="18"/>
          <w:szCs w:val="18"/>
          <w:color w:val="auto"/>
        </w:rPr>
        <w:t>No award or right granted hereunder shall affect the right of the Company or any Subsidiary to reclassify, recapitalize or otherwise change its capital or debt structure or to merge, consolidate, convey any or all of its assets, dissolve, liquidate, windup, or otherwise reorganize.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15"/>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35"/>
          </w:cols>
          <w:pgMar w:left="325" w:top="1440" w:right="339" w:bottom="1440" w:gutter="0" w:footer="0" w:header="0"/>
        </w:sectPr>
      </w:pPr>
    </w:p>
    <w:bookmarkStart w:id="298" w:name="page299"/>
    <w:bookmarkEnd w:id="298"/>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15" w:hanging="615"/>
        <w:spacing w:after="0"/>
        <w:tabs>
          <w:tab w:leader="none" w:pos="615" w:val="left"/>
        </w:tabs>
        <w:numPr>
          <w:ilvl w:val="0"/>
          <w:numId w:val="285"/>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Expiration and Forfeiture of Award</w:t>
      </w:r>
    </w:p>
    <w:p>
      <w:pPr>
        <w:spacing w:after="0" w:line="202" w:lineRule="exact"/>
        <w:rPr>
          <w:sz w:val="20"/>
          <w:szCs w:val="20"/>
          <w:color w:val="auto"/>
        </w:rPr>
      </w:pPr>
    </w:p>
    <w:p>
      <w:pPr>
        <w:jc w:val="both"/>
        <w:ind w:left="635"/>
        <w:spacing w:after="0" w:line="237" w:lineRule="auto"/>
        <w:rPr>
          <w:sz w:val="20"/>
          <w:szCs w:val="20"/>
          <w:color w:val="auto"/>
        </w:rPr>
      </w:pPr>
      <w:r>
        <w:rPr>
          <w:rFonts w:ascii="Verdana" w:cs="Verdana" w:eastAsia="Verdana" w:hAnsi="Verdana"/>
          <w:sz w:val="18"/>
          <w:szCs w:val="18"/>
          <w:color w:val="auto"/>
        </w:rPr>
        <w:t xml:space="preserve">The Final Award, if any, shall be paid and/or expire in the circumstances described in this </w:t>
      </w:r>
      <w:r>
        <w:rPr>
          <w:rFonts w:ascii="Verdana" w:cs="Verdana" w:eastAsia="Verdana" w:hAnsi="Verdana"/>
          <w:sz w:val="18"/>
          <w:szCs w:val="18"/>
          <w:u w:val="single" w:color="auto"/>
          <w:color w:val="auto"/>
        </w:rPr>
        <w:t>Section 8</w:t>
      </w:r>
      <w:r>
        <w:rPr>
          <w:rFonts w:ascii="Verdana" w:cs="Verdana" w:eastAsia="Verdana" w:hAnsi="Verdana"/>
          <w:sz w:val="18"/>
          <w:szCs w:val="18"/>
          <w:color w:val="auto"/>
        </w:rPr>
        <w:t>. As used herein, “</w:t>
      </w:r>
      <w:r>
        <w:rPr>
          <w:rFonts w:ascii="Verdana" w:cs="Verdana" w:eastAsia="Verdana" w:hAnsi="Verdana"/>
          <w:sz w:val="18"/>
          <w:szCs w:val="18"/>
          <w:u w:val="single" w:color="auto"/>
          <w:color w:val="auto"/>
        </w:rPr>
        <w:t>Termination of Service</w:t>
      </w:r>
      <w:r>
        <w:rPr>
          <w:rFonts w:ascii="Verdana" w:cs="Verdana" w:eastAsia="Verdana" w:hAnsi="Verdana"/>
          <w:sz w:val="18"/>
          <w:szCs w:val="18"/>
          <w:color w:val="auto"/>
        </w:rPr>
        <w:t>” means termination of a Participant’s employment by, or service to, the Company, including any of its Subsidiaries.</w:t>
      </w:r>
    </w:p>
    <w:p>
      <w:pPr>
        <w:spacing w:after="0" w:line="168" w:lineRule="exact"/>
        <w:rPr>
          <w:sz w:val="20"/>
          <w:szCs w:val="20"/>
          <w:color w:val="auto"/>
        </w:rPr>
      </w:pPr>
    </w:p>
    <w:p>
      <w:pPr>
        <w:ind w:left="1255" w:hanging="623"/>
        <w:spacing w:after="0"/>
        <w:tabs>
          <w:tab w:leader="none" w:pos="1255" w:val="left"/>
        </w:tabs>
        <w:numPr>
          <w:ilvl w:val="0"/>
          <w:numId w:val="286"/>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Death</w:t>
      </w:r>
    </w:p>
    <w:p>
      <w:pPr>
        <w:spacing w:after="0" w:line="189" w:lineRule="exact"/>
        <w:rPr>
          <w:sz w:val="20"/>
          <w:szCs w:val="20"/>
          <w:color w:val="auto"/>
        </w:rPr>
      </w:pPr>
    </w:p>
    <w:p>
      <w:pPr>
        <w:jc w:val="both"/>
        <w:ind w:left="635"/>
        <w:spacing w:after="0" w:line="237" w:lineRule="auto"/>
        <w:rPr>
          <w:sz w:val="20"/>
          <w:szCs w:val="20"/>
          <w:color w:val="auto"/>
        </w:rPr>
      </w:pPr>
      <w:r>
        <w:rPr>
          <w:rFonts w:ascii="Verdana" w:cs="Verdana" w:eastAsia="Verdana" w:hAnsi="Verdana"/>
          <w:sz w:val="18"/>
          <w:szCs w:val="18"/>
          <w:color w:val="auto"/>
        </w:rPr>
        <w:t xml:space="preserve">Upon a Termination of Service by reason of death, a Final Award equal to one hundred percent (100%) of the Target Award shall be paid to the Participant’s legal representatives, heirs, legatees, or distributees in accordance with </w:t>
      </w:r>
      <w:r>
        <w:rPr>
          <w:rFonts w:ascii="Verdana" w:cs="Verdana" w:eastAsia="Verdana" w:hAnsi="Verdana"/>
          <w:sz w:val="18"/>
          <w:szCs w:val="18"/>
          <w:u w:val="single" w:color="auto"/>
          <w:color w:val="auto"/>
        </w:rPr>
        <w:t>Section</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auto"/>
        </w:rPr>
        <w:t>3</w:t>
      </w:r>
      <w:r>
        <w:rPr>
          <w:rFonts w:ascii="Verdana" w:cs="Verdana" w:eastAsia="Verdana" w:hAnsi="Verdana"/>
          <w:sz w:val="18"/>
          <w:szCs w:val="18"/>
          <w:color w:val="auto"/>
        </w:rPr>
        <w:t>.</w:t>
      </w:r>
    </w:p>
    <w:p>
      <w:pPr>
        <w:spacing w:after="0" w:line="168" w:lineRule="exact"/>
        <w:rPr>
          <w:sz w:val="20"/>
          <w:szCs w:val="20"/>
          <w:color w:val="auto"/>
        </w:rPr>
      </w:pPr>
    </w:p>
    <w:p>
      <w:pPr>
        <w:ind w:left="1255" w:hanging="623"/>
        <w:spacing w:after="0"/>
        <w:tabs>
          <w:tab w:leader="none" w:pos="1255" w:val="left"/>
        </w:tabs>
        <w:numPr>
          <w:ilvl w:val="0"/>
          <w:numId w:val="287"/>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Retirement</w:t>
      </w:r>
    </w:p>
    <w:p>
      <w:pPr>
        <w:spacing w:after="0" w:line="189" w:lineRule="exact"/>
        <w:rPr>
          <w:sz w:val="20"/>
          <w:szCs w:val="20"/>
          <w:color w:val="auto"/>
        </w:rPr>
      </w:pPr>
    </w:p>
    <w:p>
      <w:pPr>
        <w:jc w:val="both"/>
        <w:ind w:left="635"/>
        <w:spacing w:after="0" w:line="235" w:lineRule="auto"/>
        <w:rPr>
          <w:sz w:val="20"/>
          <w:szCs w:val="20"/>
          <w:color w:val="auto"/>
        </w:rPr>
      </w:pPr>
      <w:r>
        <w:rPr>
          <w:rFonts w:ascii="Verdana" w:cs="Verdana" w:eastAsia="Verdana" w:hAnsi="Verdana"/>
          <w:sz w:val="18"/>
          <w:szCs w:val="18"/>
          <w:color w:val="auto"/>
        </w:rPr>
        <w:t>“</w:t>
      </w:r>
      <w:r>
        <w:rPr>
          <w:rFonts w:ascii="Verdana" w:cs="Verdana" w:eastAsia="Verdana" w:hAnsi="Verdana"/>
          <w:sz w:val="18"/>
          <w:szCs w:val="18"/>
          <w:u w:val="single" w:color="auto"/>
          <w:color w:val="auto"/>
        </w:rPr>
        <w:t>Retirement</w:t>
      </w:r>
      <w:r>
        <w:rPr>
          <w:rFonts w:ascii="Verdana" w:cs="Verdana" w:eastAsia="Verdana" w:hAnsi="Verdana"/>
          <w:sz w:val="18"/>
          <w:szCs w:val="18"/>
          <w:color w:val="auto"/>
        </w:rPr>
        <w:t xml:space="preserve">” means (i) for any non-director, unless otherwise determined by the Committee, means (A) termination of service as a non-director after at least 10 years of service by such non-director </w:t>
      </w:r>
      <w:r>
        <w:rPr>
          <w:rFonts w:ascii="Verdana" w:cs="Verdana" w:eastAsia="Verdana" w:hAnsi="Verdana"/>
          <w:sz w:val="18"/>
          <w:szCs w:val="18"/>
          <w:u w:val="single" w:color="auto"/>
          <w:color w:val="auto"/>
        </w:rPr>
        <w:t>and</w:t>
      </w:r>
      <w:r>
        <w:rPr>
          <w:rFonts w:ascii="Verdana" w:cs="Verdana" w:eastAsia="Verdana" w:hAnsi="Verdana"/>
          <w:sz w:val="18"/>
          <w:szCs w:val="18"/>
          <w:color w:val="auto"/>
        </w:rPr>
        <w:t xml:space="preserve"> (B) attaining at least 55 years of age, and (ii) for any director, unless otherwise determined by the Committee, means termination of service as a director after at least five years of Board service by such director.</w:t>
      </w:r>
    </w:p>
    <w:p>
      <w:pPr>
        <w:spacing w:after="0" w:line="196" w:lineRule="exact"/>
        <w:rPr>
          <w:sz w:val="20"/>
          <w:szCs w:val="20"/>
          <w:color w:val="auto"/>
        </w:rPr>
      </w:pPr>
    </w:p>
    <w:p>
      <w:pPr>
        <w:jc w:val="both"/>
        <w:ind w:left="635"/>
        <w:spacing w:after="0" w:line="273" w:lineRule="auto"/>
        <w:rPr>
          <w:sz w:val="20"/>
          <w:szCs w:val="20"/>
          <w:color w:val="auto"/>
        </w:rPr>
      </w:pPr>
      <w:r>
        <w:rPr>
          <w:rFonts w:ascii="Verdana" w:cs="Verdana" w:eastAsia="Verdana" w:hAnsi="Verdana"/>
          <w:sz w:val="16"/>
          <w:szCs w:val="16"/>
          <w:color w:val="auto"/>
        </w:rPr>
        <w:t xml:space="preserve">Upon a Termination of Service in the event of Retirement, the Award shall continue to vest according to the vesting schedule; provided that Retirement occurs more than twelve (12) months following the Date of Grant. Upon vesting, the Award shall be issued and delivered to the Participant in accordance with </w:t>
      </w:r>
      <w:r>
        <w:rPr>
          <w:rFonts w:ascii="Verdana" w:cs="Verdana" w:eastAsia="Verdana" w:hAnsi="Verdana"/>
          <w:sz w:val="16"/>
          <w:szCs w:val="16"/>
          <w:u w:val="single" w:color="auto"/>
          <w:color w:val="auto"/>
        </w:rPr>
        <w:t>Sections 1</w:t>
      </w:r>
      <w:r>
        <w:rPr>
          <w:rFonts w:ascii="Verdana" w:cs="Verdana" w:eastAsia="Verdana" w:hAnsi="Verdana"/>
          <w:sz w:val="16"/>
          <w:szCs w:val="16"/>
          <w:color w:val="auto"/>
        </w:rPr>
        <w:t xml:space="preserve"> and </w:t>
      </w:r>
      <w:r>
        <w:rPr>
          <w:rFonts w:ascii="Verdana" w:cs="Verdana" w:eastAsia="Verdana" w:hAnsi="Verdana"/>
          <w:sz w:val="16"/>
          <w:szCs w:val="16"/>
          <w:u w:val="single" w:color="auto"/>
          <w:color w:val="auto"/>
        </w:rPr>
        <w:t>2</w:t>
      </w:r>
      <w:r>
        <w:rPr>
          <w:rFonts w:ascii="Verdana" w:cs="Verdana" w:eastAsia="Verdana" w:hAnsi="Verdana"/>
          <w:sz w:val="16"/>
          <w:szCs w:val="16"/>
          <w:color w:val="auto"/>
        </w:rPr>
        <w:t xml:space="preserve">, and any such Final Award shall be paid to the Participant in accordance with </w:t>
      </w:r>
      <w:r>
        <w:rPr>
          <w:rFonts w:ascii="Verdana" w:cs="Verdana" w:eastAsia="Verdana" w:hAnsi="Verdana"/>
          <w:sz w:val="16"/>
          <w:szCs w:val="16"/>
          <w:u w:val="single" w:color="auto"/>
          <w:color w:val="auto"/>
        </w:rPr>
        <w:t>Section 3</w:t>
      </w:r>
      <w:r>
        <w:rPr>
          <w:rFonts w:ascii="Verdana" w:cs="Verdana" w:eastAsia="Verdana" w:hAnsi="Verdana"/>
          <w:sz w:val="16"/>
          <w:szCs w:val="16"/>
          <w:color w:val="auto"/>
        </w:rPr>
        <w:t>, subject to the Post-Settlement Holding Period.</w:t>
      </w:r>
    </w:p>
    <w:p>
      <w:pPr>
        <w:spacing w:after="0" w:line="142" w:lineRule="exact"/>
        <w:rPr>
          <w:sz w:val="20"/>
          <w:szCs w:val="20"/>
          <w:color w:val="auto"/>
        </w:rPr>
      </w:pPr>
    </w:p>
    <w:p>
      <w:pPr>
        <w:ind w:left="1255" w:hanging="623"/>
        <w:spacing w:after="0"/>
        <w:tabs>
          <w:tab w:leader="none" w:pos="1255" w:val="left"/>
        </w:tabs>
        <w:numPr>
          <w:ilvl w:val="0"/>
          <w:numId w:val="288"/>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Disability</w:t>
      </w:r>
    </w:p>
    <w:p>
      <w:pPr>
        <w:spacing w:after="0" w:line="202" w:lineRule="exact"/>
        <w:rPr>
          <w:sz w:val="20"/>
          <w:szCs w:val="20"/>
          <w:color w:val="auto"/>
        </w:rPr>
      </w:pPr>
    </w:p>
    <w:p>
      <w:pPr>
        <w:jc w:val="both"/>
        <w:ind w:left="635"/>
        <w:spacing w:after="0" w:line="235" w:lineRule="auto"/>
        <w:rPr>
          <w:sz w:val="20"/>
          <w:szCs w:val="20"/>
          <w:color w:val="auto"/>
        </w:rPr>
      </w:pPr>
      <w:r>
        <w:rPr>
          <w:rFonts w:ascii="Verdana" w:cs="Verdana" w:eastAsia="Verdana" w:hAnsi="Verdana"/>
          <w:sz w:val="18"/>
          <w:szCs w:val="18"/>
          <w:color w:val="auto"/>
        </w:rPr>
        <w:t xml:space="preserve">Upon a Termination of Service as a result of Disability, a Final Award equal to one hundred percent (100%) of the Target Award shall be paid to the Participant in accordance with </w:t>
      </w:r>
      <w:r>
        <w:rPr>
          <w:rFonts w:ascii="Verdana" w:cs="Verdana" w:eastAsia="Verdana" w:hAnsi="Verdana"/>
          <w:sz w:val="18"/>
          <w:szCs w:val="18"/>
          <w:u w:val="single" w:color="auto"/>
          <w:color w:val="auto"/>
        </w:rPr>
        <w:t>Section 3</w:t>
      </w:r>
      <w:r>
        <w:rPr>
          <w:rFonts w:ascii="Verdana" w:cs="Verdana" w:eastAsia="Verdana" w:hAnsi="Verdana"/>
          <w:sz w:val="18"/>
          <w:szCs w:val="18"/>
          <w:color w:val="auto"/>
        </w:rPr>
        <w:t>. For purposes of this Agreement, “</w:t>
      </w:r>
      <w:r>
        <w:rPr>
          <w:rFonts w:ascii="Verdana" w:cs="Verdana" w:eastAsia="Verdana" w:hAnsi="Verdana"/>
          <w:sz w:val="18"/>
          <w:szCs w:val="18"/>
          <w:u w:val="single" w:color="auto"/>
          <w:color w:val="auto"/>
        </w:rPr>
        <w:t>Disability</w:t>
      </w:r>
      <w:r>
        <w:rPr>
          <w:rFonts w:ascii="Verdana" w:cs="Verdana" w:eastAsia="Verdana" w:hAnsi="Verdana"/>
          <w:sz w:val="18"/>
          <w:szCs w:val="18"/>
          <w:color w:val="auto"/>
        </w:rPr>
        <w:t>” means a disability that would entitle an eligible Participant to payment of monthly disability payments under any Company long-term disability plan or as otherwise determined by the Committee.</w:t>
      </w:r>
    </w:p>
    <w:p>
      <w:pPr>
        <w:spacing w:after="0" w:line="170" w:lineRule="exact"/>
        <w:rPr>
          <w:sz w:val="20"/>
          <w:szCs w:val="20"/>
          <w:color w:val="auto"/>
        </w:rPr>
      </w:pPr>
    </w:p>
    <w:p>
      <w:pPr>
        <w:ind w:left="1255" w:hanging="623"/>
        <w:spacing w:after="0"/>
        <w:tabs>
          <w:tab w:leader="none" w:pos="1255" w:val="left"/>
        </w:tabs>
        <w:numPr>
          <w:ilvl w:val="0"/>
          <w:numId w:val="289"/>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Change in Control</w:t>
      </w:r>
    </w:p>
    <w:p>
      <w:pPr>
        <w:spacing w:after="0" w:line="189" w:lineRule="exact"/>
        <w:rPr>
          <w:sz w:val="20"/>
          <w:szCs w:val="20"/>
          <w:color w:val="auto"/>
        </w:rPr>
      </w:pPr>
    </w:p>
    <w:p>
      <w:pPr>
        <w:jc w:val="both"/>
        <w:ind w:left="635"/>
        <w:spacing w:after="0" w:line="233" w:lineRule="auto"/>
        <w:rPr>
          <w:sz w:val="20"/>
          <w:szCs w:val="20"/>
          <w:color w:val="auto"/>
        </w:rPr>
      </w:pPr>
      <w:r>
        <w:rPr>
          <w:rFonts w:ascii="Verdana" w:cs="Verdana" w:eastAsia="Verdana" w:hAnsi="Verdana"/>
          <w:sz w:val="18"/>
          <w:szCs w:val="18"/>
          <w:color w:val="auto"/>
        </w:rPr>
        <w:t xml:space="preserve">Notwithstanding any provision in this </w:t>
      </w:r>
      <w:r>
        <w:rPr>
          <w:rFonts w:ascii="Verdana" w:cs="Verdana" w:eastAsia="Verdana" w:hAnsi="Verdana"/>
          <w:sz w:val="18"/>
          <w:szCs w:val="18"/>
          <w:u w:val="single" w:color="auto"/>
          <w:color w:val="auto"/>
        </w:rPr>
        <w:t>Section 8</w:t>
      </w:r>
      <w:r>
        <w:rPr>
          <w:rFonts w:ascii="Verdana" w:cs="Verdana" w:eastAsia="Verdana" w:hAnsi="Verdana"/>
          <w:sz w:val="18"/>
          <w:szCs w:val="18"/>
          <w:color w:val="auto"/>
        </w:rPr>
        <w:t xml:space="preserve"> to the contrary, upon a Termination of Service without Cause in connection with a Change in Control, the Final Award payable to the Participant, if any, shall be determined by the Committee and shall be paid to the Participant in accordance with </w:t>
      </w:r>
      <w:r>
        <w:rPr>
          <w:rFonts w:ascii="Verdana" w:cs="Verdana" w:eastAsia="Verdana" w:hAnsi="Verdana"/>
          <w:sz w:val="18"/>
          <w:szCs w:val="18"/>
          <w:u w:val="single" w:color="auto"/>
          <w:color w:val="auto"/>
        </w:rPr>
        <w:t>Section 3</w:t>
      </w:r>
      <w:r>
        <w:rPr>
          <w:rFonts w:ascii="Verdana" w:cs="Verdana" w:eastAsia="Verdana" w:hAnsi="Verdana"/>
          <w:sz w:val="18"/>
          <w:szCs w:val="18"/>
          <w:color w:val="auto"/>
        </w:rPr>
        <w:t>. A Termination of Service without Cause may be treated as being in connection with a Change in Control only if such termination occurs during the period beginning six (6) months prior to the Change in Control and ending twenty-four (24) months following the Change in Control. The Committee shall determine, in its sole and absolute discretion, whether there was a Termination of Service without Cause in connection with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15"/>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35"/>
          </w:cols>
          <w:pgMar w:left="325" w:top="1440" w:right="339" w:bottom="1440" w:gutter="0" w:footer="0" w:header="0"/>
        </w:sectPr>
      </w:pPr>
    </w:p>
    <w:bookmarkStart w:id="299" w:name="page300"/>
    <w:bookmarkEnd w:id="299"/>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040" w:hanging="623"/>
        <w:spacing w:after="0"/>
        <w:tabs>
          <w:tab w:leader="none" w:pos="1040" w:val="left"/>
        </w:tabs>
        <w:numPr>
          <w:ilvl w:val="0"/>
          <w:numId w:val="290"/>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Eligible Termination</w:t>
      </w:r>
    </w:p>
    <w:p>
      <w:pPr>
        <w:spacing w:after="0" w:line="202" w:lineRule="exact"/>
        <w:rPr>
          <w:sz w:val="20"/>
          <w:szCs w:val="20"/>
          <w:color w:val="auto"/>
        </w:rPr>
      </w:pPr>
    </w:p>
    <w:p>
      <w:pPr>
        <w:jc w:val="both"/>
        <w:ind w:left="420"/>
        <w:spacing w:after="0" w:line="262" w:lineRule="auto"/>
        <w:rPr>
          <w:sz w:val="20"/>
          <w:szCs w:val="20"/>
          <w:color w:val="auto"/>
        </w:rPr>
      </w:pPr>
      <w:r>
        <w:rPr>
          <w:rFonts w:ascii="Verdana" w:cs="Verdana" w:eastAsia="Verdana" w:hAnsi="Verdana"/>
          <w:sz w:val="16"/>
          <w:szCs w:val="16"/>
          <w:color w:val="auto"/>
        </w:rPr>
        <w:t xml:space="preserve">Upon a Termination of Service by reason of an Eligible Termination (as defined below), the Participant shall continue to be eligible to receive a Final Award, if any, as though the Participant was continuously employed by the Company , including any of its Subsidiaries, throughout the Performance Period. At the end of the Performance Period, the Company will determine the Final Award that the Participant would have received had the Participant been continuously employed by the Company throughout the Performance Period in accordance with </w:t>
      </w:r>
      <w:r>
        <w:rPr>
          <w:rFonts w:ascii="Verdana" w:cs="Verdana" w:eastAsia="Verdana" w:hAnsi="Verdana"/>
          <w:sz w:val="16"/>
          <w:szCs w:val="16"/>
          <w:u w:val="single" w:color="auto"/>
          <w:color w:val="auto"/>
        </w:rPr>
        <w:t>Sections 1</w:t>
      </w:r>
      <w:r>
        <w:rPr>
          <w:rFonts w:ascii="Verdana" w:cs="Verdana" w:eastAsia="Verdana" w:hAnsi="Verdana"/>
          <w:sz w:val="16"/>
          <w:szCs w:val="16"/>
          <w:color w:val="auto"/>
        </w:rPr>
        <w:t xml:space="preserve"> and </w:t>
      </w:r>
      <w:r>
        <w:rPr>
          <w:rFonts w:ascii="Verdana" w:cs="Verdana" w:eastAsia="Verdana" w:hAnsi="Verdana"/>
          <w:sz w:val="16"/>
          <w:szCs w:val="16"/>
          <w:u w:val="single" w:color="auto"/>
          <w:color w:val="auto"/>
        </w:rPr>
        <w:t>2</w:t>
      </w:r>
      <w:r>
        <w:rPr>
          <w:rFonts w:ascii="Verdana" w:cs="Verdana" w:eastAsia="Verdana" w:hAnsi="Verdana"/>
          <w:sz w:val="16"/>
          <w:szCs w:val="16"/>
          <w:color w:val="auto"/>
        </w:rPr>
        <w:t xml:space="preserve"> (the “</w:t>
      </w:r>
      <w:r>
        <w:rPr>
          <w:rFonts w:ascii="Verdana" w:cs="Verdana" w:eastAsia="Verdana" w:hAnsi="Verdana"/>
          <w:sz w:val="16"/>
          <w:szCs w:val="16"/>
          <w:u w:val="single" w:color="auto"/>
          <w:color w:val="auto"/>
        </w:rPr>
        <w:t>Performance</w:t>
      </w:r>
      <w:r>
        <w:rPr>
          <w:rFonts w:ascii="Verdana" w:cs="Verdana" w:eastAsia="Verdana" w:hAnsi="Verdana"/>
          <w:sz w:val="16"/>
          <w:szCs w:val="16"/>
          <w:color w:val="auto"/>
        </w:rPr>
        <w:t xml:space="preserve"> </w:t>
      </w:r>
      <w:r>
        <w:rPr>
          <w:rFonts w:ascii="Verdana" w:cs="Verdana" w:eastAsia="Verdana" w:hAnsi="Verdana"/>
          <w:sz w:val="16"/>
          <w:szCs w:val="16"/>
          <w:u w:val="single" w:color="auto"/>
          <w:color w:val="auto"/>
        </w:rPr>
        <w:t>Award</w:t>
      </w:r>
      <w:r>
        <w:rPr>
          <w:rFonts w:ascii="Verdana" w:cs="Verdana" w:eastAsia="Verdana" w:hAnsi="Verdana"/>
          <w:sz w:val="16"/>
          <w:szCs w:val="16"/>
          <w:color w:val="auto"/>
        </w:rPr>
        <w:t>”). The Performance Award shall then be pro-rated such that the total number of shares of Common Stock paid to the Participant shall be the percentage of the Performance Award that is equal to the percentage of time that the Participant was actually continuously employed by the Company, including any of its Subsidiaries, during the Performance Period (the “</w:t>
      </w:r>
      <w:r>
        <w:rPr>
          <w:rFonts w:ascii="Verdana" w:cs="Verdana" w:eastAsia="Verdana" w:hAnsi="Verdana"/>
          <w:sz w:val="16"/>
          <w:szCs w:val="16"/>
          <w:u w:val="single" w:color="auto"/>
          <w:color w:val="auto"/>
        </w:rPr>
        <w:t>Pro-rated Performance Award</w:t>
      </w:r>
      <w:r>
        <w:rPr>
          <w:rFonts w:ascii="Verdana" w:cs="Verdana" w:eastAsia="Verdana" w:hAnsi="Verdana"/>
          <w:sz w:val="16"/>
          <w:szCs w:val="16"/>
          <w:color w:val="auto"/>
        </w:rPr>
        <w:t xml:space="preserve">”). The Pro-rated Performance Award shall become payable to the Participant on the later to occur of (A) the date that the Final Award would have be delivered in accordance with </w:t>
      </w:r>
      <w:r>
        <w:rPr>
          <w:rFonts w:ascii="Verdana" w:cs="Verdana" w:eastAsia="Verdana" w:hAnsi="Verdana"/>
          <w:sz w:val="16"/>
          <w:szCs w:val="16"/>
          <w:u w:val="single" w:color="auto"/>
          <w:color w:val="auto"/>
        </w:rPr>
        <w:t>Section 3</w:t>
      </w:r>
      <w:r>
        <w:rPr>
          <w:rFonts w:ascii="Verdana" w:cs="Verdana" w:eastAsia="Verdana" w:hAnsi="Verdana"/>
          <w:sz w:val="16"/>
          <w:szCs w:val="16"/>
          <w:color w:val="auto"/>
        </w:rPr>
        <w:t xml:space="preserve"> had the Participant been continuously employed by the Company , including any of its Subsidiaries, throughout the Performance Period, and (B) on or about the fifteenth (15th) day of the month that follows the month in which the Release (as defined below) becomes irrevocable; </w:t>
      </w:r>
      <w:r>
        <w:rPr>
          <w:rFonts w:ascii="Verdana" w:cs="Verdana" w:eastAsia="Verdana" w:hAnsi="Verdana"/>
          <w:sz w:val="16"/>
          <w:szCs w:val="16"/>
          <w:u w:val="single" w:color="auto"/>
          <w:color w:val="auto"/>
        </w:rPr>
        <w:t>provided</w:t>
      </w:r>
      <w:r>
        <w:rPr>
          <w:rFonts w:ascii="Verdana" w:cs="Verdana" w:eastAsia="Verdana" w:hAnsi="Verdana"/>
          <w:sz w:val="16"/>
          <w:szCs w:val="16"/>
          <w:color w:val="auto"/>
        </w:rPr>
        <w:t xml:space="preserve">, that (i) in the event the aggregate consideration and revocation period applicable to the Release ends after December 15 or spans two (2) calendar years, the applicable date under this clause (B) will be on or about January 15 of the second calendar year and, (ii) in the event the aggregate consideration and revocation period applicable to the Release ends on or before December 15, the applicable date under this clause (B) will be December 20th. Upon becoming payable, the Pro-rated Performance Award shall be paid to the Participant in accordance with </w:t>
      </w:r>
      <w:r>
        <w:rPr>
          <w:rFonts w:ascii="Verdana" w:cs="Verdana" w:eastAsia="Verdana" w:hAnsi="Verdana"/>
          <w:sz w:val="16"/>
          <w:szCs w:val="16"/>
          <w:u w:val="single" w:color="auto"/>
          <w:color w:val="auto"/>
        </w:rPr>
        <w:t>Section 3</w:t>
      </w:r>
      <w:r>
        <w:rPr>
          <w:rFonts w:ascii="Verdana" w:cs="Verdana" w:eastAsia="Verdana" w:hAnsi="Verdana"/>
          <w:sz w:val="16"/>
          <w:szCs w:val="16"/>
          <w:color w:val="auto"/>
        </w:rPr>
        <w:t xml:space="preserve">, provided, for the avoidance of doubt, that any payment pursuant to </w:t>
      </w:r>
      <w:r>
        <w:rPr>
          <w:rFonts w:ascii="Verdana" w:cs="Verdana" w:eastAsia="Verdana" w:hAnsi="Verdana"/>
          <w:sz w:val="16"/>
          <w:szCs w:val="16"/>
          <w:u w:val="single" w:color="auto"/>
          <w:color w:val="auto"/>
        </w:rPr>
        <w:t>Section 3</w:t>
      </w:r>
      <w:r>
        <w:rPr>
          <w:rFonts w:ascii="Verdana" w:cs="Verdana" w:eastAsia="Verdana" w:hAnsi="Verdana"/>
          <w:sz w:val="16"/>
          <w:szCs w:val="16"/>
          <w:color w:val="auto"/>
        </w:rPr>
        <w:t xml:space="preserve"> with respect to a Pro-Rated Award shall be made within two and one-half months of the end of such calendar year, and shall be subject to the Post-Settlement Holding Period.</w:t>
      </w:r>
    </w:p>
    <w:p>
      <w:pPr>
        <w:spacing w:after="0" w:line="200" w:lineRule="exact"/>
        <w:rPr>
          <w:sz w:val="20"/>
          <w:szCs w:val="20"/>
          <w:color w:val="auto"/>
        </w:rPr>
      </w:pPr>
    </w:p>
    <w:p>
      <w:pPr>
        <w:spacing w:after="0" w:line="400" w:lineRule="exact"/>
        <w:rPr>
          <w:sz w:val="20"/>
          <w:szCs w:val="20"/>
          <w:color w:val="auto"/>
        </w:rPr>
      </w:pPr>
    </w:p>
    <w:p>
      <w:pPr>
        <w:jc w:val="both"/>
        <w:ind w:left="420"/>
        <w:spacing w:after="0" w:line="265" w:lineRule="auto"/>
        <w:rPr>
          <w:sz w:val="20"/>
          <w:szCs w:val="20"/>
          <w:color w:val="auto"/>
        </w:rPr>
      </w:pPr>
      <w:r>
        <w:rPr>
          <w:rFonts w:ascii="Verdana" w:cs="Verdana" w:eastAsia="Verdana" w:hAnsi="Verdana"/>
          <w:sz w:val="16"/>
          <w:szCs w:val="16"/>
          <w:color w:val="auto"/>
        </w:rPr>
        <w:t xml:space="preserve">For purposes of this </w:t>
      </w:r>
      <w:r>
        <w:rPr>
          <w:rFonts w:ascii="Verdana" w:cs="Verdana" w:eastAsia="Verdana" w:hAnsi="Verdana"/>
          <w:sz w:val="16"/>
          <w:szCs w:val="16"/>
          <w:u w:val="single" w:color="auto"/>
          <w:color w:val="auto"/>
        </w:rPr>
        <w:t>Section 8(e)</w:t>
      </w:r>
      <w:r>
        <w:rPr>
          <w:rFonts w:ascii="Verdana" w:cs="Verdana" w:eastAsia="Verdana" w:hAnsi="Verdana"/>
          <w:sz w:val="16"/>
          <w:szCs w:val="16"/>
          <w:color w:val="auto"/>
        </w:rPr>
        <w:t>, “</w:t>
      </w:r>
      <w:r>
        <w:rPr>
          <w:rFonts w:ascii="Verdana" w:cs="Verdana" w:eastAsia="Verdana" w:hAnsi="Verdana"/>
          <w:sz w:val="16"/>
          <w:szCs w:val="16"/>
          <w:u w:val="single" w:color="auto"/>
          <w:color w:val="auto"/>
        </w:rPr>
        <w:t>Eligible Termination</w:t>
      </w:r>
      <w:r>
        <w:rPr>
          <w:rFonts w:ascii="Verdana" w:cs="Verdana" w:eastAsia="Verdana" w:hAnsi="Verdana"/>
          <w:sz w:val="16"/>
          <w:szCs w:val="16"/>
          <w:color w:val="auto"/>
        </w:rPr>
        <w:t>” means an involuntary Termination of Service in connection with the sale of a business segment, restructuring or reduction in workforce. In order to be deemed an Eligible Termination, the Participant must execute and not revoke a general release of claims in favor of the Company in a form and with terms and conditions drafted by and acceptable to the Company, which is executed, and not revoked, by the Participant as a condition to receiving the benefit described herein (the “</w:t>
      </w:r>
      <w:r>
        <w:rPr>
          <w:rFonts w:ascii="Verdana" w:cs="Verdana" w:eastAsia="Verdana" w:hAnsi="Verdana"/>
          <w:sz w:val="16"/>
          <w:szCs w:val="16"/>
          <w:u w:val="single" w:color="auto"/>
          <w:color w:val="auto"/>
        </w:rPr>
        <w:t>Release</w:t>
      </w:r>
      <w:r>
        <w:rPr>
          <w:rFonts w:ascii="Verdana" w:cs="Verdana" w:eastAsia="Verdana" w:hAnsi="Verdana"/>
          <w:sz w:val="16"/>
          <w:szCs w:val="16"/>
          <w:color w:val="auto"/>
        </w:rPr>
        <w:t xml:space="preserve">”). For the avoidance of doubt: (i) an involuntary Termination of Service by reason of a Change in Control, Cause, death, Disability, Good Reason, or not for Cause is not an Eligible Termination and (ii) in the event an Eligible Termination occurs and the Participant also meets the requirements for Retirement, the Award shall be paid in accordance with </w:t>
      </w:r>
      <w:r>
        <w:rPr>
          <w:rFonts w:ascii="Verdana" w:cs="Verdana" w:eastAsia="Verdana" w:hAnsi="Verdana"/>
          <w:sz w:val="16"/>
          <w:szCs w:val="16"/>
          <w:u w:val="single" w:color="auto"/>
          <w:color w:val="auto"/>
        </w:rPr>
        <w:t>Section 8(b)</w:t>
      </w:r>
      <w:r>
        <w:rPr>
          <w:rFonts w:ascii="Verdana" w:cs="Verdana" w:eastAsia="Verdana" w:hAnsi="Verdana"/>
          <w:sz w:val="16"/>
          <w:szCs w:val="16"/>
          <w:color w:val="auto"/>
        </w:rPr>
        <w:t>. The Company shall determine, in its sole and absolute discretion, whether a Termination of Service was by reason of an Eligible Termination.</w:t>
      </w:r>
    </w:p>
    <w:p>
      <w:pPr>
        <w:spacing w:after="0" w:line="147" w:lineRule="exact"/>
        <w:rPr>
          <w:sz w:val="20"/>
          <w:szCs w:val="20"/>
          <w:color w:val="auto"/>
        </w:rPr>
      </w:pPr>
    </w:p>
    <w:p>
      <w:pPr>
        <w:ind w:left="1040" w:hanging="623"/>
        <w:spacing w:after="0" w:line="219" w:lineRule="auto"/>
        <w:tabs>
          <w:tab w:leader="none" w:pos="1028" w:val="left"/>
        </w:tabs>
        <w:numPr>
          <w:ilvl w:val="0"/>
          <w:numId w:val="291"/>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Termination of Service Other Than as a Result of Death, Retirement, Disability, Eligible Termination, or Change in Control</w:t>
      </w:r>
    </w:p>
    <w:p>
      <w:pPr>
        <w:spacing w:after="0" w:line="180" w:lineRule="exact"/>
        <w:rPr>
          <w:sz w:val="20"/>
          <w:szCs w:val="20"/>
          <w:color w:val="auto"/>
        </w:rPr>
      </w:pPr>
    </w:p>
    <w:p>
      <w:pPr>
        <w:ind w:left="420"/>
        <w:spacing w:after="0" w:line="241" w:lineRule="auto"/>
        <w:rPr>
          <w:sz w:val="20"/>
          <w:szCs w:val="20"/>
          <w:color w:val="auto"/>
        </w:rPr>
      </w:pPr>
      <w:r>
        <w:rPr>
          <w:rFonts w:ascii="Verdana" w:cs="Verdana" w:eastAsia="Verdana" w:hAnsi="Verdana"/>
          <w:sz w:val="18"/>
          <w:szCs w:val="18"/>
          <w:color w:val="auto"/>
        </w:rPr>
        <w:t>Upon a Termination of Service by any reason other than death, Retirement, Disability, Eligible Termination or without Cause in connection with a Change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020"/>
          </w:cols>
          <w:pgMar w:left="540" w:top="1440" w:right="339" w:bottom="1440" w:gutter="0" w:footer="0" w:header="0"/>
        </w:sectPr>
      </w:pPr>
    </w:p>
    <w:bookmarkStart w:id="300" w:name="page301"/>
    <w:bookmarkEnd w:id="3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35"/>
        <w:spacing w:after="0" w:line="235" w:lineRule="auto"/>
        <w:rPr>
          <w:sz w:val="20"/>
          <w:szCs w:val="20"/>
          <w:color w:val="auto"/>
        </w:rPr>
      </w:pPr>
      <w:r>
        <w:rPr>
          <w:rFonts w:ascii="Verdana" w:cs="Verdana" w:eastAsia="Verdana" w:hAnsi="Verdana"/>
          <w:sz w:val="18"/>
          <w:szCs w:val="18"/>
          <w:color w:val="auto"/>
        </w:rPr>
        <w:t>Control, including, without limitation, as a result of retirement or disability that does not meet the requirements set forth in the definitions of such terms in the Plan or this Agreement ,voluntary resignation or termination for Cause, any award or right granted hereunder shall expire and be forfeited, and no Final Award or dividend equivalent related thereto shall be paid.</w:t>
      </w:r>
    </w:p>
    <w:p>
      <w:pPr>
        <w:spacing w:after="0" w:line="170" w:lineRule="exact"/>
        <w:rPr>
          <w:sz w:val="20"/>
          <w:szCs w:val="20"/>
          <w:color w:val="auto"/>
        </w:rPr>
      </w:pPr>
    </w:p>
    <w:p>
      <w:pPr>
        <w:ind w:left="1255" w:hanging="623"/>
        <w:spacing w:after="0"/>
        <w:tabs>
          <w:tab w:leader="none" w:pos="1255" w:val="left"/>
        </w:tabs>
        <w:numPr>
          <w:ilvl w:val="0"/>
          <w:numId w:val="292"/>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Clawback/Repayment as a Result of Misconduct</w:t>
      </w:r>
    </w:p>
    <w:p>
      <w:pPr>
        <w:spacing w:after="0" w:line="202" w:lineRule="exact"/>
        <w:rPr>
          <w:sz w:val="20"/>
          <w:szCs w:val="20"/>
          <w:color w:val="auto"/>
        </w:rPr>
      </w:pPr>
    </w:p>
    <w:p>
      <w:pPr>
        <w:ind w:left="635"/>
        <w:spacing w:after="0"/>
        <w:rPr>
          <w:sz w:val="20"/>
          <w:szCs w:val="20"/>
          <w:color w:val="auto"/>
        </w:rPr>
      </w:pPr>
      <w:r>
        <w:rPr>
          <w:rFonts w:ascii="Verdana" w:cs="Verdana" w:eastAsia="Verdana" w:hAnsi="Verdana"/>
          <w:sz w:val="16"/>
          <w:szCs w:val="16"/>
          <w:color w:val="auto"/>
        </w:rPr>
        <w:t>All RPSUs shall be subject to reduction, cancellation, forfeiture, or recoupment to the extent necessary to comply with</w:t>
      </w:r>
    </w:p>
    <w:p>
      <w:pPr>
        <w:spacing w:after="0" w:line="16" w:lineRule="exact"/>
        <w:rPr>
          <w:sz w:val="20"/>
          <w:szCs w:val="20"/>
          <w:color w:val="auto"/>
        </w:rPr>
      </w:pPr>
    </w:p>
    <w:p>
      <w:pPr>
        <w:jc w:val="both"/>
        <w:ind w:left="635" w:hanging="3"/>
        <w:spacing w:after="0" w:line="233" w:lineRule="auto"/>
        <w:tabs>
          <w:tab w:leader="none" w:pos="906" w:val="left"/>
        </w:tabs>
        <w:numPr>
          <w:ilvl w:val="0"/>
          <w:numId w:val="293"/>
        </w:numPr>
        <w:rPr>
          <w:rFonts w:ascii="Verdana" w:cs="Verdana" w:eastAsia="Verdana" w:hAnsi="Verdana"/>
          <w:sz w:val="18"/>
          <w:szCs w:val="18"/>
          <w:color w:val="auto"/>
        </w:rPr>
      </w:pPr>
      <w:r>
        <w:rPr>
          <w:rFonts w:ascii="Verdana" w:cs="Verdana" w:eastAsia="Verdana" w:hAnsi="Verdana"/>
          <w:sz w:val="18"/>
          <w:szCs w:val="18"/>
          <w:color w:val="auto"/>
        </w:rPr>
        <w:t>any clawback, forfeiture, or other similar policy adopted by the Board or the Committee and is in effect from time to time and (ii) applicable law. Further, unless otherwise determined by the Committee, to the extent that the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shall be required to repay any such excess amount to the Company, including any Awarded Shares subject to the Post-Settlement Holding Period. To the extent that the Participant is subject to the Company’s Clawback Policy, effective as of October 1, 2023, as it may be amended from time to time (the “</w:t>
      </w:r>
      <w:r>
        <w:rPr>
          <w:rFonts w:ascii="Verdana" w:cs="Verdana" w:eastAsia="Verdana" w:hAnsi="Verdana"/>
          <w:sz w:val="18"/>
          <w:szCs w:val="18"/>
          <w:u w:val="single" w:color="auto"/>
          <w:color w:val="auto"/>
        </w:rPr>
        <w:t>Clawback Policy</w:t>
      </w:r>
      <w:r>
        <w:rPr>
          <w:rFonts w:ascii="Verdana" w:cs="Verdana" w:eastAsia="Verdana" w:hAnsi="Verdana"/>
          <w:sz w:val="18"/>
          <w:szCs w:val="18"/>
          <w:color w:val="auto"/>
        </w:rPr>
        <w:t>”), notwithstanding the foregoing, the Clawback Policy shall be applicable to this Agreement and any award or right granted hereunder.</w:t>
      </w:r>
    </w:p>
    <w:p>
      <w:pPr>
        <w:spacing w:after="0" w:line="168" w:lineRule="exact"/>
        <w:rPr>
          <w:sz w:val="20"/>
          <w:szCs w:val="20"/>
          <w:color w:val="auto"/>
        </w:rPr>
      </w:pPr>
    </w:p>
    <w:p>
      <w:pPr>
        <w:ind w:left="1255" w:hanging="623"/>
        <w:spacing w:after="0"/>
        <w:tabs>
          <w:tab w:leader="none" w:pos="1255" w:val="left"/>
        </w:tabs>
        <w:numPr>
          <w:ilvl w:val="0"/>
          <w:numId w:val="294"/>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Detrimental Activity</w:t>
      </w:r>
    </w:p>
    <w:p>
      <w:pPr>
        <w:spacing w:after="0" w:line="189" w:lineRule="exact"/>
        <w:rPr>
          <w:sz w:val="20"/>
          <w:szCs w:val="20"/>
          <w:color w:val="auto"/>
        </w:rPr>
      </w:pPr>
    </w:p>
    <w:p>
      <w:pPr>
        <w:jc w:val="both"/>
        <w:ind w:left="635"/>
        <w:spacing w:after="0" w:line="232" w:lineRule="auto"/>
        <w:rPr>
          <w:sz w:val="20"/>
          <w:szCs w:val="20"/>
          <w:color w:val="auto"/>
        </w:rPr>
      </w:pPr>
      <w:r>
        <w:rPr>
          <w:rFonts w:ascii="Verdana" w:cs="Verdana" w:eastAsia="Verdana" w:hAnsi="Verdana"/>
          <w:sz w:val="18"/>
          <w:szCs w:val="18"/>
          <w:color w:val="auto"/>
        </w:rPr>
        <w:t>Notwithstanding anything to the contrary contained herein, if a Participant has engaged in any Detrimental Activity (as defined below), as determined by the Committee, the Committee may, in its sole discretion, provide for one or more of the following: (i) cancellation of any or all of such Participant’s outstanding Awards; or (ii) forfeiture by the Participant of any gain realized on the vesting of the Award, and repayment of any such gain promptly to the Company. For purposes of this Agreement, “</w:t>
      </w:r>
      <w:r>
        <w:rPr>
          <w:rFonts w:ascii="Verdana" w:cs="Verdana" w:eastAsia="Verdana" w:hAnsi="Verdana"/>
          <w:sz w:val="18"/>
          <w:szCs w:val="18"/>
          <w:u w:val="single" w:color="auto"/>
          <w:color w:val="auto"/>
        </w:rPr>
        <w:t>Detrimental Activity</w:t>
      </w:r>
      <w:r>
        <w:rPr>
          <w:rFonts w:ascii="Verdana" w:cs="Verdana" w:eastAsia="Verdana" w:hAnsi="Verdana"/>
          <w:sz w:val="18"/>
          <w:szCs w:val="18"/>
          <w:color w:val="auto"/>
        </w:rPr>
        <w:t>” means any of the following: (i) unauthorized disclosure of any confidential or proprietary information of the Company or any Subsidiary; (ii) any activity that would be grounds to terminate the Participant’s employment with the Company or any Subsidiary for Cause; (iii) the Participant having engaged in a violation of any provisions of any agreement with the Company or a Subsidiary, containing covenants regarding non- competition, non-solicitation, non-disparagement and/or non-disclosure obligations; or (iv) fraud or conduct contributing to any financial restatements or irregularities, as determined by the Committee in its sole discretion.</w:t>
      </w:r>
    </w:p>
    <w:p>
      <w:pPr>
        <w:spacing w:after="0" w:line="174" w:lineRule="exact"/>
        <w:rPr>
          <w:sz w:val="20"/>
          <w:szCs w:val="20"/>
          <w:color w:val="auto"/>
        </w:rPr>
      </w:pPr>
    </w:p>
    <w:p>
      <w:pPr>
        <w:ind w:left="615" w:hanging="615"/>
        <w:spacing w:after="0"/>
        <w:tabs>
          <w:tab w:leader="none" w:pos="615" w:val="left"/>
        </w:tabs>
        <w:numPr>
          <w:ilvl w:val="0"/>
          <w:numId w:val="295"/>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Definition of Cause</w:t>
      </w:r>
    </w:p>
    <w:p>
      <w:pPr>
        <w:spacing w:after="0" w:line="189" w:lineRule="exact"/>
        <w:rPr>
          <w:rFonts w:ascii="Verdana" w:cs="Verdana" w:eastAsia="Verdana" w:hAnsi="Verdana"/>
          <w:sz w:val="18"/>
          <w:szCs w:val="18"/>
          <w:b w:val="1"/>
          <w:bCs w:val="1"/>
          <w:color w:val="010000"/>
        </w:rPr>
      </w:pPr>
    </w:p>
    <w:p>
      <w:pPr>
        <w:jc w:val="both"/>
        <w:ind w:left="635"/>
        <w:spacing w:after="0" w:line="270" w:lineRule="auto"/>
        <w:rPr>
          <w:rFonts w:ascii="Verdana" w:cs="Verdana" w:eastAsia="Verdana" w:hAnsi="Verdana"/>
          <w:sz w:val="18"/>
          <w:szCs w:val="18"/>
          <w:b w:val="1"/>
          <w:bCs w:val="1"/>
          <w:color w:val="010000"/>
        </w:rPr>
      </w:pPr>
      <w:r>
        <w:rPr>
          <w:rFonts w:ascii="Verdana" w:cs="Verdana" w:eastAsia="Verdana" w:hAnsi="Verdana"/>
          <w:sz w:val="16"/>
          <w:szCs w:val="16"/>
          <w:color w:val="auto"/>
        </w:rPr>
        <w:t>For purposes of this Agreement, “</w:t>
      </w:r>
      <w:r>
        <w:rPr>
          <w:rFonts w:ascii="Verdana" w:cs="Verdana" w:eastAsia="Verdana" w:hAnsi="Verdana"/>
          <w:sz w:val="16"/>
          <w:szCs w:val="16"/>
          <w:u w:val="single" w:color="auto"/>
          <w:color w:val="auto"/>
        </w:rPr>
        <w:t>Cause</w:t>
      </w:r>
      <w:r>
        <w:rPr>
          <w:rFonts w:ascii="Verdana" w:cs="Verdana" w:eastAsia="Verdana" w:hAnsi="Verdana"/>
          <w:sz w:val="16"/>
          <w:szCs w:val="16"/>
          <w:color w:val="auto"/>
        </w:rPr>
        <w:t>”, unless otherwise defined in a Participant’s written employment arrangement with the Company or any of its Subsidiaries in effect on the date of grant (as amended from time to time thereafter), means the occurrence of one or more of the following events: (i) conviction of, or agreement to a plea of nolo contendere to, a felony, or any crime or offense lesser than a felony involving the property of the Company or a Subsidiary; (ii) conduct that has caused demonstrable and serious injury to the Company or a Subsidiary, monetary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15"/>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35"/>
          </w:cols>
          <w:pgMar w:left="325" w:top="1440" w:right="339" w:bottom="1440" w:gutter="0" w:footer="0" w:header="0"/>
        </w:sectPr>
      </w:pPr>
    </w:p>
    <w:bookmarkStart w:id="301" w:name="page302"/>
    <w:bookmarkEnd w:id="3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35"/>
        <w:spacing w:after="0" w:line="237" w:lineRule="auto"/>
        <w:rPr>
          <w:sz w:val="20"/>
          <w:szCs w:val="20"/>
          <w:color w:val="auto"/>
        </w:rPr>
      </w:pPr>
      <w:r>
        <w:rPr>
          <w:rFonts w:ascii="Verdana" w:cs="Verdana" w:eastAsia="Verdana" w:hAnsi="Verdana"/>
          <w:sz w:val="18"/>
          <w:szCs w:val="18"/>
          <w:color w:val="auto"/>
        </w:rPr>
        <w:t>otherwise; (iii) willful refusal to perform or substantial disregard of duties properly assigned, as determined by the Company; (iv) breach of duty of loyalty to the Company or a Subsidiary or other act of fraud or dishonesty with respect to the Company or a Subsidiary; or (v) violation of the Company’s code of conduct.</w:t>
      </w:r>
    </w:p>
    <w:p>
      <w:pPr>
        <w:spacing w:after="0" w:line="168" w:lineRule="exact"/>
        <w:rPr>
          <w:sz w:val="20"/>
          <w:szCs w:val="20"/>
          <w:color w:val="auto"/>
        </w:rPr>
      </w:pPr>
    </w:p>
    <w:p>
      <w:pPr>
        <w:ind w:left="635" w:hanging="635"/>
        <w:spacing w:after="0"/>
        <w:tabs>
          <w:tab w:leader="none" w:pos="635" w:val="left"/>
        </w:tabs>
        <w:numPr>
          <w:ilvl w:val="0"/>
          <w:numId w:val="296"/>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Committee Authority</w:t>
      </w:r>
    </w:p>
    <w:p>
      <w:pPr>
        <w:spacing w:after="0" w:line="202" w:lineRule="exact"/>
        <w:rPr>
          <w:rFonts w:ascii="Verdana" w:cs="Verdana" w:eastAsia="Verdana" w:hAnsi="Verdana"/>
          <w:sz w:val="18"/>
          <w:szCs w:val="18"/>
          <w:b w:val="1"/>
          <w:bCs w:val="1"/>
          <w:color w:val="010000"/>
        </w:rPr>
      </w:pPr>
    </w:p>
    <w:p>
      <w:pPr>
        <w:jc w:val="both"/>
        <w:ind w:left="635"/>
        <w:spacing w:after="0" w:line="280" w:lineRule="auto"/>
        <w:rPr>
          <w:rFonts w:ascii="Verdana" w:cs="Verdana" w:eastAsia="Verdana" w:hAnsi="Verdana"/>
          <w:sz w:val="18"/>
          <w:szCs w:val="18"/>
          <w:b w:val="1"/>
          <w:bCs w:val="1"/>
          <w:color w:val="010000"/>
        </w:rPr>
      </w:pPr>
      <w:r>
        <w:rPr>
          <w:rFonts w:ascii="Verdana" w:cs="Verdana" w:eastAsia="Verdana" w:hAnsi="Verdana"/>
          <w:sz w:val="16"/>
          <w:szCs w:val="16"/>
          <w:color w:val="auto"/>
        </w:rPr>
        <w:t>Any question concerning the interpretation of this Agreement, any adjustments required to be made under the Plan, and any controversy that may arise under the Plan or the Grant Agreement shall be determined by the Committee in its sole discretion. Any decisions by the Committee regarding the Plan or this Agreement shall be final and binding.</w:t>
      </w:r>
    </w:p>
    <w:p>
      <w:pPr>
        <w:spacing w:after="0" w:line="135" w:lineRule="exact"/>
        <w:rPr>
          <w:rFonts w:ascii="Verdana" w:cs="Verdana" w:eastAsia="Verdana" w:hAnsi="Verdana"/>
          <w:sz w:val="18"/>
          <w:szCs w:val="18"/>
          <w:b w:val="1"/>
          <w:bCs w:val="1"/>
          <w:color w:val="010000"/>
        </w:rPr>
      </w:pPr>
    </w:p>
    <w:p>
      <w:pPr>
        <w:ind w:left="635" w:hanging="635"/>
        <w:spacing w:after="0"/>
        <w:tabs>
          <w:tab w:leader="none" w:pos="635" w:val="left"/>
        </w:tabs>
        <w:numPr>
          <w:ilvl w:val="0"/>
          <w:numId w:val="296"/>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Plan Controls</w:t>
      </w:r>
    </w:p>
    <w:p>
      <w:pPr>
        <w:spacing w:after="0" w:line="189" w:lineRule="exact"/>
        <w:rPr>
          <w:rFonts w:ascii="Verdana" w:cs="Verdana" w:eastAsia="Verdana" w:hAnsi="Verdana"/>
          <w:sz w:val="18"/>
          <w:szCs w:val="18"/>
          <w:b w:val="1"/>
          <w:bCs w:val="1"/>
          <w:color w:val="010000"/>
        </w:rPr>
      </w:pPr>
    </w:p>
    <w:p>
      <w:pPr>
        <w:jc w:val="both"/>
        <w:ind w:left="635"/>
        <w:spacing w:after="0" w:line="237" w:lineRule="auto"/>
        <w:rPr>
          <w:rFonts w:ascii="Verdana" w:cs="Verdana" w:eastAsia="Verdana" w:hAnsi="Verdana"/>
          <w:sz w:val="18"/>
          <w:szCs w:val="18"/>
          <w:b w:val="1"/>
          <w:bCs w:val="1"/>
          <w:color w:val="010000"/>
        </w:rPr>
      </w:pPr>
      <w:r>
        <w:rPr>
          <w:rFonts w:ascii="Verdana" w:cs="Verdana" w:eastAsia="Verdana" w:hAnsi="Verdana"/>
          <w:sz w:val="18"/>
          <w:szCs w:val="18"/>
          <w:color w:val="auto"/>
        </w:rPr>
        <w:t>The terms of this Agreement are governed by the terms of the Plan, as it exists on the Date of the Grant and as the Plan may be amended from time to time thereafter. In the event of any conflict between the provisions of this Agreement and the provisions of the Plan, the terms of the Plan shall control.</w:t>
      </w:r>
    </w:p>
    <w:p>
      <w:pPr>
        <w:spacing w:after="0" w:line="167" w:lineRule="exact"/>
        <w:rPr>
          <w:rFonts w:ascii="Verdana" w:cs="Verdana" w:eastAsia="Verdana" w:hAnsi="Verdana"/>
          <w:sz w:val="18"/>
          <w:szCs w:val="18"/>
          <w:b w:val="1"/>
          <w:bCs w:val="1"/>
          <w:color w:val="010000"/>
        </w:rPr>
      </w:pPr>
    </w:p>
    <w:p>
      <w:pPr>
        <w:ind w:left="635" w:hanging="635"/>
        <w:spacing w:after="0"/>
        <w:tabs>
          <w:tab w:leader="none" w:pos="635" w:val="left"/>
        </w:tabs>
        <w:numPr>
          <w:ilvl w:val="0"/>
          <w:numId w:val="296"/>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Limitation on Rights; No Right to Future Grants</w:t>
      </w:r>
    </w:p>
    <w:p>
      <w:pPr>
        <w:spacing w:after="0" w:line="189" w:lineRule="exact"/>
        <w:rPr>
          <w:rFonts w:ascii="Verdana" w:cs="Verdana" w:eastAsia="Verdana" w:hAnsi="Verdana"/>
          <w:sz w:val="18"/>
          <w:szCs w:val="18"/>
          <w:b w:val="1"/>
          <w:bCs w:val="1"/>
          <w:color w:val="010000"/>
        </w:rPr>
      </w:pPr>
    </w:p>
    <w:p>
      <w:pPr>
        <w:jc w:val="both"/>
        <w:ind w:left="635"/>
        <w:spacing w:after="0" w:line="262" w:lineRule="auto"/>
        <w:rPr>
          <w:rFonts w:ascii="Verdana" w:cs="Verdana" w:eastAsia="Verdana" w:hAnsi="Verdana"/>
          <w:sz w:val="18"/>
          <w:szCs w:val="18"/>
          <w:b w:val="1"/>
          <w:bCs w:val="1"/>
          <w:color w:val="010000"/>
        </w:rPr>
      </w:pPr>
      <w:r>
        <w:rPr>
          <w:rFonts w:ascii="Verdana" w:cs="Verdana" w:eastAsia="Verdana" w:hAnsi="Verdana"/>
          <w:sz w:val="16"/>
          <w:szCs w:val="16"/>
          <w:color w:val="auto"/>
        </w:rPr>
        <w:t xml:space="preserve">By entering into this Agreement and accepting this Award, the Participant acknowledges that: (a) the Plan is discretionary and may be modified, suspended or terminated by the Company at any time, as provided in the Plan; </w:t>
      </w:r>
      <w:r>
        <w:rPr>
          <w:rFonts w:ascii="Verdana" w:cs="Verdana" w:eastAsia="Verdana" w:hAnsi="Verdana"/>
          <w:sz w:val="16"/>
          <w:szCs w:val="16"/>
          <w:u w:val="single" w:color="auto"/>
          <w:color w:val="auto"/>
        </w:rPr>
        <w:t>provided</w:t>
      </w:r>
      <w:r>
        <w:rPr>
          <w:rFonts w:ascii="Verdana" w:cs="Verdana" w:eastAsia="Verdana" w:hAnsi="Verdana"/>
          <w:sz w:val="16"/>
          <w:szCs w:val="16"/>
          <w:color w:val="auto"/>
        </w:rPr>
        <w:t xml:space="preserve"> that, except as provided in </w:t>
      </w:r>
      <w:r>
        <w:rPr>
          <w:rFonts w:ascii="Verdana" w:cs="Verdana" w:eastAsia="Verdana" w:hAnsi="Verdana"/>
          <w:sz w:val="16"/>
          <w:szCs w:val="16"/>
          <w:u w:val="single" w:color="auto"/>
          <w:color w:val="auto"/>
        </w:rPr>
        <w:t>Section 12</w:t>
      </w:r>
      <w:r>
        <w:rPr>
          <w:rFonts w:ascii="Verdana" w:cs="Verdana" w:eastAsia="Verdana" w:hAnsi="Verdana"/>
          <w:sz w:val="16"/>
          <w:szCs w:val="16"/>
          <w:color w:val="auto"/>
        </w:rPr>
        <w:t xml:space="preserve"> of the Plan, no amendment to this Agreement shall adversely affect in a material manner the Participant’s rights hereunder without his or her written consent; (b) the grant of any award hereunder is a one-time benefit and does not create any contractual or other right to receive future grants of awards or benefits in lieu of awards; (c) all determinations with respect to any such future grants, including, but not limited to, the times when awards will be granted, the number of shares subject to each award, the award price, if any, and the time or times when each award will be settled, will be at the sole discretion of the Company; (d) participation in the Plan is voluntary; (e) the value of an award is an extraordinary item that is outside the scope of the Participant’s employment contract, if any, unless expressly provided for in any such employment contract; (f) an award is not part of normal or expected compensation for any purpose, including without limitation for calculating any benefits, severance, resignation, termination, redundancy, end of service payments, bonuses, long-service awards, pension or retirement benefits or similar payments, and the Participant will have no entitlement to compensation or damages as a consequence of any forfeiture pursuant to </w:t>
      </w:r>
      <w:r>
        <w:rPr>
          <w:rFonts w:ascii="Verdana" w:cs="Verdana" w:eastAsia="Verdana" w:hAnsi="Verdana"/>
          <w:sz w:val="16"/>
          <w:szCs w:val="16"/>
          <w:u w:val="single" w:color="auto"/>
          <w:color w:val="auto"/>
        </w:rPr>
        <w:t>Section 8</w:t>
      </w:r>
      <w:r>
        <w:rPr>
          <w:rFonts w:ascii="Verdana" w:cs="Verdana" w:eastAsia="Verdana" w:hAnsi="Verdana"/>
          <w:sz w:val="16"/>
          <w:szCs w:val="16"/>
          <w:color w:val="auto"/>
        </w:rPr>
        <w:t>; (g) the future value of the Common Stock subject to the award is unknown and cannot be predicted with certainty; (h) neither the Plan, the award nor the issuance of the shares underlying the award confers upon the Participant any right to continue in the employ or service of (or any other relationship with) the Company or any Subsidiary, nor do they limit in any respect the right of the Company or any Subsidiary to terminate the Participant’s employment or other relationship with the Company or any Subsidiary, as the case may be, at any time with or without Cause; and (i) the grant of the award will not be interpreted to form an employment relationship or contract with the Company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15"/>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35"/>
          </w:cols>
          <w:pgMar w:left="325" w:top="1440" w:right="339" w:bottom="1440" w:gutter="0" w:footer="0" w:header="0"/>
        </w:sectPr>
      </w:pPr>
    </w:p>
    <w:bookmarkStart w:id="302" w:name="page303"/>
    <w:bookmarkEnd w:id="302"/>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35" w:hanging="635"/>
        <w:spacing w:after="0"/>
        <w:tabs>
          <w:tab w:leader="none" w:pos="635" w:val="left"/>
        </w:tabs>
        <w:numPr>
          <w:ilvl w:val="0"/>
          <w:numId w:val="297"/>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General Provisions</w:t>
      </w:r>
    </w:p>
    <w:p>
      <w:pPr>
        <w:spacing w:after="0" w:line="175" w:lineRule="exact"/>
        <w:rPr>
          <w:rFonts w:ascii="Verdana" w:cs="Verdana" w:eastAsia="Verdana" w:hAnsi="Verdana"/>
          <w:sz w:val="18"/>
          <w:szCs w:val="18"/>
          <w:b w:val="1"/>
          <w:bCs w:val="1"/>
          <w:color w:val="010000"/>
        </w:rPr>
      </w:pPr>
    </w:p>
    <w:p>
      <w:pPr>
        <w:ind w:left="1255" w:hanging="623"/>
        <w:spacing w:after="0"/>
        <w:tabs>
          <w:tab w:leader="none" w:pos="1255" w:val="left"/>
        </w:tabs>
        <w:numPr>
          <w:ilvl w:val="1"/>
          <w:numId w:val="297"/>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Notice</w:t>
      </w:r>
    </w:p>
    <w:p>
      <w:pPr>
        <w:spacing w:after="0" w:line="189" w:lineRule="exact"/>
        <w:rPr>
          <w:sz w:val="20"/>
          <w:szCs w:val="20"/>
          <w:color w:val="auto"/>
        </w:rPr>
      </w:pPr>
    </w:p>
    <w:p>
      <w:pPr>
        <w:jc w:val="both"/>
        <w:ind w:left="635"/>
        <w:spacing w:after="0" w:line="233" w:lineRule="auto"/>
        <w:rPr>
          <w:sz w:val="20"/>
          <w:szCs w:val="20"/>
          <w:color w:val="auto"/>
        </w:rPr>
      </w:pPr>
      <w:r>
        <w:rPr>
          <w:rFonts w:ascii="Verdana" w:cs="Verdana" w:eastAsia="Verdana" w:hAnsi="Verdana"/>
          <w:sz w:val="18"/>
          <w:szCs w:val="18"/>
          <w:color w:val="auto"/>
        </w:rPr>
        <w:t>Whenever any notice is required or permitted hereunder, such notice must be in writing and delivered in person or by mail (to the address set forth below if notice is being delivered to the Company) or electronically. Any notice delivered in person or by mail shall be deemed to be delivered on the date on which it is personally delivered, or, whether actually received or not, on the third business day after it is deposited in the United States mail, certified or registered, postage prepaid, addressed to the person who is to receive it at the address set forth in this Agreement. Any notices delivered electronically shall be deemed to be delivered when transmitted and receipt is confirmed. Notices delivered to the Participant in person or by mail shall be addressed to the address for the Participant in the records of the Company. Notices delivered to the Company in person or by mail shall be addressed as follows:</w:t>
      </w:r>
    </w:p>
    <w:p>
      <w:pPr>
        <w:sectPr>
          <w:pgSz w:w="11900" w:h="16838" w:orient="portrait"/>
          <w:cols w:equalWidth="0" w:num="1">
            <w:col w:w="11235"/>
          </w:cols>
          <w:pgMar w:left="325" w:top="1440" w:right="339" w:bottom="1440" w:gutter="0" w:footer="0" w:header="0"/>
        </w:sectPr>
      </w:pPr>
    </w:p>
    <w:p>
      <w:pPr>
        <w:spacing w:after="0" w:line="222" w:lineRule="exact"/>
        <w:rPr>
          <w:sz w:val="20"/>
          <w:szCs w:val="20"/>
          <w:color w:val="auto"/>
        </w:rPr>
      </w:pPr>
    </w:p>
    <w:p>
      <w:pPr>
        <w:ind w:left="1395"/>
        <w:spacing w:after="0"/>
        <w:rPr>
          <w:sz w:val="20"/>
          <w:szCs w:val="20"/>
          <w:color w:val="auto"/>
        </w:rPr>
      </w:pPr>
      <w:r>
        <w:rPr>
          <w:rFonts w:ascii="Verdana" w:cs="Verdana" w:eastAsia="Verdana" w:hAnsi="Verdana"/>
          <w:sz w:val="16"/>
          <w:szCs w:val="16"/>
          <w:color w:val="auto"/>
        </w:rPr>
        <w:t>Company:</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Verdana" w:cs="Verdana" w:eastAsia="Verdana" w:hAnsi="Verdana"/>
          <w:sz w:val="18"/>
          <w:szCs w:val="18"/>
          <w:color w:val="auto"/>
        </w:rPr>
        <w:t>NRG Energy, Inc.</w:t>
      </w:r>
    </w:p>
    <w:p>
      <w:pPr>
        <w:spacing w:after="0"/>
        <w:rPr>
          <w:sz w:val="20"/>
          <w:szCs w:val="20"/>
          <w:color w:val="auto"/>
        </w:rPr>
      </w:pPr>
      <w:r>
        <w:rPr>
          <w:rFonts w:ascii="Verdana" w:cs="Verdana" w:eastAsia="Verdana" w:hAnsi="Verdana"/>
          <w:sz w:val="16"/>
          <w:szCs w:val="16"/>
          <w:color w:val="auto"/>
        </w:rPr>
        <w:t>Attn: Talent &amp; Culture</w:t>
      </w:r>
    </w:p>
    <w:p>
      <w:pPr>
        <w:spacing w:after="0" w:line="8" w:lineRule="exact"/>
        <w:rPr>
          <w:sz w:val="20"/>
          <w:szCs w:val="20"/>
          <w:color w:val="auto"/>
        </w:rPr>
      </w:pPr>
    </w:p>
    <w:p>
      <w:pPr>
        <w:spacing w:after="0"/>
        <w:rPr>
          <w:sz w:val="20"/>
          <w:szCs w:val="20"/>
          <w:color w:val="auto"/>
        </w:rPr>
      </w:pPr>
      <w:r>
        <w:rPr>
          <w:rFonts w:ascii="Verdana" w:cs="Verdana" w:eastAsia="Verdana" w:hAnsi="Verdana"/>
          <w:sz w:val="18"/>
          <w:szCs w:val="18"/>
          <w:color w:val="auto"/>
        </w:rPr>
        <w:t>804 Carnegie Center</w:t>
      </w:r>
    </w:p>
    <w:p>
      <w:pPr>
        <w:spacing w:after="0"/>
        <w:rPr>
          <w:sz w:val="20"/>
          <w:szCs w:val="20"/>
          <w:color w:val="auto"/>
        </w:rPr>
      </w:pPr>
      <w:r>
        <w:rPr>
          <w:rFonts w:ascii="Verdana" w:cs="Verdana" w:eastAsia="Verdana" w:hAnsi="Verdana"/>
          <w:sz w:val="18"/>
          <w:szCs w:val="18"/>
          <w:color w:val="auto"/>
        </w:rPr>
        <w:t>Princeton, NJ 08450</w:t>
      </w:r>
    </w:p>
    <w:p>
      <w:pPr>
        <w:spacing w:after="0" w:line="110" w:lineRule="exact"/>
        <w:rPr>
          <w:sz w:val="20"/>
          <w:szCs w:val="20"/>
          <w:color w:val="auto"/>
        </w:rPr>
      </w:pPr>
    </w:p>
    <w:p>
      <w:pPr>
        <w:sectPr>
          <w:pgSz w:w="11900" w:h="16838" w:orient="portrait"/>
          <w:cols w:equalWidth="0" w:num="2">
            <w:col w:w="2775" w:space="720"/>
            <w:col w:w="7740"/>
          </w:cols>
          <w:pgMar w:left="325" w:top="1440" w:right="339" w:bottom="1440" w:gutter="0" w:footer="0" w:header="0"/>
          <w:type w:val="continuous"/>
        </w:sectPr>
      </w:pPr>
    </w:p>
    <w:p>
      <w:pPr>
        <w:ind w:left="635"/>
        <w:spacing w:after="0" w:line="241" w:lineRule="auto"/>
        <w:rPr>
          <w:sz w:val="20"/>
          <w:szCs w:val="20"/>
          <w:color w:val="auto"/>
        </w:rPr>
      </w:pPr>
      <w:r>
        <w:rPr>
          <w:rFonts w:ascii="Verdana" w:cs="Verdana" w:eastAsia="Verdana" w:hAnsi="Verdana"/>
          <w:sz w:val="18"/>
          <w:szCs w:val="18"/>
          <w:color w:val="auto"/>
        </w:rPr>
        <w:t>The Company or the Participant may change, by written notice to the other, the address previously specified for receiving notices.</w:t>
      </w:r>
    </w:p>
    <w:p>
      <w:pPr>
        <w:spacing w:after="0" w:line="166" w:lineRule="exact"/>
        <w:rPr>
          <w:sz w:val="20"/>
          <w:szCs w:val="20"/>
          <w:color w:val="auto"/>
        </w:rPr>
      </w:pPr>
    </w:p>
    <w:p>
      <w:pPr>
        <w:ind w:left="1255" w:hanging="623"/>
        <w:spacing w:after="0"/>
        <w:tabs>
          <w:tab w:leader="none" w:pos="1255" w:val="left"/>
        </w:tabs>
        <w:numPr>
          <w:ilvl w:val="0"/>
          <w:numId w:val="298"/>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No Waiver</w:t>
      </w:r>
    </w:p>
    <w:p>
      <w:pPr>
        <w:spacing w:after="0" w:line="189" w:lineRule="exact"/>
        <w:rPr>
          <w:sz w:val="20"/>
          <w:szCs w:val="20"/>
          <w:color w:val="auto"/>
        </w:rPr>
      </w:pPr>
    </w:p>
    <w:p>
      <w:pPr>
        <w:jc w:val="both"/>
        <w:ind w:left="635"/>
        <w:spacing w:after="0" w:line="237" w:lineRule="auto"/>
        <w:rPr>
          <w:sz w:val="20"/>
          <w:szCs w:val="20"/>
          <w:color w:val="auto"/>
        </w:rPr>
      </w:pPr>
      <w:r>
        <w:rPr>
          <w:rFonts w:ascii="Verdana" w:cs="Verdana" w:eastAsia="Verdana" w:hAnsi="Verdana"/>
          <w:sz w:val="18"/>
          <w:szCs w:val="18"/>
          <w:color w:val="auto"/>
        </w:rPr>
        <w:t>No waiver of any provision of this Agreement will be valid unless in writing and signed by the person against whom such waiver is sought to be enforced, nor will failure to enforce any right under this Agreement constitute a continuing waiver of the same or a waiver of any other right hereunder.</w:t>
      </w:r>
    </w:p>
    <w:p>
      <w:pPr>
        <w:spacing w:after="0" w:line="168" w:lineRule="exact"/>
        <w:rPr>
          <w:sz w:val="20"/>
          <w:szCs w:val="20"/>
          <w:color w:val="auto"/>
        </w:rPr>
      </w:pPr>
    </w:p>
    <w:p>
      <w:pPr>
        <w:ind w:left="1255" w:hanging="623"/>
        <w:spacing w:after="0"/>
        <w:tabs>
          <w:tab w:leader="none" w:pos="1255" w:val="left"/>
        </w:tabs>
        <w:numPr>
          <w:ilvl w:val="0"/>
          <w:numId w:val="299"/>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Undertaking</w:t>
      </w:r>
    </w:p>
    <w:p>
      <w:pPr>
        <w:spacing w:after="0" w:line="189" w:lineRule="exact"/>
        <w:rPr>
          <w:sz w:val="20"/>
          <w:szCs w:val="20"/>
          <w:color w:val="auto"/>
        </w:rPr>
      </w:pPr>
    </w:p>
    <w:p>
      <w:pPr>
        <w:jc w:val="both"/>
        <w:ind w:left="635"/>
        <w:spacing w:after="0" w:line="237" w:lineRule="auto"/>
        <w:rPr>
          <w:sz w:val="20"/>
          <w:szCs w:val="20"/>
          <w:color w:val="auto"/>
        </w:rPr>
      </w:pPr>
      <w:r>
        <w:rPr>
          <w:rFonts w:ascii="Verdana" w:cs="Verdana" w:eastAsia="Verdana" w:hAnsi="Verdana"/>
          <w:sz w:val="18"/>
          <w:szCs w:val="18"/>
          <w:color w:val="auto"/>
        </w:rPr>
        <w:t>The Participant hereby agrees to take whatever additional action, and execute whatever additional documents, the Company may deem necessary or advisable in order to carry out or effect one or more of the obligations or restrictions imposed on either the Participant or the award pursuant to the express provisions of this Agreement.</w:t>
      </w:r>
    </w:p>
    <w:p>
      <w:pPr>
        <w:spacing w:after="0" w:line="168" w:lineRule="exact"/>
        <w:rPr>
          <w:sz w:val="20"/>
          <w:szCs w:val="20"/>
          <w:color w:val="auto"/>
        </w:rPr>
      </w:pPr>
    </w:p>
    <w:p>
      <w:pPr>
        <w:ind w:left="1255" w:hanging="623"/>
        <w:spacing w:after="0"/>
        <w:tabs>
          <w:tab w:leader="none" w:pos="1255" w:val="left"/>
        </w:tabs>
        <w:numPr>
          <w:ilvl w:val="0"/>
          <w:numId w:val="300"/>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Entire Contract</w:t>
      </w:r>
    </w:p>
    <w:p>
      <w:pPr>
        <w:spacing w:after="0" w:line="202" w:lineRule="exact"/>
        <w:rPr>
          <w:sz w:val="20"/>
          <w:szCs w:val="20"/>
          <w:color w:val="auto"/>
        </w:rPr>
      </w:pPr>
    </w:p>
    <w:p>
      <w:pPr>
        <w:jc w:val="both"/>
        <w:ind w:left="635"/>
        <w:spacing w:after="0" w:line="237" w:lineRule="auto"/>
        <w:rPr>
          <w:sz w:val="20"/>
          <w:szCs w:val="20"/>
          <w:color w:val="auto"/>
        </w:rPr>
      </w:pPr>
      <w:r>
        <w:rPr>
          <w:rFonts w:ascii="Verdana" w:cs="Verdana" w:eastAsia="Verdana" w:hAnsi="Verdana"/>
          <w:sz w:val="18"/>
          <w:szCs w:val="18"/>
          <w:color w:val="auto"/>
        </w:rPr>
        <w:t>This Agreement and the Plan constitute the entire contract between the parties hereto with regard to the subject matter hereof. This Agreement is made pursuant to the provisions of the Plan and will in all respects be construed in conformity with the express terms and provisions of the Plan.</w:t>
      </w:r>
    </w:p>
    <w:p>
      <w:pPr>
        <w:spacing w:after="0" w:line="168" w:lineRule="exact"/>
        <w:rPr>
          <w:sz w:val="20"/>
          <w:szCs w:val="20"/>
          <w:color w:val="auto"/>
        </w:rPr>
      </w:pPr>
    </w:p>
    <w:p>
      <w:pPr>
        <w:ind w:left="1255" w:hanging="623"/>
        <w:spacing w:after="0"/>
        <w:tabs>
          <w:tab w:leader="none" w:pos="1255" w:val="left"/>
        </w:tabs>
        <w:numPr>
          <w:ilvl w:val="0"/>
          <w:numId w:val="301"/>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Successors and Assigns</w:t>
      </w:r>
    </w:p>
    <w:p>
      <w:pPr>
        <w:spacing w:after="0" w:line="189" w:lineRule="exact"/>
        <w:rPr>
          <w:sz w:val="20"/>
          <w:szCs w:val="20"/>
          <w:color w:val="auto"/>
        </w:rPr>
      </w:pPr>
    </w:p>
    <w:p>
      <w:pPr>
        <w:ind w:left="635"/>
        <w:spacing w:after="0" w:line="241" w:lineRule="auto"/>
        <w:rPr>
          <w:sz w:val="20"/>
          <w:szCs w:val="20"/>
          <w:color w:val="auto"/>
        </w:rPr>
      </w:pPr>
      <w:r>
        <w:rPr>
          <w:rFonts w:ascii="Verdana" w:cs="Verdana" w:eastAsia="Verdana" w:hAnsi="Verdana"/>
          <w:sz w:val="18"/>
          <w:szCs w:val="18"/>
          <w:color w:val="auto"/>
        </w:rPr>
        <w:t>The provisions of this Agreement shall inure to the benefit of, and be binding on, the Company and its successors and assigns and Participant and Participant’s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15"/>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35"/>
          </w:cols>
          <w:pgMar w:left="325" w:top="1440" w:right="339" w:bottom="1440" w:gutter="0" w:footer="0" w:header="0"/>
          <w:type w:val="continuous"/>
        </w:sectPr>
      </w:pPr>
    </w:p>
    <w:bookmarkStart w:id="303" w:name="page304"/>
    <w:bookmarkEnd w:id="3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20"/>
        <w:spacing w:after="0"/>
        <w:rPr>
          <w:sz w:val="20"/>
          <w:szCs w:val="20"/>
          <w:color w:val="auto"/>
        </w:rPr>
      </w:pPr>
      <w:r>
        <w:rPr>
          <w:rFonts w:ascii="Verdana" w:cs="Verdana" w:eastAsia="Verdana" w:hAnsi="Verdana"/>
          <w:sz w:val="18"/>
          <w:szCs w:val="18"/>
          <w:color w:val="auto"/>
        </w:rPr>
        <w:t>representatives, heirs, legatees, distributees, assigns and transferees by operation of law.</w:t>
      </w:r>
    </w:p>
    <w:p>
      <w:pPr>
        <w:spacing w:after="0" w:line="176" w:lineRule="exact"/>
        <w:rPr>
          <w:sz w:val="20"/>
          <w:szCs w:val="20"/>
          <w:color w:val="auto"/>
        </w:rPr>
      </w:pPr>
    </w:p>
    <w:p>
      <w:pPr>
        <w:ind w:left="1040" w:hanging="623"/>
        <w:spacing w:after="0"/>
        <w:tabs>
          <w:tab w:leader="none" w:pos="1040" w:val="left"/>
        </w:tabs>
        <w:numPr>
          <w:ilvl w:val="0"/>
          <w:numId w:val="302"/>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Securities Law Compliance</w:t>
      </w:r>
    </w:p>
    <w:p>
      <w:pPr>
        <w:spacing w:after="0" w:line="202" w:lineRule="exact"/>
        <w:rPr>
          <w:sz w:val="20"/>
          <w:szCs w:val="20"/>
          <w:color w:val="auto"/>
        </w:rPr>
      </w:pPr>
    </w:p>
    <w:p>
      <w:pPr>
        <w:jc w:val="both"/>
        <w:ind w:left="420"/>
        <w:spacing w:after="0" w:line="232" w:lineRule="auto"/>
        <w:rPr>
          <w:sz w:val="20"/>
          <w:szCs w:val="20"/>
          <w:color w:val="auto"/>
        </w:rPr>
      </w:pPr>
      <w:r>
        <w:rPr>
          <w:rFonts w:ascii="Verdana" w:cs="Verdana" w:eastAsia="Verdana" w:hAnsi="Verdana"/>
          <w:sz w:val="18"/>
          <w:szCs w:val="18"/>
          <w:color w:val="auto"/>
        </w:rPr>
        <w:t>The Company currently has an effective registration statement on file with the Securities and Exchange Commission with respect to the shares of Common Stock underlying the RPSUs awarded under this Agreement. The Company intends to maintain this registration statement but has no obligation to the Participant to do so. If the registration statement ceases to be effective, the Participant will not be able to transfer or sell shares of Common Stock issued pursuant to the award, unless exemptions from registration under applicable securities laws are available. Such exemptions from registration are very limited and might be unavailable. Participant agrees that any resale of the shares of Common Stock issued pursuant to the award shall comply in all respects with the requirements of all applicable securities laws, rules and regulations (including, without limitation, the provisions of the Securities Act of 1933, the Securities Exchange Act of 1934 and the respective rules and regulations promulgated thereunder) and any other law, rule or regulation applicable thereto, as such laws, rules, and regulations may be amended from time to time. The Company shall not be obligated to either issue shares of Common Stock or permit the resale of any such shares if such issuance or resale would violate any such requirements.</w:t>
      </w:r>
    </w:p>
    <w:p>
      <w:pPr>
        <w:spacing w:after="0" w:line="173" w:lineRule="exact"/>
        <w:rPr>
          <w:sz w:val="20"/>
          <w:szCs w:val="20"/>
          <w:color w:val="auto"/>
        </w:rPr>
      </w:pPr>
    </w:p>
    <w:p>
      <w:pPr>
        <w:ind w:left="1040" w:hanging="623"/>
        <w:spacing w:after="0"/>
        <w:tabs>
          <w:tab w:leader="none" w:pos="1040" w:val="left"/>
        </w:tabs>
        <w:numPr>
          <w:ilvl w:val="0"/>
          <w:numId w:val="303"/>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Taxes</w:t>
      </w:r>
    </w:p>
    <w:p>
      <w:pPr>
        <w:spacing w:after="0" w:line="189" w:lineRule="exact"/>
        <w:rPr>
          <w:sz w:val="20"/>
          <w:szCs w:val="20"/>
          <w:color w:val="auto"/>
        </w:rPr>
      </w:pPr>
    </w:p>
    <w:p>
      <w:pPr>
        <w:jc w:val="both"/>
        <w:ind w:left="420"/>
        <w:spacing w:after="0" w:line="232" w:lineRule="auto"/>
        <w:rPr>
          <w:sz w:val="20"/>
          <w:szCs w:val="20"/>
          <w:color w:val="auto"/>
        </w:rPr>
      </w:pPr>
      <w:r>
        <w:rPr>
          <w:rFonts w:ascii="Verdana" w:cs="Verdana" w:eastAsia="Verdana" w:hAnsi="Verdana"/>
          <w:sz w:val="18"/>
          <w:szCs w:val="18"/>
          <w:color w:val="auto"/>
        </w:rPr>
        <w:t>The Participant acknowledges that the vesting, earning, and settlement of RPSUs will give rise to a withholding tax liability and that no shares of Common Stock are issuable hereunder until such withholding obligation is satisfied in full. The Participant agrees to remit to the Company the amount of any taxes required to be withheld. The Committee may, in its sole discretion, require or permit the Participant to satisfy all or part of such tax obligation, and the Participant agrees to cooperate with the Committee or Company in any such action, by (i) withholding the number of shares of Common Stock otherwise issuable to the Participant hereunder which shall be retained by the Company, (ii) a “sell-to-cover” arrangement whereby the number of shares of Common Stock otherwise issuable to the Participant is sold on behalf of the Participant, and/or (iii) the Participant transferring to the Company unrestricted shares of Common Stock previously owned by the Participant that have a Fair Market Value equal to the amount of the withholding to be credited. Such withholding obligation value shall be based on the Fair Market Value of the Common Stock as of the date the amount of tax to be withheld is determined.</w:t>
      </w:r>
    </w:p>
    <w:p>
      <w:pPr>
        <w:spacing w:after="0" w:line="174" w:lineRule="exact"/>
        <w:rPr>
          <w:sz w:val="20"/>
          <w:szCs w:val="20"/>
          <w:color w:val="auto"/>
        </w:rPr>
      </w:pPr>
    </w:p>
    <w:p>
      <w:pPr>
        <w:ind w:left="1040" w:hanging="623"/>
        <w:spacing w:after="0"/>
        <w:tabs>
          <w:tab w:leader="none" w:pos="1040" w:val="left"/>
        </w:tabs>
        <w:numPr>
          <w:ilvl w:val="0"/>
          <w:numId w:val="304"/>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Governing Law</w:t>
      </w:r>
    </w:p>
    <w:p>
      <w:pPr>
        <w:spacing w:after="0" w:line="189" w:lineRule="exact"/>
        <w:rPr>
          <w:sz w:val="20"/>
          <w:szCs w:val="20"/>
          <w:color w:val="auto"/>
        </w:rPr>
      </w:pPr>
    </w:p>
    <w:p>
      <w:pPr>
        <w:ind w:left="420"/>
        <w:spacing w:after="0" w:line="241" w:lineRule="auto"/>
        <w:rPr>
          <w:sz w:val="20"/>
          <w:szCs w:val="20"/>
          <w:color w:val="auto"/>
        </w:rPr>
      </w:pPr>
      <w:r>
        <w:rPr>
          <w:rFonts w:ascii="Verdana" w:cs="Verdana" w:eastAsia="Verdana" w:hAnsi="Verdana"/>
          <w:sz w:val="18"/>
          <w:szCs w:val="18"/>
          <w:color w:val="auto"/>
        </w:rPr>
        <w:t>Except as may otherwise be provided in the Plan, the provisions of this Agreement shall be governed by the laws of the State of Delaware without giving effect to principles of conflicts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020"/>
          </w:cols>
          <w:pgMar w:left="540" w:top="1440" w:right="339" w:bottom="1440" w:gutter="0" w:footer="0" w:header="0"/>
        </w:sectPr>
      </w:pPr>
    </w:p>
    <w:bookmarkStart w:id="304" w:name="page305"/>
    <w:bookmarkEnd w:id="304"/>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040" w:hanging="623"/>
        <w:spacing w:after="0"/>
        <w:tabs>
          <w:tab w:leader="none" w:pos="1040" w:val="left"/>
        </w:tabs>
        <w:numPr>
          <w:ilvl w:val="0"/>
          <w:numId w:val="305"/>
        </w:numPr>
        <w:rPr>
          <w:rFonts w:ascii="Verdana" w:cs="Verdana" w:eastAsia="Verdana" w:hAnsi="Verdana"/>
          <w:sz w:val="18"/>
          <w:szCs w:val="18"/>
          <w:b w:val="1"/>
          <w:bCs w:val="1"/>
          <w:color w:val="010000"/>
        </w:rPr>
      </w:pPr>
      <w:r>
        <w:rPr>
          <w:rFonts w:ascii="Verdana" w:cs="Verdana" w:eastAsia="Verdana" w:hAnsi="Verdana"/>
          <w:sz w:val="18"/>
          <w:szCs w:val="18"/>
          <w:b w:val="1"/>
          <w:bCs w:val="1"/>
          <w:color w:val="auto"/>
        </w:rPr>
        <w:t>Code Section 409A Compliance</w:t>
      </w:r>
    </w:p>
    <w:p>
      <w:pPr>
        <w:spacing w:after="0" w:line="202" w:lineRule="exact"/>
        <w:rPr>
          <w:sz w:val="20"/>
          <w:szCs w:val="20"/>
          <w:color w:val="auto"/>
        </w:rPr>
      </w:pPr>
    </w:p>
    <w:p>
      <w:pPr>
        <w:jc w:val="both"/>
        <w:ind w:left="420"/>
        <w:spacing w:after="0" w:line="234" w:lineRule="auto"/>
        <w:rPr>
          <w:sz w:val="20"/>
          <w:szCs w:val="20"/>
          <w:color w:val="auto"/>
        </w:rPr>
      </w:pPr>
      <w:r>
        <w:rPr>
          <w:rFonts w:ascii="Verdana" w:cs="Verdana" w:eastAsia="Verdana" w:hAnsi="Verdana"/>
          <w:sz w:val="18"/>
          <w:szCs w:val="18"/>
          <w:color w:val="auto"/>
        </w:rPr>
        <w:t>To the extent that the Committee determines that the award granted under this Agreement is subject to Section 409A of the Code and fails to comply with the requirements of such Section, notwithstanding anything to the contrary contained in the Plan or in this Agreement, the Committee reserves the right to amend, restructure, terminate or replace this award in order to cause the award to either not be subject to Section 409A of the Code or comply with the applicable provisions of such Section.</w:t>
      </w:r>
    </w:p>
    <w:p>
      <w:pPr>
        <w:spacing w:after="0" w:line="197" w:lineRule="exact"/>
        <w:rPr>
          <w:sz w:val="20"/>
          <w:szCs w:val="20"/>
          <w:color w:val="auto"/>
        </w:rPr>
      </w:pPr>
    </w:p>
    <w:p>
      <w:pPr>
        <w:jc w:val="center"/>
        <w:ind w:right="200"/>
        <w:spacing w:after="0"/>
        <w:rPr>
          <w:sz w:val="20"/>
          <w:szCs w:val="20"/>
          <w:color w:val="auto"/>
        </w:rPr>
      </w:pPr>
      <w:r>
        <w:rPr>
          <w:rFonts w:ascii="Verdana" w:cs="Verdana" w:eastAsia="Verdana" w:hAnsi="Verdana"/>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020"/>
          </w:cols>
          <w:pgMar w:left="540" w:top="1440" w:right="339" w:bottom="1440" w:gutter="0" w:footer="0" w:header="0"/>
        </w:sectPr>
      </w:pPr>
    </w:p>
    <w:bookmarkStart w:id="305" w:name="page306"/>
    <w:bookmarkEnd w:id="3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Verdana" w:cs="Verdana" w:eastAsia="Verdana" w:hAnsi="Verdana"/>
          <w:sz w:val="18"/>
          <w:szCs w:val="18"/>
          <w:color w:val="auto"/>
        </w:rPr>
        <w:t>IN WITNESS WHEREOF, this Agreement has been executed as of the Date of Grant.</w:t>
      </w:r>
    </w:p>
    <w:p>
      <w:pPr>
        <w:spacing w:after="0" w:line="229" w:lineRule="exact"/>
        <w:rPr>
          <w:sz w:val="20"/>
          <w:szCs w:val="20"/>
          <w:color w:val="auto"/>
        </w:rPr>
      </w:pPr>
    </w:p>
    <w:p>
      <w:pPr>
        <w:ind w:left="3160"/>
        <w:spacing w:after="0"/>
        <w:rPr>
          <w:sz w:val="20"/>
          <w:szCs w:val="20"/>
          <w:color w:val="auto"/>
        </w:rPr>
      </w:pPr>
      <w:r>
        <w:rPr>
          <w:rFonts w:ascii="Verdana" w:cs="Verdana" w:eastAsia="Verdana" w:hAnsi="Verdana"/>
          <w:sz w:val="18"/>
          <w:szCs w:val="18"/>
          <w:b w:val="1"/>
          <w:bCs w:val="1"/>
          <w:color w:val="auto"/>
        </w:rPr>
        <w:t>NRG ENERGY, INC.</w:t>
      </w:r>
    </w:p>
    <w:p>
      <w:pPr>
        <w:spacing w:after="0" w:line="5" w:lineRule="exact"/>
        <w:rPr>
          <w:sz w:val="20"/>
          <w:szCs w:val="20"/>
          <w:color w:val="auto"/>
        </w:rPr>
      </w:pPr>
    </w:p>
    <w:tbl>
      <w:tblPr>
        <w:tblLayout w:type="fixed"/>
        <w:tblInd w:w="3100" w:type="dxa"/>
        <w:tblCellMar>
          <w:top w:w="0" w:type="dxa"/>
          <w:left w:w="0" w:type="dxa"/>
          <w:bottom w:w="0" w:type="dxa"/>
          <w:right w:w="0" w:type="dxa"/>
        </w:tblCellMar>
      </w:tblPr>
      <w:tr>
        <w:trPr>
          <w:trHeight w:val="229"/>
        </w:trPr>
        <w:tc>
          <w:tcPr>
            <w:tcW w:w="840" w:type="dxa"/>
            <w:vAlign w:val="bottom"/>
            <w:vMerge w:val="restart"/>
          </w:tcPr>
          <w:p>
            <w:pPr>
              <w:spacing w:after="0"/>
              <w:rPr>
                <w:sz w:val="20"/>
                <w:szCs w:val="20"/>
                <w:color w:val="auto"/>
              </w:rPr>
            </w:pPr>
            <w:r>
              <w:rPr>
                <w:rFonts w:ascii="Verdana" w:cs="Verdana" w:eastAsia="Verdana" w:hAnsi="Verdana"/>
                <w:sz w:val="18"/>
                <w:szCs w:val="18"/>
                <w:color w:val="auto"/>
              </w:rPr>
              <w:t>Name:</w:t>
            </w:r>
          </w:p>
        </w:tc>
        <w:tc>
          <w:tcPr>
            <w:tcW w:w="3840" w:type="dxa"/>
            <w:vAlign w:val="bottom"/>
            <w:tcBorders>
              <w:bottom w:val="single" w:sz="8" w:color="auto"/>
            </w:tcBorders>
          </w:tcPr>
          <w:p>
            <w:pPr>
              <w:ind w:left="180"/>
              <w:spacing w:after="0"/>
              <w:rPr>
                <w:sz w:val="20"/>
                <w:szCs w:val="20"/>
                <w:color w:val="auto"/>
              </w:rPr>
            </w:pPr>
            <w:r>
              <w:rPr>
                <w:rFonts w:ascii="Verdana" w:cs="Verdana" w:eastAsia="Verdana" w:hAnsi="Verdana"/>
                <w:sz w:val="18"/>
                <w:szCs w:val="18"/>
                <w:color w:val="auto"/>
              </w:rPr>
              <w:t>/s/ Lawrence Coben</w:t>
            </w:r>
          </w:p>
        </w:tc>
        <w:tc>
          <w:tcPr>
            <w:tcW w:w="0" w:type="dxa"/>
            <w:vAlign w:val="bottom"/>
          </w:tcPr>
          <w:p>
            <w:pPr>
              <w:spacing w:after="0"/>
              <w:rPr>
                <w:sz w:val="1"/>
                <w:szCs w:val="1"/>
                <w:color w:val="auto"/>
              </w:rPr>
            </w:pPr>
          </w:p>
        </w:tc>
      </w:tr>
      <w:tr>
        <w:trPr>
          <w:trHeight w:val="212"/>
        </w:trPr>
        <w:tc>
          <w:tcPr>
            <w:tcW w:w="840" w:type="dxa"/>
            <w:vAlign w:val="bottom"/>
            <w:vMerge w:val="continue"/>
          </w:tcPr>
          <w:p>
            <w:pPr>
              <w:spacing w:after="0"/>
              <w:rPr>
                <w:sz w:val="18"/>
                <w:szCs w:val="18"/>
                <w:color w:val="auto"/>
              </w:rPr>
            </w:pPr>
          </w:p>
        </w:tc>
        <w:tc>
          <w:tcPr>
            <w:tcW w:w="3840" w:type="dxa"/>
            <w:vAlign w:val="bottom"/>
            <w:tcBorders>
              <w:bottom w:val="single" w:sz="8" w:color="auto"/>
            </w:tcBorders>
          </w:tcPr>
          <w:p>
            <w:pPr>
              <w:ind w:left="80"/>
              <w:spacing w:after="0" w:line="212" w:lineRule="exact"/>
              <w:rPr>
                <w:sz w:val="20"/>
                <w:szCs w:val="20"/>
                <w:color w:val="auto"/>
              </w:rPr>
            </w:pPr>
            <w:r>
              <w:rPr>
                <w:rFonts w:ascii="Verdana" w:cs="Verdana" w:eastAsia="Verdana" w:hAnsi="Verdana"/>
                <w:sz w:val="18"/>
                <w:szCs w:val="18"/>
                <w:color w:val="auto"/>
              </w:rPr>
              <w:t>Lawrence Coben</w:t>
            </w:r>
          </w:p>
        </w:tc>
        <w:tc>
          <w:tcPr>
            <w:tcW w:w="0" w:type="dxa"/>
            <w:vAlign w:val="bottom"/>
          </w:tcPr>
          <w:p>
            <w:pPr>
              <w:spacing w:after="0"/>
              <w:rPr>
                <w:sz w:val="1"/>
                <w:szCs w:val="1"/>
                <w:color w:val="auto"/>
              </w:rPr>
            </w:pPr>
          </w:p>
        </w:tc>
      </w:tr>
      <w:tr>
        <w:trPr>
          <w:trHeight w:val="222"/>
        </w:trPr>
        <w:tc>
          <w:tcPr>
            <w:tcW w:w="840" w:type="dxa"/>
            <w:vAlign w:val="bottom"/>
          </w:tcPr>
          <w:p>
            <w:pPr>
              <w:spacing w:after="0" w:line="208" w:lineRule="exact"/>
              <w:rPr>
                <w:sz w:val="20"/>
                <w:szCs w:val="20"/>
                <w:color w:val="auto"/>
              </w:rPr>
            </w:pPr>
            <w:r>
              <w:rPr>
                <w:rFonts w:ascii="Verdana" w:cs="Verdana" w:eastAsia="Verdana" w:hAnsi="Verdana"/>
                <w:sz w:val="18"/>
                <w:szCs w:val="18"/>
                <w:color w:val="auto"/>
              </w:rPr>
              <w:t>Title:</w:t>
            </w:r>
          </w:p>
        </w:tc>
        <w:tc>
          <w:tcPr>
            <w:tcW w:w="3840" w:type="dxa"/>
            <w:vAlign w:val="bottom"/>
            <w:tcBorders>
              <w:bottom w:val="single" w:sz="8" w:color="auto"/>
            </w:tcBorders>
          </w:tcPr>
          <w:p>
            <w:pPr>
              <w:ind w:left="80"/>
              <w:spacing w:after="0"/>
              <w:rPr>
                <w:sz w:val="20"/>
                <w:szCs w:val="20"/>
                <w:color w:val="auto"/>
              </w:rPr>
            </w:pPr>
            <w:r>
              <w:rPr>
                <w:rFonts w:ascii="Verdana" w:cs="Verdana" w:eastAsia="Verdana" w:hAnsi="Verdana"/>
                <w:sz w:val="18"/>
                <w:szCs w:val="18"/>
                <w:color w:val="auto"/>
              </w:rPr>
              <w:t>President &amp; CEO</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0139"/>
          </w:cols>
          <w:pgMar w:left="320" w:top="1440" w:right="1440" w:bottom="1440" w:gutter="0" w:footer="0" w:header="0"/>
        </w:sectPr>
      </w:pPr>
    </w:p>
    <w:bookmarkStart w:id="306" w:name="page307"/>
    <w:bookmarkEnd w:id="306"/>
    <w:p>
      <w:pPr>
        <w:jc w:val="center"/>
        <w:ind w:right="-19"/>
        <w:spacing w:after="0"/>
        <w:rPr>
          <w:sz w:val="20"/>
          <w:szCs w:val="20"/>
          <w:color w:val="auto"/>
        </w:rPr>
      </w:pPr>
      <w:r>
        <w:rPr>
          <w:rFonts w:ascii="Verdana" w:cs="Verdana" w:eastAsia="Verdana" w:hAnsi="Verdana"/>
          <w:sz w:val="18"/>
          <w:szCs w:val="18"/>
          <w:b w:val="1"/>
          <w:bCs w:val="1"/>
          <w:u w:val="single" w:color="auto"/>
          <w:color w:val="auto"/>
        </w:rPr>
        <w:t>EXHIBIT A</w:t>
      </w:r>
    </w:p>
    <w:p>
      <w:pPr>
        <w:spacing w:after="0" w:line="202" w:lineRule="exact"/>
        <w:rPr>
          <w:sz w:val="20"/>
          <w:szCs w:val="20"/>
          <w:color w:val="auto"/>
        </w:rPr>
      </w:pPr>
    </w:p>
    <w:p>
      <w:pPr>
        <w:jc w:val="center"/>
        <w:ind w:right="-19"/>
        <w:spacing w:after="0"/>
        <w:rPr>
          <w:sz w:val="20"/>
          <w:szCs w:val="20"/>
          <w:color w:val="auto"/>
        </w:rPr>
      </w:pPr>
      <w:r>
        <w:rPr>
          <w:rFonts w:ascii="Verdana" w:cs="Verdana" w:eastAsia="Verdana" w:hAnsi="Verdana"/>
          <w:sz w:val="18"/>
          <w:szCs w:val="18"/>
          <w:b w:val="1"/>
          <w:bCs w:val="1"/>
          <w:color w:val="auto"/>
        </w:rPr>
        <w:t>RELATIVE TOTAL SHAREHOLDER RETURN PEER GROUP MEMBERS</w:t>
      </w:r>
    </w:p>
    <w:p>
      <w:pPr>
        <w:spacing w:after="0" w:line="202" w:lineRule="exact"/>
        <w:rPr>
          <w:sz w:val="20"/>
          <w:szCs w:val="20"/>
          <w:color w:val="auto"/>
        </w:rPr>
      </w:pPr>
    </w:p>
    <w:p>
      <w:pPr>
        <w:spacing w:after="0" w:line="241" w:lineRule="auto"/>
        <w:rPr>
          <w:sz w:val="20"/>
          <w:szCs w:val="20"/>
          <w:color w:val="auto"/>
        </w:rPr>
      </w:pPr>
      <w:r>
        <w:rPr>
          <w:rFonts w:ascii="Verdana" w:cs="Verdana" w:eastAsia="Verdana" w:hAnsi="Verdana"/>
          <w:sz w:val="18"/>
          <w:szCs w:val="18"/>
          <w:color w:val="auto"/>
        </w:rPr>
        <w:t>The companies that make up the Standard &amp; Poors 500 Index on the first day of the Performance Period modified in accordance with the provisions of Section 2(b) of this Agreement.</w:t>
      </w:r>
    </w:p>
    <w:p>
      <w:pPr>
        <w:sectPr>
          <w:pgSz w:w="11900" w:h="16838" w:orient="portrait"/>
          <w:cols w:equalWidth="0" w:num="1">
            <w:col w:w="11240"/>
          </w:cols>
          <w:pgMar w:left="320" w:top="1397" w:right="339" w:bottom="1440" w:gutter="0" w:footer="0" w:header="0"/>
        </w:sectPr>
      </w:pPr>
    </w:p>
    <w:bookmarkStart w:id="307" w:name="page308"/>
    <w:bookmarkEnd w:id="307"/>
    <w:p>
      <w:pPr>
        <w:spacing w:after="0" w:line="1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color w:val="auto"/>
        </w:rPr>
        <w:t>Exhibit 10.24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AMENDMENT TO RELATIVE PERFORMANCE STOCK UNIT AGREEMENTS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This AMENDMENT TO RELATIVE PERFORMANCE STOCK UNIT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AGREEMENTS (this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dated as of October 16, 2025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is by NRG Energy, Inc.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relates to awards made to the participants (the “</w:t>
      </w:r>
      <w:r>
        <w:rPr>
          <w:rFonts w:ascii="Times New Roman" w:cs="Times New Roman" w:eastAsia="Times New Roman" w:hAnsi="Times New Roman"/>
          <w:sz w:val="21"/>
          <w:szCs w:val="21"/>
          <w:u w:val="single" w:color="auto"/>
          <w:color w:val="auto"/>
        </w:rPr>
        <w:t>Participants</w:t>
      </w:r>
      <w:r>
        <w:rPr>
          <w:rFonts w:ascii="Times New Roman" w:cs="Times New Roman" w:eastAsia="Times New Roman" w:hAnsi="Times New Roman"/>
          <w:sz w:val="21"/>
          <w:szCs w:val="21"/>
          <w:color w:val="auto"/>
        </w:rPr>
        <w:t xml:space="preserve">”)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attached hereto under the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NRG Energy, Inc. Amended and Restated Long-Term Incentive Plan, as amended (the “</w:t>
      </w:r>
      <w:r>
        <w:rPr>
          <w:rFonts w:ascii="Times New Roman" w:cs="Times New Roman" w:eastAsia="Times New Roman" w:hAnsi="Times New Roman"/>
          <w:sz w:val="21"/>
          <w:szCs w:val="21"/>
          <w:u w:val="single" w:color="auto"/>
          <w:color w:val="auto"/>
        </w:rPr>
        <w:t>NRG LTIP</w:t>
      </w:r>
      <w:r>
        <w:rPr>
          <w:rFonts w:ascii="Times New Roman" w:cs="Times New Roman" w:eastAsia="Times New Roman" w:hAnsi="Times New Roman"/>
          <w:sz w:val="21"/>
          <w:szCs w:val="21"/>
          <w:color w:val="auto"/>
        </w:rPr>
        <w:t>”) and/or the NRG Energy,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Inc. 2020 Omnibus Incentive Plan (Legacy Vivint), as amended (the “</w:t>
      </w:r>
      <w:r>
        <w:rPr>
          <w:rFonts w:ascii="Times New Roman" w:cs="Times New Roman" w:eastAsia="Times New Roman" w:hAnsi="Times New Roman"/>
          <w:sz w:val="21"/>
          <w:szCs w:val="21"/>
          <w:u w:val="single" w:color="auto"/>
          <w:color w:val="auto"/>
        </w:rPr>
        <w:t>Vivint LTIP</w:t>
      </w:r>
      <w:r>
        <w:rPr>
          <w:rFonts w:ascii="Times New Roman" w:cs="Times New Roman" w:eastAsia="Times New Roman" w:hAnsi="Times New Roman"/>
          <w:sz w:val="21"/>
          <w:szCs w:val="21"/>
          <w:color w:val="auto"/>
        </w:rPr>
        <w:t>”) (each, a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and collectively,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Plans</w:t>
      </w:r>
      <w:r>
        <w:rPr>
          <w:rFonts w:ascii="Times New Roman" w:cs="Times New Roman" w:eastAsia="Times New Roman" w:hAnsi="Times New Roman"/>
          <w:sz w:val="21"/>
          <w:szCs w:val="21"/>
          <w:color w:val="auto"/>
        </w:rPr>
        <w:t>”). All capitalized terms used but not defined herein shall have the meanings ascribed to such terms in the respective Plans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under which the Participant’s awards were issued.</w:t>
      </w:r>
    </w:p>
    <w:p>
      <w:pPr>
        <w:spacing w:after="0" w:line="220" w:lineRule="exact"/>
        <w:rPr>
          <w:sz w:val="20"/>
          <w:szCs w:val="20"/>
          <w:color w:val="auto"/>
        </w:rPr>
      </w:pPr>
    </w:p>
    <w:p>
      <w:pPr>
        <w:ind w:right="40" w:firstLine="632"/>
        <w:spacing w:after="0" w:line="278" w:lineRule="auto"/>
        <w:rPr>
          <w:sz w:val="20"/>
          <w:szCs w:val="20"/>
          <w:color w:val="auto"/>
        </w:rPr>
      </w:pPr>
      <w:r>
        <w:rPr>
          <w:rFonts w:ascii="Times New Roman" w:cs="Times New Roman" w:eastAsia="Times New Roman" w:hAnsi="Times New Roman"/>
          <w:sz w:val="21"/>
          <w:szCs w:val="21"/>
          <w:color w:val="auto"/>
        </w:rPr>
        <w:t xml:space="preserve">WHEREAS, as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the Company has granted the Participants Relative Performance Stock Units under the Plans pursuant to the Relative Performance Stock Unit Agreements issued in 2023, 2024, and/or 2025 (the “</w:t>
      </w:r>
      <w:r>
        <w:rPr>
          <w:rFonts w:ascii="Times New Roman" w:cs="Times New Roman" w:eastAsia="Times New Roman" w:hAnsi="Times New Roman"/>
          <w:sz w:val="21"/>
          <w:szCs w:val="21"/>
          <w:u w:val="single" w:color="auto"/>
          <w:color w:val="auto"/>
        </w:rPr>
        <w:t>Grant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Agreements</w:t>
      </w:r>
      <w:r>
        <w:rPr>
          <w:rFonts w:ascii="Times New Roman" w:cs="Times New Roman" w:eastAsia="Times New Roman" w:hAnsi="Times New Roman"/>
          <w:sz w:val="21"/>
          <w:szCs w:val="21"/>
          <w:color w:val="auto"/>
        </w:rPr>
        <w:t>”); and</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WHEREAS, the Company now desires to amend each of the Grant Agreements as set forth herein.</w:t>
      </w:r>
    </w:p>
    <w:p>
      <w:pPr>
        <w:spacing w:after="0" w:line="232" w:lineRule="exact"/>
        <w:rPr>
          <w:sz w:val="20"/>
          <w:szCs w:val="20"/>
          <w:color w:val="auto"/>
        </w:rPr>
      </w:pPr>
    </w:p>
    <w:p>
      <w:pPr>
        <w:jc w:val="both"/>
        <w:ind w:right="400" w:firstLine="631"/>
        <w:spacing w:after="0" w:line="285" w:lineRule="auto"/>
        <w:rPr>
          <w:sz w:val="20"/>
          <w:szCs w:val="20"/>
          <w:color w:val="auto"/>
        </w:rPr>
      </w:pPr>
      <w:r>
        <w:rPr>
          <w:rFonts w:ascii="Times New Roman" w:cs="Times New Roman" w:eastAsia="Times New Roman" w:hAnsi="Times New Roman"/>
          <w:sz w:val="21"/>
          <w:szCs w:val="21"/>
          <w:color w:val="auto"/>
        </w:rPr>
        <w:t>NOW, THEREFORE, in consideration of the premises set forth above and other good and valuable consideration, the receipt and sufficiency of which are hereby acknowledged, the undersigned, intending to be legally bound, hereby agrees as follows:</w:t>
      </w:r>
    </w:p>
    <w:p>
      <w:pPr>
        <w:spacing w:after="0" w:line="21" w:lineRule="exact"/>
        <w:rPr>
          <w:sz w:val="20"/>
          <w:szCs w:val="20"/>
          <w:color w:val="auto"/>
        </w:rPr>
      </w:pPr>
    </w:p>
    <w:p>
      <w:pPr>
        <w:ind w:right="920" w:firstLine="1263"/>
        <w:spacing w:after="0" w:line="282" w:lineRule="auto"/>
        <w:tabs>
          <w:tab w:leader="none" w:pos="1579" w:val="left"/>
        </w:tabs>
        <w:numPr>
          <w:ilvl w:val="0"/>
          <w:numId w:val="30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Removal of Final Award Cap</w:t>
      </w:r>
      <w:r>
        <w:rPr>
          <w:rFonts w:ascii="Times New Roman" w:cs="Times New Roman" w:eastAsia="Times New Roman" w:hAnsi="Times New Roman"/>
          <w:sz w:val="21"/>
          <w:szCs w:val="21"/>
          <w:color w:val="auto"/>
        </w:rPr>
        <w:t>. Section 1(a) of each Grant Agreement under the NRG LTIP is hereby amended to remove the “Cap” in Section 1(a) which shall now read as follows:</w:t>
      </w:r>
    </w:p>
    <w:p>
      <w:pPr>
        <w:spacing w:after="0" w:line="139"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21"/>
          <w:szCs w:val="21"/>
          <w:b w:val="1"/>
          <w:bCs w:val="1"/>
          <w:color w:val="auto"/>
        </w:rPr>
        <w:t>“1.</w:t>
      </w:r>
      <w:r>
        <w:rPr>
          <w:sz w:val="20"/>
          <w:szCs w:val="20"/>
          <w:color w:val="auto"/>
        </w:rPr>
        <w:tab/>
      </w:r>
      <w:r>
        <w:rPr>
          <w:rFonts w:ascii="Times New Roman" w:cs="Times New Roman" w:eastAsia="Times New Roman" w:hAnsi="Times New Roman"/>
          <w:sz w:val="20"/>
          <w:szCs w:val="20"/>
          <w:b w:val="1"/>
          <w:bCs w:val="1"/>
          <w:color w:val="auto"/>
        </w:rPr>
        <w:t>Performance Criteria and Award Determination</w:t>
      </w:r>
    </w:p>
    <w:p>
      <w:pPr>
        <w:spacing w:after="0" w:line="232" w:lineRule="exact"/>
        <w:rPr>
          <w:sz w:val="20"/>
          <w:szCs w:val="20"/>
          <w:color w:val="auto"/>
        </w:rPr>
      </w:pPr>
    </w:p>
    <w:p>
      <w:pPr>
        <w:ind w:left="1940" w:hanging="677"/>
        <w:spacing w:after="0"/>
        <w:tabs>
          <w:tab w:leader="none" w:pos="1940" w:val="left"/>
        </w:tabs>
        <w:numPr>
          <w:ilvl w:val="0"/>
          <w:numId w:val="30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General - Award Determination</w:t>
      </w:r>
    </w:p>
    <w:p>
      <w:pPr>
        <w:spacing w:after="0" w:line="223" w:lineRule="exact"/>
        <w:rPr>
          <w:sz w:val="20"/>
          <w:szCs w:val="20"/>
          <w:color w:val="auto"/>
        </w:rPr>
      </w:pPr>
    </w:p>
    <w:p>
      <w:pPr>
        <w:ind w:left="640" w:right="920"/>
        <w:spacing w:after="0" w:line="259" w:lineRule="auto"/>
        <w:rPr>
          <w:sz w:val="20"/>
          <w:szCs w:val="20"/>
          <w:color w:val="auto"/>
        </w:rPr>
      </w:pPr>
      <w:r>
        <w:rPr>
          <w:rFonts w:ascii="Times New Roman" w:cs="Times New Roman" w:eastAsia="Times New Roman" w:hAnsi="Times New Roman"/>
          <w:sz w:val="21"/>
          <w:szCs w:val="21"/>
          <w:color w:val="auto"/>
        </w:rPr>
        <w:t>Subject to the provisions of this Agreement and the provisions of the NRG Energy, Inc. Amended and Restated Long-Term Incentive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the Company hereby grants to the Participant the number of Relative Performance Stock Units (“</w:t>
      </w:r>
      <w:r>
        <w:rPr>
          <w:rFonts w:ascii="Times New Roman" w:cs="Times New Roman" w:eastAsia="Times New Roman" w:hAnsi="Times New Roman"/>
          <w:sz w:val="21"/>
          <w:szCs w:val="21"/>
          <w:u w:val="single" w:color="auto"/>
          <w:color w:val="auto"/>
        </w:rPr>
        <w:t>RPSUs</w:t>
      </w:r>
      <w:r>
        <w:rPr>
          <w:rFonts w:ascii="Times New Roman" w:cs="Times New Roman" w:eastAsia="Times New Roman" w:hAnsi="Times New Roman"/>
          <w:sz w:val="21"/>
          <w:szCs w:val="21"/>
          <w:color w:val="auto"/>
        </w:rPr>
        <w:t>”), set forth in the Grant Notice (“</w:t>
      </w:r>
      <w:r>
        <w:rPr>
          <w:rFonts w:ascii="Times New Roman" w:cs="Times New Roman" w:eastAsia="Times New Roman" w:hAnsi="Times New Roman"/>
          <w:sz w:val="21"/>
          <w:szCs w:val="21"/>
          <w:u w:val="single" w:color="auto"/>
          <w:color w:val="auto"/>
        </w:rPr>
        <w:t>Target Award</w:t>
      </w:r>
      <w:r>
        <w:rPr>
          <w:rFonts w:ascii="Times New Roman" w:cs="Times New Roman" w:eastAsia="Times New Roman" w:hAnsi="Times New Roman"/>
          <w:sz w:val="21"/>
          <w:szCs w:val="21"/>
          <w:color w:val="auto"/>
        </w:rPr>
        <w:t>”), each of which will have a value equivalent to one (1) share of the Company’s Common Stock.</w:t>
      </w:r>
    </w:p>
    <w:p>
      <w:pPr>
        <w:spacing w:after="0" w:line="168" w:lineRule="exact"/>
        <w:rPr>
          <w:sz w:val="20"/>
          <w:szCs w:val="20"/>
          <w:color w:val="auto"/>
        </w:rPr>
      </w:pPr>
    </w:p>
    <w:p>
      <w:pPr>
        <w:ind w:left="640" w:right="760"/>
        <w:spacing w:after="0" w:line="260" w:lineRule="auto"/>
        <w:rPr>
          <w:sz w:val="20"/>
          <w:szCs w:val="20"/>
          <w:color w:val="auto"/>
        </w:rPr>
      </w:pPr>
      <w:r>
        <w:rPr>
          <w:rFonts w:ascii="Times New Roman" w:cs="Times New Roman" w:eastAsia="Times New Roman" w:hAnsi="Times New Roman"/>
          <w:sz w:val="21"/>
          <w:szCs w:val="21"/>
          <w:color w:val="auto"/>
        </w:rPr>
        <w:t>At the end of the Performance Period, the Participant shall be entitled to receive a payment, payable in shares of the Company’s Common Stock, equal to the Target Award times a “Payout Percentage” (the “</w:t>
      </w:r>
      <w:r>
        <w:rPr>
          <w:rFonts w:ascii="Times New Roman" w:cs="Times New Roman" w:eastAsia="Times New Roman" w:hAnsi="Times New Roman"/>
          <w:sz w:val="21"/>
          <w:szCs w:val="21"/>
          <w:u w:val="single" w:color="auto"/>
          <w:color w:val="auto"/>
        </w:rPr>
        <w:t>Final Award</w:t>
      </w:r>
      <w:r>
        <w:rPr>
          <w:rFonts w:ascii="Times New Roman" w:cs="Times New Roman" w:eastAsia="Times New Roman" w:hAnsi="Times New Roman"/>
          <w:sz w:val="21"/>
          <w:szCs w:val="21"/>
          <w:color w:val="auto"/>
        </w:rPr>
        <w:t xml:space="preserve">”). The “Payout Percentage” is based on the achievement of the performance criteria set forth in </w:t>
      </w:r>
      <w:r>
        <w:rPr>
          <w:rFonts w:ascii="Times New Roman" w:cs="Times New Roman" w:eastAsia="Times New Roman" w:hAnsi="Times New Roman"/>
          <w:sz w:val="21"/>
          <w:szCs w:val="21"/>
          <w:u w:val="single" w:color="auto"/>
          <w:color w:val="auto"/>
        </w:rPr>
        <w:t>Section 1(b</w:t>
      </w:r>
      <w:r>
        <w:rPr>
          <w:rFonts w:ascii="Times New Roman" w:cs="Times New Roman" w:eastAsia="Times New Roman" w:hAnsi="Times New Roman"/>
          <w:sz w:val="21"/>
          <w:szCs w:val="21"/>
          <w:color w:val="auto"/>
        </w:rPr>
        <w:t>) of this Agreement, as determined and certified in writing by the Compensation Committee of the Company’s Board of Directors (the “</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w:t>
      </w:r>
    </w:p>
    <w:p>
      <w:pPr>
        <w:sectPr>
          <w:pgSz w:w="11900" w:h="16838" w:orient="portrait"/>
          <w:cols w:equalWidth="0" w:num="1">
            <w:col w:w="10920"/>
          </w:cols>
          <w:pgMar w:left="640" w:top="1440" w:right="339" w:bottom="1440" w:gutter="0" w:footer="0" w:header="0"/>
        </w:sectPr>
      </w:pPr>
    </w:p>
    <w:bookmarkStart w:id="308" w:name="page309"/>
    <w:bookmarkEnd w:id="308"/>
    <w:p>
      <w:pPr>
        <w:spacing w:after="0" w:line="282" w:lineRule="auto"/>
        <w:rPr>
          <w:sz w:val="20"/>
          <w:szCs w:val="20"/>
          <w:color w:val="auto"/>
        </w:rPr>
      </w:pPr>
      <w:r>
        <w:rPr>
          <w:rFonts w:ascii="Times New Roman" w:cs="Times New Roman" w:eastAsia="Times New Roman" w:hAnsi="Times New Roman"/>
          <w:sz w:val="21"/>
          <w:szCs w:val="21"/>
          <w:color w:val="auto"/>
        </w:rPr>
        <w:t>Section 1(a) of each Grant Agreement under the Vivint LTIP is hereby amended to remove the “Cap” in Section 1(a) which shall now read as follows:</w:t>
      </w:r>
    </w:p>
    <w:p>
      <w:pPr>
        <w:spacing w:after="0" w:line="139"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1.</w:t>
      </w:r>
      <w:r>
        <w:rPr>
          <w:sz w:val="20"/>
          <w:szCs w:val="20"/>
          <w:color w:val="auto"/>
        </w:rPr>
        <w:tab/>
      </w:r>
      <w:r>
        <w:rPr>
          <w:rFonts w:ascii="Times New Roman" w:cs="Times New Roman" w:eastAsia="Times New Roman" w:hAnsi="Times New Roman"/>
          <w:sz w:val="20"/>
          <w:szCs w:val="20"/>
          <w:b w:val="1"/>
          <w:bCs w:val="1"/>
          <w:color w:val="auto"/>
        </w:rPr>
        <w:t>Performance Criteria and Award Determination</w:t>
      </w:r>
    </w:p>
    <w:p>
      <w:pPr>
        <w:spacing w:after="0" w:line="219" w:lineRule="exact"/>
        <w:rPr>
          <w:sz w:val="20"/>
          <w:szCs w:val="20"/>
          <w:color w:val="auto"/>
        </w:rPr>
      </w:pPr>
    </w:p>
    <w:p>
      <w:pPr>
        <w:ind w:left="1900" w:hanging="636"/>
        <w:spacing w:after="0"/>
        <w:tabs>
          <w:tab w:leader="none" w:pos="1900" w:val="left"/>
        </w:tabs>
        <w:numPr>
          <w:ilvl w:val="0"/>
          <w:numId w:val="30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General - Award Determination</w:t>
      </w:r>
    </w:p>
    <w:p>
      <w:pPr>
        <w:spacing w:after="0" w:line="223" w:lineRule="exact"/>
        <w:rPr>
          <w:sz w:val="20"/>
          <w:szCs w:val="20"/>
          <w:color w:val="auto"/>
        </w:rPr>
      </w:pPr>
    </w:p>
    <w:p>
      <w:pPr>
        <w:jc w:val="both"/>
        <w:ind w:left="640" w:right="200"/>
        <w:spacing w:after="0" w:line="273" w:lineRule="auto"/>
        <w:rPr>
          <w:sz w:val="20"/>
          <w:szCs w:val="20"/>
          <w:color w:val="auto"/>
        </w:rPr>
      </w:pPr>
      <w:r>
        <w:rPr>
          <w:rFonts w:ascii="Times New Roman" w:cs="Times New Roman" w:eastAsia="Times New Roman" w:hAnsi="Times New Roman"/>
          <w:sz w:val="20"/>
          <w:szCs w:val="20"/>
          <w:color w:val="auto"/>
        </w:rPr>
        <w:t>Subject to the provisions of this Agreement and the provisions of the NRG Energy, INC. 2020 Omnibus Incentive Plan (Legacy Vivint)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the Company hereby grants to the Participant the number of Relative Performance Stock Units (“</w:t>
      </w:r>
      <w:r>
        <w:rPr>
          <w:rFonts w:ascii="Times New Roman" w:cs="Times New Roman" w:eastAsia="Times New Roman" w:hAnsi="Times New Roman"/>
          <w:sz w:val="20"/>
          <w:szCs w:val="20"/>
          <w:u w:val="single" w:color="auto"/>
          <w:color w:val="auto"/>
        </w:rPr>
        <w:t>RPSUs</w:t>
      </w:r>
      <w:r>
        <w:rPr>
          <w:rFonts w:ascii="Times New Roman" w:cs="Times New Roman" w:eastAsia="Times New Roman" w:hAnsi="Times New Roman"/>
          <w:sz w:val="20"/>
          <w:szCs w:val="20"/>
          <w:color w:val="auto"/>
        </w:rPr>
        <w:t>”), set forth in the Grant Notice (“</w:t>
      </w:r>
      <w:r>
        <w:rPr>
          <w:rFonts w:ascii="Times New Roman" w:cs="Times New Roman" w:eastAsia="Times New Roman" w:hAnsi="Times New Roman"/>
          <w:sz w:val="20"/>
          <w:szCs w:val="20"/>
          <w:u w:val="single" w:color="auto"/>
          <w:color w:val="auto"/>
        </w:rPr>
        <w:t>Target Award</w:t>
      </w:r>
      <w:r>
        <w:rPr>
          <w:rFonts w:ascii="Times New Roman" w:cs="Times New Roman" w:eastAsia="Times New Roman" w:hAnsi="Times New Roman"/>
          <w:sz w:val="20"/>
          <w:szCs w:val="20"/>
          <w:color w:val="auto"/>
        </w:rPr>
        <w:t>”), each of which will have a value equivalent to one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(1) share of the Company’s Common Stock.</w:t>
      </w:r>
    </w:p>
    <w:p>
      <w:pPr>
        <w:spacing w:after="0" w:line="195" w:lineRule="exact"/>
        <w:rPr>
          <w:sz w:val="20"/>
          <w:szCs w:val="20"/>
          <w:color w:val="auto"/>
        </w:rPr>
      </w:pPr>
    </w:p>
    <w:p>
      <w:pPr>
        <w:ind w:left="640" w:right="260"/>
        <w:spacing w:after="0" w:line="260" w:lineRule="auto"/>
        <w:rPr>
          <w:sz w:val="20"/>
          <w:szCs w:val="20"/>
          <w:color w:val="auto"/>
        </w:rPr>
      </w:pPr>
      <w:r>
        <w:rPr>
          <w:rFonts w:ascii="Times New Roman" w:cs="Times New Roman" w:eastAsia="Times New Roman" w:hAnsi="Times New Roman"/>
          <w:sz w:val="21"/>
          <w:szCs w:val="21"/>
          <w:color w:val="auto"/>
        </w:rPr>
        <w:t>At the end of the Performance Period, the Participant shall be entitled to receive a payment, payable in shares of the Company’s Common Stock, equal to the Target Award times a “Payout Percentage” (the “</w:t>
      </w:r>
      <w:r>
        <w:rPr>
          <w:rFonts w:ascii="Times New Roman" w:cs="Times New Roman" w:eastAsia="Times New Roman" w:hAnsi="Times New Roman"/>
          <w:sz w:val="21"/>
          <w:szCs w:val="21"/>
          <w:u w:val="single" w:color="auto"/>
          <w:color w:val="auto"/>
        </w:rPr>
        <w:t>Final Award</w:t>
      </w:r>
      <w:r>
        <w:rPr>
          <w:rFonts w:ascii="Times New Roman" w:cs="Times New Roman" w:eastAsia="Times New Roman" w:hAnsi="Times New Roman"/>
          <w:sz w:val="21"/>
          <w:szCs w:val="21"/>
          <w:color w:val="auto"/>
        </w:rPr>
        <w:t>”). The “Payout Percentage” is based on the achievement of the performance criteria set forth in Section 1(b) of this Agreement, as determined and certified in writing by the Compensation Committee of the Company’s Board of Directors (the “</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ind w:left="1900" w:hanging="637"/>
        <w:spacing w:after="0"/>
        <w:tabs>
          <w:tab w:leader="none" w:pos="1900" w:val="left"/>
        </w:tabs>
        <w:numPr>
          <w:ilvl w:val="0"/>
          <w:numId w:val="30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ind w:right="300" w:firstLine="1263"/>
        <w:spacing w:after="0" w:line="282" w:lineRule="auto"/>
        <w:tabs>
          <w:tab w:leader="none" w:pos="1576" w:val="left"/>
        </w:tabs>
        <w:numPr>
          <w:ilvl w:val="0"/>
          <w:numId w:val="31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Except as may otherwise be provided in the Plans, the provisions of this Amendment shall be governed by the laws of the State of Delaware, without giving effect to principles of conflicts law.</w:t>
      </w:r>
    </w:p>
    <w:p>
      <w:pPr>
        <w:spacing w:after="0" w:line="156" w:lineRule="exact"/>
        <w:rPr>
          <w:rFonts w:ascii="Times New Roman" w:cs="Times New Roman" w:eastAsia="Times New Roman" w:hAnsi="Times New Roman"/>
          <w:sz w:val="21"/>
          <w:szCs w:val="21"/>
          <w:color w:val="010000"/>
        </w:rPr>
      </w:pPr>
    </w:p>
    <w:p>
      <w:pPr>
        <w:ind w:right="380" w:firstLine="1263"/>
        <w:spacing w:after="0" w:line="282" w:lineRule="auto"/>
        <w:tabs>
          <w:tab w:leader="none" w:pos="1574" w:val="left"/>
        </w:tabs>
        <w:numPr>
          <w:ilvl w:val="0"/>
          <w:numId w:val="31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Except as expressly modified herein, the Grant Agreements shall remain unmodified and in full force and effect, and the parties under the Grant Agreements shall each retain all rights thereunder.</w:t>
      </w:r>
    </w:p>
    <w:p>
      <w:pPr>
        <w:spacing w:after="0" w:line="143" w:lineRule="exact"/>
        <w:rPr>
          <w:rFonts w:ascii="Times New Roman" w:cs="Times New Roman" w:eastAsia="Times New Roman" w:hAnsi="Times New Roman"/>
          <w:sz w:val="21"/>
          <w:szCs w:val="21"/>
          <w:color w:val="010000"/>
        </w:rPr>
      </w:pPr>
    </w:p>
    <w:p>
      <w:pPr>
        <w:ind w:right="340" w:firstLine="1263"/>
        <w:spacing w:after="0" w:line="282" w:lineRule="auto"/>
        <w:tabs>
          <w:tab w:leader="none" w:pos="1575" w:val="left"/>
        </w:tabs>
        <w:numPr>
          <w:ilvl w:val="0"/>
          <w:numId w:val="31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This Amendment constitutes the entire agreement of the Company and the Participants with respect to the subject matter hereof. This Amendment may not be modified, except in writing signed by the Company.</w:t>
      </w:r>
    </w:p>
    <w:p>
      <w:pPr>
        <w:spacing w:after="0" w:line="14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1"/>
          <w:szCs w:val="21"/>
          <w:color w:val="auto"/>
        </w:rPr>
        <w:t>]</w:t>
      </w:r>
    </w:p>
    <w:p>
      <w:pPr>
        <w:sectPr>
          <w:pgSz w:w="11900" w:h="16838" w:orient="portrait"/>
          <w:cols w:equalWidth="0" w:num="1">
            <w:col w:w="10840"/>
          </w:cols>
          <w:pgMar w:left="640" w:top="1388" w:right="419" w:bottom="1440" w:gutter="0" w:footer="0" w:header="0"/>
        </w:sectPr>
      </w:pPr>
    </w:p>
    <w:bookmarkStart w:id="309" w:name="page310"/>
    <w:bookmarkEnd w:id="309"/>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9019"/>
          </w:cols>
          <w:pgMar w:left="1440" w:top="1310" w:right="1440" w:bottom="1440" w:gutter="0" w:footer="0" w:header="0"/>
        </w:sectPr>
      </w:pPr>
    </w:p>
    <w:bookmarkStart w:id="310" w:name="page311"/>
    <w:bookmarkEnd w:id="310"/>
    <w:p>
      <w:pPr>
        <w:ind w:left="640"/>
        <w:spacing w:after="0"/>
        <w:rPr>
          <w:sz w:val="20"/>
          <w:szCs w:val="20"/>
          <w:color w:val="auto"/>
        </w:rPr>
      </w:pPr>
      <w:r>
        <w:rPr>
          <w:rFonts w:ascii="Times New Roman" w:cs="Times New Roman" w:eastAsia="Times New Roman" w:hAnsi="Times New Roman"/>
          <w:sz w:val="20"/>
          <w:szCs w:val="20"/>
          <w:color w:val="auto"/>
        </w:rPr>
        <w:t>IN WITNESS WHEREOF, this Amendment has been executed as of the Effective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pacing w:after="0" w:line="200" w:lineRule="exact"/>
        <w:rPr>
          <w:sz w:val="20"/>
          <w:szCs w:val="20"/>
          <w:color w:val="auto"/>
        </w:rPr>
      </w:pPr>
    </w:p>
    <w:p>
      <w:pPr>
        <w:spacing w:after="0" w:line="30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1"/>
          <w:szCs w:val="21"/>
          <w:u w:val="single" w:color="auto"/>
          <w:color w:val="auto"/>
        </w:rPr>
        <w:t>By: /s/ Brian Curci</w:t>
      </w:r>
    </w:p>
    <w:p>
      <w:pPr>
        <w:spacing w:after="0" w:line="6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1"/>
          <w:szCs w:val="21"/>
          <w:color w:val="auto"/>
        </w:rPr>
        <w:t>Name: Brian Curci</w:t>
      </w:r>
    </w:p>
    <w:p>
      <w:pPr>
        <w:spacing w:after="0" w:line="4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1"/>
          <w:szCs w:val="21"/>
          <w:color w:val="auto"/>
        </w:rPr>
        <w:t>Title: EVP, General Counsel</w:t>
      </w:r>
    </w:p>
    <w:p>
      <w:pPr>
        <w:sectPr>
          <w:pgSz w:w="11900" w:h="16838" w:orient="portrait"/>
          <w:cols w:equalWidth="0" w:num="1">
            <w:col w:w="9819"/>
          </w:cols>
          <w:pgMar w:left="640" w:top="1401" w:right="1440" w:bottom="1440" w:gutter="0" w:footer="0" w:header="0"/>
        </w:sectPr>
      </w:pPr>
    </w:p>
    <w:bookmarkStart w:id="311" w:name="page312"/>
    <w:bookmarkEnd w:id="31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12" w:name="page313"/>
    <w:bookmarkEnd w:id="3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ind w:right="225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Amendment to Grant Agreements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color w:val="auto"/>
        </w:rPr>
        <w:t>LEGAL\79026530\7</w:t>
      </w:r>
    </w:p>
    <w:p>
      <w:pPr>
        <w:sectPr>
          <w:pgSz w:w="11900" w:h="16838" w:orient="portrait"/>
          <w:cols w:equalWidth="0" w:num="1">
            <w:col w:w="10099"/>
          </w:cols>
          <w:pgMar w:left="360" w:top="1440" w:right="1440" w:bottom="1440" w:gutter="0" w:footer="0" w:header="0"/>
        </w:sectPr>
      </w:pPr>
    </w:p>
    <w:bookmarkStart w:id="313" w:name="page314"/>
    <w:bookmarkEnd w:id="313"/>
    <w:p>
      <w:pPr>
        <w:ind w:left="9960"/>
        <w:spacing w:after="0"/>
        <w:rPr>
          <w:sz w:val="20"/>
          <w:szCs w:val="20"/>
          <w:color w:val="auto"/>
        </w:rPr>
      </w:pPr>
      <w:r>
        <w:rPr>
          <w:rFonts w:ascii="Times New Roman" w:cs="Times New Roman" w:eastAsia="Times New Roman" w:hAnsi="Times New Roman"/>
          <w:sz w:val="21"/>
          <w:szCs w:val="21"/>
          <w:b w:val="1"/>
          <w:bCs w:val="1"/>
          <w:color w:val="auto"/>
        </w:rPr>
        <w:t>Exhibit 19.1</w:t>
      </w:r>
    </w:p>
    <w:p>
      <w:pPr>
        <w:spacing w:after="0" w:line="1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Responsibility: Office of the General Counsel</w:t>
      </w:r>
    </w:p>
    <w:p>
      <w:pPr>
        <w:spacing w:after="0" w:line="2"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1"/>
          <w:szCs w:val="21"/>
          <w:color w:val="auto"/>
        </w:rPr>
        <w:t>Owner: Corporate Secretary Approved by: Governance &amp;</w:t>
      </w:r>
    </w:p>
    <w:p>
      <w:pPr>
        <w:jc w:val="right"/>
        <w:ind w:right="120"/>
        <w:spacing w:after="0" w:line="235" w:lineRule="auto"/>
        <w:rPr>
          <w:sz w:val="20"/>
          <w:szCs w:val="20"/>
          <w:color w:val="auto"/>
        </w:rPr>
      </w:pPr>
      <w:r>
        <w:rPr>
          <w:rFonts w:ascii="Times New Roman" w:cs="Times New Roman" w:eastAsia="Times New Roman" w:hAnsi="Times New Roman"/>
          <w:sz w:val="21"/>
          <w:szCs w:val="21"/>
          <w:color w:val="auto"/>
        </w:rPr>
        <w:t>Nominating Committee</w:t>
      </w:r>
    </w:p>
    <w:p>
      <w:pPr>
        <w:jc w:val="right"/>
        <w:ind w:right="120"/>
        <w:spacing w:after="0"/>
        <w:rPr>
          <w:sz w:val="20"/>
          <w:szCs w:val="20"/>
          <w:color w:val="auto"/>
        </w:rPr>
      </w:pPr>
      <w:r>
        <w:rPr>
          <w:rFonts w:ascii="Times New Roman" w:cs="Times New Roman" w:eastAsia="Times New Roman" w:hAnsi="Times New Roman"/>
          <w:sz w:val="21"/>
          <w:szCs w:val="21"/>
          <w:color w:val="auto"/>
        </w:rPr>
        <w:t>Effective Date: February 18, 2026</w:t>
      </w:r>
    </w:p>
    <w:p>
      <w:pPr>
        <w:spacing w:after="0" w:line="1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1"/>
          <w:szCs w:val="21"/>
          <w:b w:val="1"/>
          <w:bCs w:val="1"/>
          <w:color w:val="auto"/>
        </w:rPr>
        <w:t>SECURITIES TRADING AND NON-DISCLOSURE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117475</wp:posOffset>
            </wp:positionV>
            <wp:extent cx="7144385" cy="3759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75">
                      <a:extLst>
                        <a:ext uri="{28A0092B-C50C-407E-A947-70E740481C1C}"/>
                      </a:extLst>
                    </a:blip>
                    <a:srcRect/>
                    <a:stretch>
                      <a:fillRect/>
                    </a:stretch>
                  </pic:blipFill>
                  <pic:spPr bwMode="auto">
                    <a:xfrm>
                      <a:off x="0" y="0"/>
                      <a:ext cx="7144385" cy="375920"/>
                    </a:xfrm>
                    <a:prstGeom prst="rect">
                      <a:avLst/>
                    </a:prstGeom>
                    <a:noFill/>
                  </pic:spPr>
                </pic:pic>
              </a:graphicData>
            </a:graphic>
          </wp:anchor>
        </w:drawing>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21"/>
          <w:szCs w:val="21"/>
          <w:b w:val="1"/>
          <w:bCs w:val="1"/>
          <w:color w:val="auto"/>
        </w:rPr>
        <w:t>Please read this Insider Trading Policy carefully and make sure you understand it. If you have any questions</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21"/>
          <w:szCs w:val="21"/>
          <w:b w:val="1"/>
          <w:bCs w:val="1"/>
          <w:color w:val="auto"/>
        </w:rPr>
        <w:t>about it, please contact the General Counsel's office.</w:t>
      </w:r>
    </w:p>
    <w:p>
      <w:pPr>
        <w:spacing w:after="0" w:line="3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u w:val="single" w:color="auto"/>
          <w:color w:val="auto"/>
        </w:rPr>
        <w:t>Policy Statement</w:t>
      </w:r>
    </w:p>
    <w:p>
      <w:pPr>
        <w:spacing w:after="0" w:line="210" w:lineRule="exact"/>
        <w:rPr>
          <w:sz w:val="20"/>
          <w:szCs w:val="20"/>
          <w:color w:val="auto"/>
        </w:rPr>
      </w:pPr>
    </w:p>
    <w:p>
      <w:pPr>
        <w:ind w:left="120" w:right="400" w:firstLine="631"/>
        <w:spacing w:after="0" w:line="246" w:lineRule="auto"/>
        <w:rPr>
          <w:sz w:val="20"/>
          <w:szCs w:val="20"/>
          <w:color w:val="auto"/>
        </w:rPr>
      </w:pPr>
      <w:r>
        <w:rPr>
          <w:rFonts w:ascii="Times New Roman" w:cs="Times New Roman" w:eastAsia="Times New Roman" w:hAnsi="Times New Roman"/>
          <w:sz w:val="21"/>
          <w:szCs w:val="21"/>
          <w:color w:val="auto"/>
        </w:rPr>
        <w:t>Federal and state laws prohibit certain buying, selling, or making other transfers of securities by persons who have material information relating to those securities that is not generally known or available to the public. These laws also prohibit persons with material nonpublic information concerning an issuer of securities from disclosing this information to others who may trade in such securities.</w:t>
      </w:r>
    </w:p>
    <w:p>
      <w:pPr>
        <w:spacing w:after="0" w:line="168" w:lineRule="exact"/>
        <w:rPr>
          <w:sz w:val="20"/>
          <w:szCs w:val="20"/>
          <w:color w:val="auto"/>
        </w:rPr>
      </w:pPr>
    </w:p>
    <w:p>
      <w:pPr>
        <w:ind w:left="120" w:right="260" w:firstLine="631"/>
        <w:spacing w:after="0"/>
        <w:rPr>
          <w:sz w:val="20"/>
          <w:szCs w:val="20"/>
          <w:color w:val="auto"/>
        </w:rPr>
      </w:pPr>
      <w:r>
        <w:rPr>
          <w:rFonts w:ascii="Times New Roman" w:cs="Times New Roman" w:eastAsia="Times New Roman" w:hAnsi="Times New Roman"/>
          <w:sz w:val="21"/>
          <w:szCs w:val="21"/>
          <w:color w:val="auto"/>
        </w:rPr>
        <w:t>NRG Energy, Inc. (“NRG” or the “Company”) has adopted the following policy regarding trading in securities by directors, officers, employees and consultants who have material nonpublic information. For purposes of this policy, "trading" includes purchases and sales of stocks, bonds, debentures, options, puts, calls and other securities and also includes sales of stock you acquire by exercising employee stock options and other trades you make pursuant to an investment direction under an employee benefit plan.</w:t>
      </w:r>
    </w:p>
    <w:p>
      <w:pPr>
        <w:spacing w:after="0" w:line="174" w:lineRule="exact"/>
        <w:rPr>
          <w:sz w:val="20"/>
          <w:szCs w:val="20"/>
          <w:color w:val="auto"/>
        </w:rPr>
      </w:pPr>
    </w:p>
    <w:p>
      <w:pPr>
        <w:ind w:left="120" w:right="160" w:firstLine="632"/>
        <w:spacing w:after="0" w:line="245" w:lineRule="auto"/>
        <w:rPr>
          <w:sz w:val="20"/>
          <w:szCs w:val="20"/>
          <w:color w:val="auto"/>
        </w:rPr>
      </w:pPr>
      <w:r>
        <w:rPr>
          <w:rFonts w:ascii="Times New Roman" w:cs="Times New Roman" w:eastAsia="Times New Roman" w:hAnsi="Times New Roman"/>
          <w:sz w:val="21"/>
          <w:szCs w:val="21"/>
          <w:color w:val="auto"/>
        </w:rPr>
        <w:t>You are responsible for ensuring that you do not violate federal or state securities laws or this policy. We designed this policy to promote compliance with applicable securities laws and to protect the Company and you from the serious liabilities and penalties that can result from violations of these laws. This policy is not intended to restrict or prohibit lawful trading activities.</w:t>
      </w:r>
    </w:p>
    <w:p>
      <w:pPr>
        <w:spacing w:after="0" w:line="168" w:lineRule="exact"/>
        <w:rPr>
          <w:sz w:val="20"/>
          <w:szCs w:val="20"/>
          <w:color w:val="auto"/>
        </w:rPr>
      </w:pPr>
    </w:p>
    <w:p>
      <w:pPr>
        <w:ind w:left="120" w:right="240" w:firstLine="632"/>
        <w:spacing w:after="0" w:line="247" w:lineRule="auto"/>
        <w:rPr>
          <w:sz w:val="20"/>
          <w:szCs w:val="20"/>
          <w:color w:val="auto"/>
        </w:rPr>
      </w:pPr>
      <w:r>
        <w:rPr>
          <w:rFonts w:ascii="Times New Roman" w:cs="Times New Roman" w:eastAsia="Times New Roman" w:hAnsi="Times New Roman"/>
          <w:sz w:val="21"/>
          <w:szCs w:val="21"/>
          <w:color w:val="auto"/>
        </w:rPr>
        <w:t>If you violate the insider trading laws, you may have to pay civil fines for up to three times the profit gained or loss avoided by unlawful trading, as well as criminal fines of up to</w:t>
      </w:r>
    </w:p>
    <w:p>
      <w:pPr>
        <w:spacing w:after="0" w:line="1" w:lineRule="exact"/>
        <w:rPr>
          <w:sz w:val="20"/>
          <w:szCs w:val="20"/>
          <w:color w:val="auto"/>
        </w:rPr>
      </w:pPr>
    </w:p>
    <w:p>
      <w:pPr>
        <w:jc w:val="both"/>
        <w:ind w:left="120" w:right="360"/>
        <w:spacing w:after="0"/>
        <w:rPr>
          <w:sz w:val="20"/>
          <w:szCs w:val="20"/>
          <w:color w:val="auto"/>
        </w:rPr>
      </w:pPr>
      <w:r>
        <w:rPr>
          <w:rFonts w:ascii="Times New Roman" w:cs="Times New Roman" w:eastAsia="Times New Roman" w:hAnsi="Times New Roman"/>
          <w:sz w:val="21"/>
          <w:szCs w:val="21"/>
          <w:color w:val="auto"/>
        </w:rPr>
        <w:t>$5,000,000. You also may have to serve a jail sentence of up to 20 years. In addition, the Company could be subject to a civil fine of up to the greater of $1,000,000 and three times the profit gained or loss avoided as a result of any unlawful trading violations by you. The Company could face criminal penalties of up to $25,000,000.</w:t>
      </w:r>
    </w:p>
    <w:p>
      <w:pPr>
        <w:spacing w:after="0" w:line="159" w:lineRule="exact"/>
        <w:rPr>
          <w:sz w:val="20"/>
          <w:szCs w:val="20"/>
          <w:color w:val="auto"/>
        </w:rPr>
      </w:pPr>
    </w:p>
    <w:p>
      <w:pPr>
        <w:ind w:left="120" w:right="360" w:firstLine="632"/>
        <w:spacing w:after="0" w:line="242" w:lineRule="auto"/>
        <w:rPr>
          <w:sz w:val="20"/>
          <w:szCs w:val="20"/>
          <w:color w:val="auto"/>
        </w:rPr>
      </w:pPr>
      <w:r>
        <w:rPr>
          <w:rFonts w:ascii="Times New Roman" w:cs="Times New Roman" w:eastAsia="Times New Roman" w:hAnsi="Times New Roman"/>
          <w:sz w:val="21"/>
          <w:szCs w:val="21"/>
          <w:color w:val="auto"/>
        </w:rPr>
        <w:t>Both the SEC and the New York Stock Exchange are very effective at detecting and pursuing insider trading cases. The SEC has successfully prosecuted cases against employees trading through foreign accounts, trading by family members and friends, and trading involving only a small number of shares. Therefore, it is important that you understand the breadth of activities that constitute illegal insider trading.</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160"/>
          </w:cols>
          <w:pgMar w:left="400" w:top="1240" w:right="339" w:bottom="1440" w:gutter="0" w:footer="0" w:header="0"/>
        </w:sectPr>
      </w:pPr>
    </w:p>
    <w:bookmarkStart w:id="314" w:name="page315"/>
    <w:bookmarkEnd w:id="314"/>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u w:val="single" w:color="auto"/>
          <w:color w:val="auto"/>
        </w:rPr>
        <w:t>Our Policy</w:t>
      </w:r>
    </w:p>
    <w:p>
      <w:pPr>
        <w:spacing w:after="0" w:line="210" w:lineRule="exact"/>
        <w:rPr>
          <w:sz w:val="20"/>
          <w:szCs w:val="20"/>
          <w:color w:val="auto"/>
        </w:rPr>
      </w:pPr>
    </w:p>
    <w:p>
      <w:pPr>
        <w:ind w:left="740" w:right="40" w:hanging="625"/>
        <w:spacing w:after="0"/>
        <w:tabs>
          <w:tab w:leader="none" w:pos="740" w:val="left"/>
        </w:tabs>
        <w:numPr>
          <w:ilvl w:val="0"/>
          <w:numId w:val="3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may not trade in the stock or other securities of any company when you know material nonpublic information about that company. This prohibition against "insider trading" applies to trading in securities of NRG, as well as to trading in the securities of other companies, such as the Company’s material customers, suppliers, competitors or firms with which the Company may be negotiating a major transaction. Loans, pledges, gifts, charitable donations and other contributions of securities of NRG are also subject to this policy.</w:t>
      </w:r>
    </w:p>
    <w:p>
      <w:pPr>
        <w:spacing w:after="0" w:line="187" w:lineRule="exact"/>
        <w:rPr>
          <w:rFonts w:ascii="Times New Roman" w:cs="Times New Roman" w:eastAsia="Times New Roman" w:hAnsi="Times New Roman"/>
          <w:sz w:val="21"/>
          <w:szCs w:val="21"/>
          <w:color w:val="auto"/>
        </w:rPr>
      </w:pPr>
    </w:p>
    <w:p>
      <w:pPr>
        <w:ind w:left="740" w:hanging="626"/>
        <w:spacing w:after="0" w:line="235" w:lineRule="auto"/>
        <w:tabs>
          <w:tab w:leader="none" w:pos="740" w:val="left"/>
        </w:tabs>
        <w:numPr>
          <w:ilvl w:val="0"/>
          <w:numId w:val="3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may not convey material nonpublic information about a company to others or suggest that anyone purchase or sell any company's securities while you are aware of material nonpublic information about that company. This practice, known as "tipping," also violates the securities laws and can result in the same civil and criminal penalties that apply if you engage in insider trading directly, even if you do not receive any money or derive any benefit from trades made by persons to whom you passed material nonpublic information. This prohibition against "tipping" applies to information about NRG and its stock, as well as to information about other companies, such as the Company’s material customers, suppliers, competitors or firms with which the Company may be negotiating a major transaction. It also applies to information disclosed in an internet bulletin board or chat room. This policy does not restrict legitimate business communications on a "need to know" basis, where you have a basis to expect that the other person will not trade while in possession of the information.</w:t>
      </w:r>
    </w:p>
    <w:p>
      <w:pPr>
        <w:spacing w:after="0" w:line="188" w:lineRule="exact"/>
        <w:rPr>
          <w:sz w:val="20"/>
          <w:szCs w:val="20"/>
          <w:color w:val="auto"/>
        </w:rPr>
      </w:pPr>
    </w:p>
    <w:p>
      <w:pPr>
        <w:jc w:val="both"/>
        <w:ind w:left="120" w:right="80" w:firstLine="632"/>
        <w:spacing w:after="0" w:line="239" w:lineRule="auto"/>
        <w:rPr>
          <w:sz w:val="20"/>
          <w:szCs w:val="20"/>
          <w:color w:val="auto"/>
        </w:rPr>
      </w:pPr>
      <w:r>
        <w:rPr>
          <w:rFonts w:ascii="Times New Roman" w:cs="Times New Roman" w:eastAsia="Times New Roman" w:hAnsi="Times New Roman"/>
          <w:sz w:val="21"/>
          <w:szCs w:val="21"/>
          <w:color w:val="auto"/>
        </w:rPr>
        <w:t>These restrictions also apply to any member of your immediate family, anyone living in your household, anyone acting on your behalf, or anyone on whose behalf you are acting, and you are responsible for compliance with these policies by those persons. The SEC and federal prosecutors may presume that trading by family members (including children away at school) is based on information you supplied and treat any such transactions as if you had traded yourself. There is no exception for small transactions or transactions that may seem necessary or justifiable for independent reasons, such as the need to raise money for an emergency expenditure.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u w:val="single" w:color="auto"/>
          <w:color w:val="auto"/>
        </w:rPr>
        <w:t>Definition of Material Nonpublic Information</w:t>
      </w:r>
      <w:r>
        <w:rPr>
          <w:rFonts w:ascii="Times New Roman" w:cs="Times New Roman" w:eastAsia="Times New Roman" w:hAnsi="Times New Roman"/>
          <w:sz w:val="21"/>
          <w:szCs w:val="21"/>
          <w:b w:val="1"/>
          <w:bCs w:val="1"/>
          <w:color w:val="auto"/>
        </w:rPr>
        <w:t xml:space="preserve"> Material Information</w:t>
      </w:r>
    </w:p>
    <w:p>
      <w:pPr>
        <w:spacing w:after="0" w:line="118" w:lineRule="exact"/>
        <w:rPr>
          <w:sz w:val="20"/>
          <w:szCs w:val="20"/>
          <w:color w:val="auto"/>
        </w:rPr>
      </w:pPr>
    </w:p>
    <w:p>
      <w:pPr>
        <w:ind w:left="120" w:right="340" w:firstLine="632"/>
        <w:spacing w:after="0"/>
        <w:rPr>
          <w:sz w:val="20"/>
          <w:szCs w:val="20"/>
          <w:color w:val="auto"/>
        </w:rPr>
      </w:pPr>
      <w:r>
        <w:rPr>
          <w:rFonts w:ascii="Times New Roman" w:cs="Times New Roman" w:eastAsia="Times New Roman" w:hAnsi="Times New Roman"/>
          <w:sz w:val="21"/>
          <w:szCs w:val="21"/>
          <w:color w:val="auto"/>
        </w:rPr>
        <w:t>Information is material if there is a substantial likelihood that a reasonable investor would consider it important in deciding whether to buy, hold or sell a security. Remember that even if the information is not material to NRG, it may nevertheless be material to another company, and our policies therefore apply to your trading in other companies' stock. Any information that you could expect to affect the price of the security is material. Common examples of information that may be material include:</w:t>
      </w:r>
    </w:p>
    <w:p>
      <w:pPr>
        <w:spacing w:after="0" w:line="174" w:lineRule="exact"/>
        <w:rPr>
          <w:sz w:val="20"/>
          <w:szCs w:val="20"/>
          <w:color w:val="auto"/>
        </w:rPr>
      </w:pPr>
    </w:p>
    <w:p>
      <w:pPr>
        <w:ind w:left="1060" w:hanging="315"/>
        <w:spacing w:after="0"/>
        <w:tabs>
          <w:tab w:leader="none" w:pos="1060" w:val="left"/>
        </w:tabs>
        <w:numPr>
          <w:ilvl w:val="0"/>
          <w:numId w:val="3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Earnings information, including revenue results, contracting activity or other revenue projections.</w:t>
      </w:r>
    </w:p>
    <w:p>
      <w:pPr>
        <w:spacing w:after="0" w:line="219" w:lineRule="exact"/>
        <w:rPr>
          <w:rFonts w:ascii="Times New Roman" w:cs="Times New Roman" w:eastAsia="Times New Roman" w:hAnsi="Times New Roman"/>
          <w:sz w:val="21"/>
          <w:szCs w:val="21"/>
          <w:color w:val="auto"/>
        </w:rPr>
      </w:pPr>
    </w:p>
    <w:p>
      <w:pPr>
        <w:ind w:left="1060" w:hanging="314"/>
        <w:spacing w:after="0"/>
        <w:tabs>
          <w:tab w:leader="none" w:pos="1060" w:val="left"/>
        </w:tabs>
        <w:numPr>
          <w:ilvl w:val="0"/>
          <w:numId w:val="3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News about a major contract award or cancellation of an existing contract.</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0940"/>
          </w:cols>
          <w:pgMar w:left="400" w:top="1440" w:right="559" w:bottom="1440" w:gutter="0" w:footer="0" w:header="0"/>
        </w:sectPr>
      </w:pPr>
    </w:p>
    <w:bookmarkStart w:id="315" w:name="page316"/>
    <w:bookmarkEnd w:id="315"/>
    <w:p>
      <w:pPr>
        <w:ind w:left="1060" w:hanging="315"/>
        <w:spacing w:after="0"/>
        <w:tabs>
          <w:tab w:leader="none" w:pos="1060" w:val="left"/>
        </w:tabs>
        <w:numPr>
          <w:ilvl w:val="0"/>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Financial projections, forecasts or budgets.</w:t>
      </w:r>
    </w:p>
    <w:p>
      <w:pPr>
        <w:spacing w:after="0" w:line="205" w:lineRule="exact"/>
        <w:rPr>
          <w:rFonts w:ascii="Times New Roman" w:cs="Times New Roman" w:eastAsia="Times New Roman" w:hAnsi="Times New Roman"/>
          <w:sz w:val="21"/>
          <w:szCs w:val="21"/>
          <w:color w:val="auto"/>
        </w:rPr>
      </w:pPr>
    </w:p>
    <w:p>
      <w:pPr>
        <w:ind w:left="1060" w:right="320" w:hanging="314"/>
        <w:spacing w:after="0" w:line="269" w:lineRule="auto"/>
        <w:tabs>
          <w:tab w:leader="none" w:pos="1055" w:val="left"/>
        </w:tabs>
        <w:numPr>
          <w:ilvl w:val="0"/>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Mergers, joint ventures, acquisitions, dispositions, tender offers, acquisition or sale of a business segment or unit, or other significant changes in assets.</w:t>
      </w:r>
    </w:p>
    <w:p>
      <w:pPr>
        <w:spacing w:after="0" w:line="156" w:lineRule="exact"/>
        <w:rPr>
          <w:rFonts w:ascii="Times New Roman" w:cs="Times New Roman" w:eastAsia="Times New Roman" w:hAnsi="Times New Roman"/>
          <w:sz w:val="21"/>
          <w:szCs w:val="21"/>
          <w:color w:val="auto"/>
        </w:rPr>
      </w:pPr>
    </w:p>
    <w:p>
      <w:pPr>
        <w:ind w:left="1060" w:hanging="315"/>
        <w:spacing w:after="0"/>
        <w:tabs>
          <w:tab w:leader="none" w:pos="1060" w:val="left"/>
        </w:tabs>
        <w:numPr>
          <w:ilvl w:val="0"/>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New products or discoveries or significant developments regarding customers or suppliers.</w:t>
      </w:r>
    </w:p>
    <w:p>
      <w:pPr>
        <w:spacing w:after="0" w:line="205" w:lineRule="exact"/>
        <w:rPr>
          <w:rFonts w:ascii="Times New Roman" w:cs="Times New Roman" w:eastAsia="Times New Roman" w:hAnsi="Times New Roman"/>
          <w:sz w:val="21"/>
          <w:szCs w:val="21"/>
          <w:color w:val="auto"/>
        </w:rPr>
      </w:pPr>
    </w:p>
    <w:p>
      <w:pPr>
        <w:ind w:left="1060" w:hanging="315"/>
        <w:spacing w:after="0"/>
        <w:tabs>
          <w:tab w:leader="none" w:pos="1060" w:val="left"/>
        </w:tabs>
        <w:numPr>
          <w:ilvl w:val="0"/>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senior management or other major personnel changes.</w:t>
      </w:r>
    </w:p>
    <w:p>
      <w:pPr>
        <w:spacing w:after="0" w:line="219" w:lineRule="exact"/>
        <w:rPr>
          <w:rFonts w:ascii="Times New Roman" w:cs="Times New Roman" w:eastAsia="Times New Roman" w:hAnsi="Times New Roman"/>
          <w:sz w:val="21"/>
          <w:szCs w:val="21"/>
          <w:color w:val="auto"/>
        </w:rPr>
      </w:pPr>
    </w:p>
    <w:p>
      <w:pPr>
        <w:ind w:left="1060" w:hanging="315"/>
        <w:spacing w:after="0"/>
        <w:tabs>
          <w:tab w:leader="none" w:pos="1060" w:val="left"/>
        </w:tabs>
        <w:numPr>
          <w:ilvl w:val="0"/>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dividend policy, declaration of a stock split or the offering of additional securities.</w:t>
      </w:r>
    </w:p>
    <w:p>
      <w:pPr>
        <w:spacing w:after="0" w:line="219" w:lineRule="exact"/>
        <w:rPr>
          <w:rFonts w:ascii="Times New Roman" w:cs="Times New Roman" w:eastAsia="Times New Roman" w:hAnsi="Times New Roman"/>
          <w:sz w:val="21"/>
          <w:szCs w:val="21"/>
          <w:color w:val="auto"/>
        </w:rPr>
      </w:pPr>
    </w:p>
    <w:p>
      <w:pPr>
        <w:ind w:left="1060" w:hanging="315"/>
        <w:spacing w:after="0"/>
        <w:tabs>
          <w:tab w:leader="none" w:pos="1060" w:val="left"/>
        </w:tabs>
        <w:numPr>
          <w:ilvl w:val="0"/>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Financial liquidity problems.</w:t>
      </w:r>
    </w:p>
    <w:p>
      <w:pPr>
        <w:spacing w:after="0" w:line="219" w:lineRule="exact"/>
        <w:rPr>
          <w:rFonts w:ascii="Times New Roman" w:cs="Times New Roman" w:eastAsia="Times New Roman" w:hAnsi="Times New Roman"/>
          <w:sz w:val="21"/>
          <w:szCs w:val="21"/>
          <w:color w:val="auto"/>
        </w:rPr>
      </w:pPr>
    </w:p>
    <w:p>
      <w:pPr>
        <w:ind w:left="1060" w:hanging="315"/>
        <w:spacing w:after="0"/>
        <w:tabs>
          <w:tab w:leader="none" w:pos="1060" w:val="left"/>
        </w:tabs>
        <w:numPr>
          <w:ilvl w:val="0"/>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pricing or discount policies.</w:t>
      </w:r>
    </w:p>
    <w:p>
      <w:pPr>
        <w:spacing w:after="0" w:line="219" w:lineRule="exact"/>
        <w:rPr>
          <w:rFonts w:ascii="Times New Roman" w:cs="Times New Roman" w:eastAsia="Times New Roman" w:hAnsi="Times New Roman"/>
          <w:sz w:val="21"/>
          <w:szCs w:val="21"/>
          <w:color w:val="auto"/>
        </w:rPr>
      </w:pPr>
    </w:p>
    <w:p>
      <w:pPr>
        <w:ind w:left="1060" w:hanging="315"/>
        <w:spacing w:after="0"/>
        <w:tabs>
          <w:tab w:leader="none" w:pos="1060" w:val="left"/>
        </w:tabs>
        <w:numPr>
          <w:ilvl w:val="0"/>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legal exposure due to actual, pending or threatened litigation.</w:t>
      </w:r>
    </w:p>
    <w:p>
      <w:pPr>
        <w:spacing w:after="0" w:line="219" w:lineRule="exact"/>
        <w:rPr>
          <w:rFonts w:ascii="Times New Roman" w:cs="Times New Roman" w:eastAsia="Times New Roman" w:hAnsi="Times New Roman"/>
          <w:sz w:val="21"/>
          <w:szCs w:val="21"/>
          <w:color w:val="auto"/>
        </w:rPr>
      </w:pPr>
    </w:p>
    <w:p>
      <w:pPr>
        <w:ind w:left="1060" w:right="580" w:hanging="315"/>
        <w:spacing w:after="0" w:line="269" w:lineRule="auto"/>
        <w:tabs>
          <w:tab w:leader="none" w:pos="1055" w:val="left"/>
        </w:tabs>
        <w:numPr>
          <w:ilvl w:val="0"/>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the Company's auditors or a notification from its auditors that the Company may no longer rely on the auditors' audit report.</w:t>
      </w:r>
    </w:p>
    <w:p>
      <w:pPr>
        <w:spacing w:after="0" w:line="156" w:lineRule="exact"/>
        <w:rPr>
          <w:rFonts w:ascii="Times New Roman" w:cs="Times New Roman" w:eastAsia="Times New Roman" w:hAnsi="Times New Roman"/>
          <w:sz w:val="21"/>
          <w:szCs w:val="21"/>
          <w:color w:val="auto"/>
        </w:rPr>
      </w:pPr>
    </w:p>
    <w:p>
      <w:pPr>
        <w:ind w:left="1060" w:hanging="314"/>
        <w:spacing w:after="0"/>
        <w:tabs>
          <w:tab w:leader="none" w:pos="1060" w:val="left"/>
        </w:tabs>
        <w:numPr>
          <w:ilvl w:val="0"/>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Cybersecurity risks and incidents, including vulnerabilities and breaches.</w:t>
      </w:r>
    </w:p>
    <w:p>
      <w:pPr>
        <w:spacing w:after="0" w:line="219" w:lineRule="exact"/>
        <w:rPr>
          <w:rFonts w:ascii="Times New Roman" w:cs="Times New Roman" w:eastAsia="Times New Roman" w:hAnsi="Times New Roman"/>
          <w:sz w:val="21"/>
          <w:szCs w:val="21"/>
          <w:color w:val="auto"/>
        </w:rPr>
      </w:pPr>
    </w:p>
    <w:p>
      <w:pPr>
        <w:ind w:left="1060" w:hanging="314"/>
        <w:spacing w:after="0"/>
        <w:tabs>
          <w:tab w:leader="none" w:pos="1060" w:val="left"/>
        </w:tabs>
        <w:numPr>
          <w:ilvl w:val="0"/>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Major events regarding the Company's securities.</w:t>
      </w:r>
    </w:p>
    <w:p>
      <w:pPr>
        <w:spacing w:after="0" w:line="206" w:lineRule="exact"/>
        <w:rPr>
          <w:sz w:val="20"/>
          <w:szCs w:val="20"/>
          <w:color w:val="auto"/>
        </w:rPr>
      </w:pPr>
    </w:p>
    <w:p>
      <w:pPr>
        <w:ind w:left="120" w:right="220" w:firstLine="632"/>
        <w:spacing w:after="0" w:line="242" w:lineRule="auto"/>
        <w:rPr>
          <w:sz w:val="20"/>
          <w:szCs w:val="20"/>
          <w:color w:val="auto"/>
        </w:rPr>
      </w:pPr>
      <w:r>
        <w:rPr>
          <w:rFonts w:ascii="Times New Roman" w:cs="Times New Roman" w:eastAsia="Times New Roman" w:hAnsi="Times New Roman"/>
          <w:sz w:val="21"/>
          <w:szCs w:val="21"/>
          <w:color w:val="auto"/>
        </w:rPr>
        <w:t>Both positive and negative information can be material. Federal and state investigators will scrutinize a questionable trade after the fact with the benefit of hindsight, so it is advisable to err on the side of caution. Even the appearance of an improper transaction must be avoided to preserve NRG’s reputation for adhering to a high standard for ethical conduct. If you have questions regarding specific information, please contact the General Counsel's office.</w:t>
      </w:r>
    </w:p>
    <w:p>
      <w:pPr>
        <w:spacing w:after="0" w:line="18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b w:val="1"/>
          <w:bCs w:val="1"/>
          <w:color w:val="auto"/>
        </w:rPr>
        <w:t>Nonpublic Information</w:t>
      </w:r>
    </w:p>
    <w:p>
      <w:pPr>
        <w:spacing w:after="0" w:line="210" w:lineRule="exact"/>
        <w:rPr>
          <w:sz w:val="20"/>
          <w:szCs w:val="20"/>
          <w:color w:val="auto"/>
        </w:rPr>
      </w:pPr>
    </w:p>
    <w:p>
      <w:pPr>
        <w:ind w:left="120" w:right="100" w:firstLine="632"/>
        <w:spacing w:after="0" w:line="269" w:lineRule="auto"/>
        <w:rPr>
          <w:sz w:val="20"/>
          <w:szCs w:val="20"/>
          <w:color w:val="auto"/>
        </w:rPr>
      </w:pPr>
      <w:r>
        <w:rPr>
          <w:rFonts w:ascii="Times New Roman" w:cs="Times New Roman" w:eastAsia="Times New Roman" w:hAnsi="Times New Roman"/>
          <w:sz w:val="21"/>
          <w:szCs w:val="21"/>
          <w:color w:val="auto"/>
        </w:rPr>
        <w:t>Nonpublic information is information that is not generally known or available to the public. We consider information to be available to the public only when:</w:t>
      </w:r>
    </w:p>
    <w:p>
      <w:pPr>
        <w:spacing w:after="0" w:line="143" w:lineRule="exact"/>
        <w:rPr>
          <w:sz w:val="20"/>
          <w:szCs w:val="20"/>
          <w:color w:val="auto"/>
        </w:rPr>
      </w:pPr>
    </w:p>
    <w:p>
      <w:pPr>
        <w:ind w:left="1060" w:right="800" w:hanging="315"/>
        <w:spacing w:after="0" w:line="269" w:lineRule="auto"/>
        <w:tabs>
          <w:tab w:leader="none" w:pos="1055" w:val="left"/>
        </w:tabs>
        <w:numPr>
          <w:ilvl w:val="0"/>
          <w:numId w:val="3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has been released to the public through appropriate channels, e.g., by means of a press release or a widely disseminated statement from a senior officer, and</w:t>
      </w:r>
    </w:p>
    <w:p>
      <w:pPr>
        <w:spacing w:after="0" w:line="142" w:lineRule="exact"/>
        <w:rPr>
          <w:rFonts w:ascii="Times New Roman" w:cs="Times New Roman" w:eastAsia="Times New Roman" w:hAnsi="Times New Roman"/>
          <w:sz w:val="21"/>
          <w:szCs w:val="21"/>
          <w:color w:val="auto"/>
        </w:rPr>
      </w:pPr>
    </w:p>
    <w:p>
      <w:pPr>
        <w:ind w:left="1060" w:hanging="315"/>
        <w:spacing w:after="0"/>
        <w:tabs>
          <w:tab w:leader="none" w:pos="1060" w:val="left"/>
        </w:tabs>
        <w:numPr>
          <w:ilvl w:val="0"/>
          <w:numId w:val="3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enough time has elapsed to permit the investment market to absorb and evaluate the information.</w:t>
      </w:r>
    </w:p>
    <w:p>
      <w:pPr>
        <w:spacing w:after="0" w:line="206"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21"/>
          <w:szCs w:val="21"/>
          <w:color w:val="auto"/>
        </w:rPr>
        <w:t>As a general rule, you should consider information to be nonpublic until the completion of one (1) full trading day following the date on which such public disclosure was made.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0920"/>
          </w:cols>
          <w:pgMar w:left="400" w:top="1269" w:right="579" w:bottom="1440" w:gutter="0" w:footer="0" w:header="0"/>
        </w:sectPr>
      </w:pPr>
    </w:p>
    <w:bookmarkStart w:id="316" w:name="page317"/>
    <w:bookmarkEnd w:id="316"/>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u w:val="single" w:color="auto"/>
          <w:color w:val="auto"/>
        </w:rPr>
        <w:t>Unauthorized Disclosure</w:t>
      </w:r>
    </w:p>
    <w:p>
      <w:pPr>
        <w:spacing w:after="0" w:line="210" w:lineRule="exact"/>
        <w:rPr>
          <w:sz w:val="20"/>
          <w:szCs w:val="20"/>
          <w:color w:val="auto"/>
        </w:rPr>
      </w:pPr>
    </w:p>
    <w:p>
      <w:pPr>
        <w:ind w:left="120" w:right="200" w:firstLine="632"/>
        <w:spacing w:after="0" w:line="242" w:lineRule="auto"/>
        <w:rPr>
          <w:sz w:val="20"/>
          <w:szCs w:val="20"/>
          <w:color w:val="auto"/>
        </w:rPr>
      </w:pPr>
      <w:r>
        <w:rPr>
          <w:rFonts w:ascii="Times New Roman" w:cs="Times New Roman" w:eastAsia="Times New Roman" w:hAnsi="Times New Roman"/>
          <w:sz w:val="21"/>
          <w:szCs w:val="21"/>
          <w:color w:val="auto"/>
        </w:rPr>
        <w:t>All employees, executive officers and directors must maintain the confidentiality of NRG information for competitive, security and other business reasons, as well as to comply with securities laws. All information you learn about the Company or its business plans is potentially material nonpublic information that you should treat as confidential and proprietary to the Company. You may not disclose it to others, such as family members, other relatives, or business or social acquaintances.</w:t>
      </w:r>
    </w:p>
    <w:p>
      <w:pPr>
        <w:spacing w:after="0" w:line="171" w:lineRule="exact"/>
        <w:rPr>
          <w:sz w:val="20"/>
          <w:szCs w:val="20"/>
          <w:color w:val="auto"/>
        </w:rPr>
      </w:pPr>
    </w:p>
    <w:p>
      <w:pPr>
        <w:ind w:left="120" w:firstLine="632"/>
        <w:spacing w:after="0"/>
        <w:rPr>
          <w:sz w:val="20"/>
          <w:szCs w:val="20"/>
          <w:color w:val="auto"/>
        </w:rPr>
      </w:pPr>
      <w:r>
        <w:rPr>
          <w:rFonts w:ascii="Times New Roman" w:cs="Times New Roman" w:eastAsia="Times New Roman" w:hAnsi="Times New Roman"/>
          <w:sz w:val="21"/>
          <w:szCs w:val="21"/>
          <w:color w:val="auto"/>
        </w:rPr>
        <w:t>Also, legal rules govern the timing and nature of our disclosure of material information to outsiders or the public. Violation of these rules could result in substantial liability for you, the Company and its management. For this reason, we permit only specifically designated representatives of the Company to discuss the Company with the news media, securities analysts and investors and only in accordance with the Company's Investor Communications Policy. If you receive inquiries of this nature you should refer them to our Communications group.</w:t>
      </w:r>
    </w:p>
    <w:p>
      <w:pPr>
        <w:spacing w:after="0" w:line="174" w:lineRule="exact"/>
        <w:rPr>
          <w:sz w:val="20"/>
          <w:szCs w:val="20"/>
          <w:color w:val="auto"/>
        </w:rPr>
      </w:pPr>
    </w:p>
    <w:p>
      <w:pPr>
        <w:ind w:left="120" w:right="140" w:firstLine="632"/>
        <w:spacing w:after="0" w:line="252" w:lineRule="auto"/>
        <w:rPr>
          <w:sz w:val="20"/>
          <w:szCs w:val="20"/>
          <w:color w:val="auto"/>
        </w:rPr>
      </w:pPr>
      <w:r>
        <w:rPr>
          <w:rFonts w:ascii="Times New Roman" w:cs="Times New Roman" w:eastAsia="Times New Roman" w:hAnsi="Times New Roman"/>
          <w:sz w:val="21"/>
          <w:szCs w:val="21"/>
          <w:color w:val="auto"/>
        </w:rPr>
        <w:t>In the event you make, or believe you may have made, an unauthorized disclosure, you must immediately provide complete information regarding such disclosure to the Communications group and the Office of the General Counsel, who shall determine the appropriate response to such disclosure.</w:t>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u w:val="single" w:color="auto"/>
          <w:color w:val="auto"/>
        </w:rPr>
        <w:t>When and How You Can Trade Company Stock</w:t>
      </w:r>
    </w:p>
    <w:p>
      <w:pPr>
        <w:spacing w:after="0" w:line="210" w:lineRule="exact"/>
        <w:rPr>
          <w:sz w:val="20"/>
          <w:szCs w:val="20"/>
          <w:color w:val="auto"/>
        </w:rPr>
      </w:pPr>
    </w:p>
    <w:p>
      <w:pPr>
        <w:ind w:left="120" w:right="180" w:firstLine="632"/>
        <w:spacing w:after="0" w:line="252" w:lineRule="auto"/>
        <w:rPr>
          <w:sz w:val="20"/>
          <w:szCs w:val="20"/>
          <w:color w:val="auto"/>
        </w:rPr>
      </w:pPr>
      <w:r>
        <w:rPr>
          <w:rFonts w:ascii="Times New Roman" w:cs="Times New Roman" w:eastAsia="Times New Roman" w:hAnsi="Times New Roman"/>
          <w:sz w:val="21"/>
          <w:szCs w:val="21"/>
          <w:color w:val="auto"/>
        </w:rPr>
        <w:t>Following are procedures that all employees may follow to reduce the likelihood that they will be viewed as engaged in insider trading or tipping. Executive officers and members of the Company's Board of Directors are required to comply with these procedures at all times.</w:t>
      </w:r>
    </w:p>
    <w:p>
      <w:pPr>
        <w:spacing w:after="0" w:line="1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b w:val="1"/>
          <w:bCs w:val="1"/>
          <w:color w:val="auto"/>
        </w:rPr>
        <w:t>Blackout Periods</w:t>
      </w:r>
    </w:p>
    <w:p>
      <w:pPr>
        <w:spacing w:after="0" w:line="210" w:lineRule="exact"/>
        <w:rPr>
          <w:sz w:val="20"/>
          <w:szCs w:val="20"/>
          <w:color w:val="auto"/>
        </w:rPr>
      </w:pPr>
    </w:p>
    <w:p>
      <w:pPr>
        <w:jc w:val="both"/>
        <w:ind w:left="120" w:right="660" w:firstLine="632"/>
        <w:spacing w:after="0" w:line="252" w:lineRule="auto"/>
        <w:rPr>
          <w:sz w:val="20"/>
          <w:szCs w:val="20"/>
          <w:color w:val="auto"/>
        </w:rPr>
      </w:pPr>
      <w:r>
        <w:rPr>
          <w:rFonts w:ascii="Times New Roman" w:cs="Times New Roman" w:eastAsia="Times New Roman" w:hAnsi="Times New Roman"/>
          <w:sz w:val="21"/>
          <w:szCs w:val="21"/>
          <w:color w:val="auto"/>
        </w:rPr>
        <w:t>The Company has imposed quarterly blackout periods during which executive officers, directors and certain other employees may not effect any transactions in NRG stock. This includes broker orders placed before the beginning of the blackout period but not fully confirmed.</w:t>
      </w:r>
    </w:p>
    <w:p>
      <w:pPr>
        <w:spacing w:after="0" w:line="160" w:lineRule="exact"/>
        <w:rPr>
          <w:sz w:val="20"/>
          <w:szCs w:val="20"/>
          <w:color w:val="auto"/>
        </w:rPr>
      </w:pPr>
    </w:p>
    <w:p>
      <w:pPr>
        <w:ind w:left="120" w:right="100" w:firstLine="632"/>
        <w:spacing w:after="0" w:line="237" w:lineRule="auto"/>
        <w:rPr>
          <w:sz w:val="20"/>
          <w:szCs w:val="20"/>
          <w:color w:val="auto"/>
        </w:rPr>
      </w:pPr>
      <w:r>
        <w:rPr>
          <w:rFonts w:ascii="Times New Roman" w:cs="Times New Roman" w:eastAsia="Times New Roman" w:hAnsi="Times New Roman"/>
          <w:sz w:val="21"/>
          <w:szCs w:val="21"/>
          <w:color w:val="auto"/>
        </w:rPr>
        <w:t>The quarterly blackouts start two weeks before the end of the calendar quarter and end on the close of business of the next business day following release of the quarterly or annual earnings. Directors, executive officers and other affected personnel will be notified each quarter of the exact dates of that quarter's blackout periods. Notwithstanding the foregoing, and subject to this policy’s other restrictions (including the prohibition on trading while aware of material nonpublic information), if an equity award vests before a quarterly blackout begins but the underlying shares are credited to the individual’s brokerage account after the blackout has begun due to administrative processing, such individual may sell only those vested shares during the two (2) business days following the date the shares are credited.</w:t>
      </w:r>
    </w:p>
    <w:p>
      <w:pPr>
        <w:spacing w:after="0" w:line="173" w:lineRule="exact"/>
        <w:rPr>
          <w:sz w:val="20"/>
          <w:szCs w:val="20"/>
          <w:color w:val="auto"/>
        </w:rPr>
      </w:pPr>
    </w:p>
    <w:p>
      <w:pPr>
        <w:ind w:left="120" w:right="280" w:firstLine="632"/>
        <w:spacing w:after="0" w:line="252" w:lineRule="auto"/>
        <w:rPr>
          <w:sz w:val="20"/>
          <w:szCs w:val="20"/>
          <w:color w:val="auto"/>
        </w:rPr>
      </w:pPr>
      <w:r>
        <w:rPr>
          <w:rFonts w:ascii="Times New Roman" w:cs="Times New Roman" w:eastAsia="Times New Roman" w:hAnsi="Times New Roman"/>
          <w:sz w:val="21"/>
          <w:szCs w:val="21"/>
          <w:color w:val="auto"/>
        </w:rPr>
        <w:t>From time to time, the Company may impose additional blackout periods. In such events, the General Counsel's office will notify directors, executive officers and other affected personnel of restrictions on transactions involving the purchase or sale of the</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000"/>
          </w:cols>
          <w:pgMar w:left="400" w:top="1440" w:right="499" w:bottom="1440" w:gutter="0" w:footer="0" w:header="0"/>
        </w:sectPr>
      </w:pPr>
    </w:p>
    <w:bookmarkStart w:id="317" w:name="page318"/>
    <w:bookmarkEnd w:id="317"/>
    <w:p>
      <w:pPr>
        <w:ind w:left="120"/>
        <w:spacing w:after="0"/>
        <w:rPr>
          <w:sz w:val="20"/>
          <w:szCs w:val="20"/>
          <w:color w:val="auto"/>
        </w:rPr>
      </w:pPr>
      <w:r>
        <w:rPr>
          <w:rFonts w:ascii="Times New Roman" w:cs="Times New Roman" w:eastAsia="Times New Roman" w:hAnsi="Times New Roman"/>
          <w:sz w:val="21"/>
          <w:szCs w:val="21"/>
          <w:color w:val="auto"/>
        </w:rPr>
        <w:t>Company's securities and on not disclosing to others the fact that a blackout period has been imposed.</w:t>
      </w:r>
    </w:p>
    <w:p>
      <w:pPr>
        <w:spacing w:after="0" w:line="206" w:lineRule="exact"/>
        <w:rPr>
          <w:sz w:val="20"/>
          <w:szCs w:val="20"/>
          <w:color w:val="auto"/>
        </w:rPr>
      </w:pPr>
    </w:p>
    <w:p>
      <w:pPr>
        <w:ind w:left="120" w:right="40" w:firstLine="632"/>
        <w:spacing w:after="0"/>
        <w:rPr>
          <w:sz w:val="20"/>
          <w:szCs w:val="20"/>
          <w:color w:val="auto"/>
        </w:rPr>
      </w:pPr>
      <w:r>
        <w:rPr>
          <w:rFonts w:ascii="Times New Roman" w:cs="Times New Roman" w:eastAsia="Times New Roman" w:hAnsi="Times New Roman"/>
          <w:sz w:val="21"/>
          <w:szCs w:val="21"/>
          <w:color w:val="auto"/>
        </w:rPr>
        <w:t>Additionally, the Sarbanes-Oxley Act of 2002 requires the Company to absolutely prohibit all purchases, sales or transfers of Company stock by directors and executive officers during a pension fund blackout period. A pension fund blackout period exists whenever 50% or more of the plan participants are unable to conduct transactions in their accounts for more than three consecutive days. These blackout periods typically occur when there is a change in the retirement plan’s trustee, record keeper or investment manager. Notice of any such blackout period will be provided.</w:t>
      </w:r>
    </w:p>
    <w:p>
      <w:pPr>
        <w:spacing w:after="0" w:line="1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b w:val="1"/>
          <w:bCs w:val="1"/>
          <w:color w:val="auto"/>
        </w:rPr>
        <w:t>Exceptions</w:t>
      </w:r>
    </w:p>
    <w:p>
      <w:pPr>
        <w:spacing w:after="0" w:line="206" w:lineRule="exact"/>
        <w:rPr>
          <w:sz w:val="20"/>
          <w:szCs w:val="20"/>
          <w:color w:val="auto"/>
        </w:rPr>
      </w:pPr>
    </w:p>
    <w:p>
      <w:pPr>
        <w:ind w:left="120" w:right="160" w:firstLine="631"/>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Rule 10b5-1 Trading Plans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SEC rules provide a defense from insider trading liability if trades occur pursuant to a pre-arranged "trading plan" that meets specified conditions (a “Rule 10b5-1 Plan”). A Rule 10b5-1 Plan is a written agreement between a corporate insider and a broker (such as eTrade) that contains predetermined instructions for future trades of company stock, which will execute automatically without requiring further pre-approval, even if they occur during blackout periods or when the individual later possesses material nonpublic information. See the “Rule 10b5-1 Plans” section below for further details.</w:t>
      </w:r>
    </w:p>
    <w:p>
      <w:pPr>
        <w:spacing w:after="0" w:line="183" w:lineRule="exact"/>
        <w:rPr>
          <w:sz w:val="20"/>
          <w:szCs w:val="20"/>
          <w:color w:val="auto"/>
        </w:rPr>
      </w:pPr>
    </w:p>
    <w:p>
      <w:pPr>
        <w:ind w:left="120" w:right="560" w:firstLine="631"/>
        <w:spacing w:after="0" w:line="273" w:lineRule="auto"/>
        <w:rPr>
          <w:sz w:val="20"/>
          <w:szCs w:val="20"/>
          <w:color w:val="auto"/>
        </w:rPr>
      </w:pPr>
      <w:r>
        <w:rPr>
          <w:rFonts w:ascii="Times New Roman" w:cs="Times New Roman" w:eastAsia="Times New Roman" w:hAnsi="Times New Roman"/>
          <w:sz w:val="21"/>
          <w:szCs w:val="21"/>
          <w:b w:val="1"/>
          <w:bCs w:val="1"/>
          <w:i w:val="1"/>
          <w:iCs w:val="1"/>
          <w:color w:val="auto"/>
        </w:rPr>
        <w:t xml:space="preserve">NRG Energy, Inc. Employee Stock Purchase Plan </w:t>
      </w:r>
      <w:r>
        <w:rPr>
          <w:rFonts w:ascii="Times New Roman" w:cs="Times New Roman" w:eastAsia="Times New Roman" w:hAnsi="Times New Roman"/>
          <w:sz w:val="21"/>
          <w:szCs w:val="21"/>
          <w:color w:val="auto"/>
        </w:rPr>
        <w:t>– The purchase of shares under the Company’s Employee Stock</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Purchase Plan (but not the sale of any shares that have been purchased) is exempt from this policy.</w:t>
      </w:r>
    </w:p>
    <w:p>
      <w:pPr>
        <w:spacing w:after="0" w:line="13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b w:val="1"/>
          <w:bCs w:val="1"/>
          <w:color w:val="auto"/>
        </w:rPr>
        <w:t>Trading Preclearance</w:t>
      </w:r>
    </w:p>
    <w:p>
      <w:pPr>
        <w:spacing w:after="0" w:line="223" w:lineRule="exact"/>
        <w:rPr>
          <w:sz w:val="20"/>
          <w:szCs w:val="20"/>
          <w:color w:val="auto"/>
        </w:rPr>
      </w:pPr>
    </w:p>
    <w:p>
      <w:pPr>
        <w:ind w:left="120" w:right="160" w:firstLine="632"/>
        <w:spacing w:after="0" w:line="237" w:lineRule="auto"/>
        <w:rPr>
          <w:sz w:val="20"/>
          <w:szCs w:val="20"/>
          <w:color w:val="auto"/>
        </w:rPr>
      </w:pPr>
      <w:r>
        <w:rPr>
          <w:rFonts w:ascii="Times New Roman" w:cs="Times New Roman" w:eastAsia="Times New Roman" w:hAnsi="Times New Roman"/>
          <w:sz w:val="21"/>
          <w:szCs w:val="21"/>
          <w:color w:val="auto"/>
        </w:rPr>
        <w:t>The Company requires its executive officers and directors, as well as other people who have been notified by the General Counsel's office that they are subject to the Company's preclearance policy, to contact the General Counsel’s office in advance of effecting any purchase, sale or other trading of Company stock and to obtain prior approval of the transaction. To the extent this preclearance policy applies to any individual, it also applies to members of the individual's immediate family, anyone living in the individual's household, anyone acting on behalf of the individual or anyone on whose behalf the individual is acting.</w:t>
      </w:r>
    </w:p>
    <w:p>
      <w:pPr>
        <w:spacing w:after="0" w:line="188" w:lineRule="exact"/>
        <w:rPr>
          <w:sz w:val="20"/>
          <w:szCs w:val="20"/>
          <w:color w:val="auto"/>
        </w:rPr>
      </w:pPr>
    </w:p>
    <w:p>
      <w:pPr>
        <w:ind w:left="120" w:firstLine="631"/>
        <w:spacing w:after="0" w:line="256" w:lineRule="auto"/>
        <w:rPr>
          <w:sz w:val="20"/>
          <w:szCs w:val="20"/>
          <w:color w:val="auto"/>
        </w:rPr>
      </w:pPr>
      <w:r>
        <w:rPr>
          <w:rFonts w:ascii="Times New Roman" w:cs="Times New Roman" w:eastAsia="Times New Roman" w:hAnsi="Times New Roman"/>
          <w:sz w:val="21"/>
          <w:szCs w:val="21"/>
          <w:color w:val="auto"/>
        </w:rPr>
        <w:t>The preclearance policy does not apply to a stock option exercise if the option is to be exercised and no shares are to be sold, but it does apply to sales of stock issued upon the exercise of stock options, including same-day sales and cashless exercises.</w:t>
      </w:r>
    </w:p>
    <w:p>
      <w:pPr>
        <w:spacing w:after="0" w:line="156" w:lineRule="exact"/>
        <w:rPr>
          <w:sz w:val="20"/>
          <w:szCs w:val="20"/>
          <w:color w:val="auto"/>
        </w:rPr>
      </w:pPr>
    </w:p>
    <w:p>
      <w:pPr>
        <w:ind w:left="120" w:right="180" w:firstLine="632"/>
        <w:spacing w:after="0" w:line="252" w:lineRule="auto"/>
        <w:rPr>
          <w:sz w:val="20"/>
          <w:szCs w:val="20"/>
          <w:color w:val="auto"/>
        </w:rPr>
      </w:pPr>
      <w:r>
        <w:rPr>
          <w:rFonts w:ascii="Times New Roman" w:cs="Times New Roman" w:eastAsia="Times New Roman" w:hAnsi="Times New Roman"/>
          <w:sz w:val="21"/>
          <w:szCs w:val="21"/>
          <w:color w:val="auto"/>
        </w:rPr>
        <w:t>Any transaction that receives approval under the preclearance policy must be confirmed within two business days after the approval is obtained, but regardless may not be executed if you acquire material nonpublic information during that time. If a transaction is not confirmed within the two business day period, the transaction must be approved again before it is executed.</w:t>
      </w:r>
    </w:p>
    <w:p>
      <w:pPr>
        <w:spacing w:after="0" w:line="147" w:lineRule="exact"/>
        <w:rPr>
          <w:sz w:val="20"/>
          <w:szCs w:val="20"/>
          <w:color w:val="auto"/>
        </w:rPr>
      </w:pPr>
    </w:p>
    <w:p>
      <w:pPr>
        <w:ind w:left="120" w:right="1100" w:firstLine="632"/>
        <w:spacing w:after="0" w:line="269" w:lineRule="auto"/>
        <w:rPr>
          <w:sz w:val="20"/>
          <w:szCs w:val="20"/>
          <w:color w:val="auto"/>
        </w:rPr>
      </w:pPr>
      <w:r>
        <w:rPr>
          <w:rFonts w:ascii="Times New Roman" w:cs="Times New Roman" w:eastAsia="Times New Roman" w:hAnsi="Times New Roman"/>
          <w:sz w:val="21"/>
          <w:szCs w:val="21"/>
          <w:color w:val="auto"/>
        </w:rPr>
        <w:t>If a proposed transaction is not approved under the preclearance policy, you should refrain from initiating any transaction in Company stock, and you should not inform anyone of the restriction.</w:t>
      </w:r>
    </w:p>
    <w:p>
      <w:pPr>
        <w:spacing w:after="0" w:line="1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u w:val="single" w:color="auto"/>
          <w:color w:val="auto"/>
        </w:rPr>
        <w:t>Rule 10b5-1 Plans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080"/>
          </w:cols>
          <w:pgMar w:left="400" w:top="1402" w:right="419" w:bottom="1440" w:gutter="0" w:footer="0" w:header="0"/>
        </w:sectPr>
      </w:pPr>
    </w:p>
    <w:bookmarkStart w:id="318" w:name="page319"/>
    <w:bookmarkEnd w:id="318"/>
    <w:p>
      <w:pPr>
        <w:ind w:left="740"/>
        <w:spacing w:after="0"/>
        <w:rPr>
          <w:sz w:val="20"/>
          <w:szCs w:val="20"/>
          <w:color w:val="auto"/>
        </w:rPr>
      </w:pPr>
      <w:r>
        <w:rPr>
          <w:rFonts w:ascii="Times New Roman" w:cs="Times New Roman" w:eastAsia="Times New Roman" w:hAnsi="Times New Roman"/>
          <w:sz w:val="21"/>
          <w:szCs w:val="21"/>
          <w:color w:val="auto"/>
        </w:rPr>
        <w:t>The following requirements and conditions apply to Rule 10b5-1 Plans:</w:t>
      </w:r>
    </w:p>
    <w:p>
      <w:pPr>
        <w:spacing w:after="0" w:line="219" w:lineRule="exact"/>
        <w:rPr>
          <w:sz w:val="20"/>
          <w:szCs w:val="20"/>
          <w:color w:val="auto"/>
        </w:rPr>
      </w:pPr>
    </w:p>
    <w:p>
      <w:pPr>
        <w:ind w:left="1060" w:right="540" w:hanging="315"/>
        <w:spacing w:after="0" w:line="269" w:lineRule="auto"/>
        <w:tabs>
          <w:tab w:leader="none" w:pos="1055" w:val="left"/>
        </w:tabs>
        <w:numPr>
          <w:ilvl w:val="0"/>
          <w:numId w:val="3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adoption of any plan (as well as any amendment or early termination of an existing plan) must receive prior written approval from the Company’s Office of the General Counsel.</w:t>
      </w:r>
    </w:p>
    <w:p>
      <w:pPr>
        <w:spacing w:after="0" w:line="142" w:lineRule="exact"/>
        <w:rPr>
          <w:rFonts w:ascii="Times New Roman" w:cs="Times New Roman" w:eastAsia="Times New Roman" w:hAnsi="Times New Roman"/>
          <w:sz w:val="21"/>
          <w:szCs w:val="21"/>
          <w:color w:val="auto"/>
        </w:rPr>
      </w:pPr>
    </w:p>
    <w:p>
      <w:pPr>
        <w:ind w:left="1060" w:right="900" w:hanging="315"/>
        <w:spacing w:after="0" w:line="269" w:lineRule="auto"/>
        <w:tabs>
          <w:tab w:leader="none" w:pos="1055" w:val="left"/>
        </w:tabs>
        <w:numPr>
          <w:ilvl w:val="0"/>
          <w:numId w:val="3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Directors, officers, and certain employees (as determined by the Office of the General Counsel from time to time) may establish Rule 10b5-1 Plans.</w:t>
      </w:r>
    </w:p>
    <w:p>
      <w:pPr>
        <w:spacing w:after="0" w:line="142" w:lineRule="exact"/>
        <w:rPr>
          <w:rFonts w:ascii="Times New Roman" w:cs="Times New Roman" w:eastAsia="Times New Roman" w:hAnsi="Times New Roman"/>
          <w:sz w:val="21"/>
          <w:szCs w:val="21"/>
          <w:color w:val="auto"/>
        </w:rPr>
      </w:pPr>
    </w:p>
    <w:p>
      <w:pPr>
        <w:ind w:left="1060" w:right="620" w:hanging="315"/>
        <w:spacing w:after="0" w:line="242" w:lineRule="auto"/>
        <w:tabs>
          <w:tab w:leader="none" w:pos="1055" w:val="left"/>
        </w:tabs>
        <w:numPr>
          <w:ilvl w:val="0"/>
          <w:numId w:val="3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those who are subject to a trading blackout, Rule 10b5-1 Plans may only be adopted, amended, or terminated during an open trading window (i.e. outside of any quarterly or special blackout period) and when the individual certifies that they are not in possession of material nonpublic information. Early termination of a plan is strongly discouraged and subject to Company approval.</w:t>
      </w:r>
    </w:p>
    <w:p>
      <w:pPr>
        <w:spacing w:after="0" w:line="183" w:lineRule="exact"/>
        <w:rPr>
          <w:rFonts w:ascii="Times New Roman" w:cs="Times New Roman" w:eastAsia="Times New Roman" w:hAnsi="Times New Roman"/>
          <w:sz w:val="21"/>
          <w:szCs w:val="21"/>
          <w:color w:val="auto"/>
        </w:rPr>
      </w:pPr>
    </w:p>
    <w:p>
      <w:pPr>
        <w:ind w:left="1060" w:right="660" w:hanging="315"/>
        <w:spacing w:after="0" w:line="256" w:lineRule="auto"/>
        <w:tabs>
          <w:tab w:leader="none" w:pos="1055" w:val="left"/>
        </w:tabs>
        <w:numPr>
          <w:ilvl w:val="0"/>
          <w:numId w:val="3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policy does not apply to any trading plan or arrangement that is initiated by the Company itself, including plans pertaining to the Company’s stock repurchase programs.</w:t>
      </w:r>
    </w:p>
    <w:p>
      <w:pPr>
        <w:spacing w:after="0" w:line="1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u w:val="single" w:color="auto"/>
          <w:color w:val="auto"/>
        </w:rPr>
        <w:t>Anti-Hedging Policy</w:t>
      </w:r>
    </w:p>
    <w:p>
      <w:pPr>
        <w:spacing w:after="0" w:line="78" w:lineRule="exact"/>
        <w:rPr>
          <w:sz w:val="20"/>
          <w:szCs w:val="20"/>
          <w:color w:val="auto"/>
        </w:rPr>
      </w:pPr>
    </w:p>
    <w:p>
      <w:pPr>
        <w:ind w:left="120" w:right="220" w:firstLine="601"/>
        <w:spacing w:after="0" w:line="236" w:lineRule="auto"/>
        <w:rPr>
          <w:sz w:val="20"/>
          <w:szCs w:val="20"/>
          <w:color w:val="auto"/>
        </w:rPr>
      </w:pPr>
      <w:r>
        <w:rPr>
          <w:rFonts w:ascii="Times New Roman" w:cs="Times New Roman" w:eastAsia="Times New Roman" w:hAnsi="Times New Roman"/>
          <w:sz w:val="21"/>
          <w:szCs w:val="21"/>
          <w:color w:val="auto"/>
        </w:rPr>
        <w:t>Employees, executive officers and directors may not, directly or indirectly, engage in any kind of hedging transaction that could reduce or limit their economic risk with respect to their holdings, ownership or interest in the securities of NRG, including without limitation outstanding stock options, stock appreciation rights or other compensation awards, the value of which are derived from, referenced to or based on the value or market price of securities of NRG. Prohibited transactions include the purchase of financial instruments, including, without limitation, prepaid variable forward contracts, equity swaps, collars, puts, calls, options, or other derivative securities for the purpose of hedging or offsetting economic risk associated with owning NRG stock. Prohibited transactions also include short selling NRG’s securities and transferring or pledging NRG’s securities into exchange funds or swap funds for hedging purposes.</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u w:val="single" w:color="auto"/>
          <w:color w:val="auto"/>
        </w:rPr>
        <w:t>Anti-Pledging Policy</w:t>
      </w:r>
    </w:p>
    <w:p>
      <w:pPr>
        <w:spacing w:after="0" w:line="210" w:lineRule="exact"/>
        <w:rPr>
          <w:sz w:val="20"/>
          <w:szCs w:val="20"/>
          <w:color w:val="auto"/>
        </w:rPr>
      </w:pPr>
    </w:p>
    <w:p>
      <w:pPr>
        <w:ind w:left="120" w:right="700" w:firstLine="632"/>
        <w:spacing w:after="0" w:line="269" w:lineRule="auto"/>
        <w:rPr>
          <w:sz w:val="20"/>
          <w:szCs w:val="20"/>
          <w:color w:val="auto"/>
        </w:rPr>
      </w:pPr>
      <w:r>
        <w:rPr>
          <w:rFonts w:ascii="Times New Roman" w:cs="Times New Roman" w:eastAsia="Times New Roman" w:hAnsi="Times New Roman"/>
          <w:sz w:val="21"/>
          <w:szCs w:val="21"/>
          <w:color w:val="auto"/>
        </w:rPr>
        <w:t>Employees, executive officers and directors may not, directly or indirectly, engage in any transaction in which the securities of NRG are being pledged.</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u w:val="single" w:color="auto"/>
          <w:color w:val="auto"/>
        </w:rPr>
        <w:t>Contacts</w:t>
      </w:r>
    </w:p>
    <w:p>
      <w:pPr>
        <w:spacing w:after="0" w:line="21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For assistance with any of the matters discussed in this memorandum, please contact the Office of the General Counsel.</w:t>
      </w:r>
    </w:p>
    <w:p>
      <w:pPr>
        <w:spacing w:after="0" w:line="2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u w:val="single" w:color="auto"/>
          <w:color w:val="auto"/>
        </w:rPr>
        <w:t>Document Revisions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60" w:type="dxa"/>
            <w:vAlign w:val="bottom"/>
            <w:tcBorders>
              <w:right w:val="single" w:sz="8" w:color="auto"/>
            </w:tcBorders>
          </w:tcPr>
          <w:p>
            <w:pPr>
              <w:spacing w:after="0"/>
              <w:rPr>
                <w:sz w:val="24"/>
                <w:szCs w:val="24"/>
                <w:color w:val="auto"/>
              </w:rPr>
            </w:pPr>
          </w:p>
        </w:tc>
        <w:tc>
          <w:tcPr>
            <w:tcW w:w="27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Version Number</w:t>
            </w:r>
          </w:p>
        </w:tc>
        <w:tc>
          <w:tcPr>
            <w:tcW w:w="27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Description</w:t>
            </w:r>
          </w:p>
        </w:tc>
        <w:tc>
          <w:tcPr>
            <w:tcW w:w="27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Date of Change</w:t>
            </w:r>
          </w:p>
        </w:tc>
        <w:tc>
          <w:tcPr>
            <w:tcW w:w="27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Changed by</w:t>
            </w:r>
          </w:p>
        </w:tc>
      </w:tr>
      <w:tr>
        <w:trPr>
          <w:trHeight w:val="276"/>
        </w:trPr>
        <w:tc>
          <w:tcPr>
            <w:tcW w:w="60" w:type="dxa"/>
            <w:vAlign w:val="bottom"/>
            <w:tcBorders>
              <w:right w:val="single" w:sz="8" w:color="auto"/>
            </w:tcBorders>
          </w:tcPr>
          <w:p>
            <w:pPr>
              <w:spacing w:after="0"/>
              <w:rPr>
                <w:sz w:val="23"/>
                <w:szCs w:val="23"/>
                <w:color w:val="auto"/>
              </w:rPr>
            </w:pPr>
          </w:p>
        </w:tc>
        <w:tc>
          <w:tcPr>
            <w:tcW w:w="27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1.0</w:t>
            </w:r>
          </w:p>
        </w:tc>
        <w:tc>
          <w:tcPr>
            <w:tcW w:w="2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Insider Trading Policy</w:t>
            </w:r>
          </w:p>
        </w:tc>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February 22, 2024</w:t>
            </w:r>
          </w:p>
        </w:tc>
        <w:tc>
          <w:tcPr>
            <w:tcW w:w="2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Office of the General Counsel</w:t>
            </w:r>
          </w:p>
        </w:tc>
      </w:tr>
      <w:tr>
        <w:trPr>
          <w:trHeight w:val="283"/>
        </w:trPr>
        <w:tc>
          <w:tcPr>
            <w:tcW w:w="60" w:type="dxa"/>
            <w:vAlign w:val="bottom"/>
            <w:tcBorders>
              <w:right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1.1</w:t>
            </w:r>
          </w:p>
        </w:tc>
        <w:tc>
          <w:tcPr>
            <w:tcW w:w="2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Insider Trading Policy</w:t>
            </w:r>
          </w:p>
        </w:tc>
        <w:tc>
          <w:tcPr>
            <w:tcW w:w="2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February 18, 2026</w:t>
            </w:r>
          </w:p>
        </w:tc>
        <w:tc>
          <w:tcPr>
            <w:tcW w:w="2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Office of the General Counsel</w:t>
            </w:r>
          </w:p>
        </w:tc>
      </w:tr>
      <w:tr>
        <w:trPr>
          <w:trHeight w:val="946"/>
        </w:trPr>
        <w:tc>
          <w:tcPr>
            <w:tcW w:w="2780" w:type="dxa"/>
            <w:vAlign w:val="bottom"/>
            <w:gridSpan w:val="2"/>
          </w:tcPr>
          <w:p>
            <w:pPr>
              <w:jc w:val="right"/>
              <w:ind w:right="2575"/>
              <w:spacing w:after="0"/>
              <w:rPr>
                <w:sz w:val="20"/>
                <w:szCs w:val="20"/>
                <w:color w:val="auto"/>
              </w:rPr>
            </w:pPr>
            <w:r>
              <w:rPr>
                <w:rFonts w:ascii="Times New Roman" w:cs="Times New Roman" w:eastAsia="Times New Roman" w:hAnsi="Times New Roman"/>
                <w:sz w:val="21"/>
                <w:szCs w:val="21"/>
                <w:color w:val="auto"/>
                <w:w w:val="75"/>
              </w:rPr>
              <w:t>6</w:t>
            </w:r>
          </w:p>
        </w:tc>
        <w:tc>
          <w:tcPr>
            <w:tcW w:w="27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760" w:type="dxa"/>
            <w:vAlign w:val="bottom"/>
          </w:tcPr>
          <w:p>
            <w:pPr>
              <w:spacing w:after="0"/>
              <w:rPr>
                <w:sz w:val="24"/>
                <w:szCs w:val="24"/>
                <w:color w:val="auto"/>
              </w:rPr>
            </w:pPr>
          </w:p>
        </w:tc>
      </w:tr>
    </w:tbl>
    <w:p>
      <w:pPr>
        <w:sectPr>
          <w:pgSz w:w="11900" w:h="16838" w:orient="portrait"/>
          <w:cols w:equalWidth="0" w:num="1">
            <w:col w:w="11040"/>
          </w:cols>
          <w:pgMar w:left="400" w:top="1388" w:right="459" w:bottom="1440" w:gutter="0" w:footer="0" w:header="0"/>
        </w:sectPr>
      </w:pPr>
    </w:p>
    <w:bookmarkStart w:id="319" w:name="page320"/>
    <w:bookmarkEnd w:id="31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72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SUBSIDIARIES OF NRG ENERGY, INC.</w:t>
            </w:r>
          </w:p>
        </w:tc>
      </w:tr>
      <w:tr>
        <w:trPr>
          <w:trHeight w:val="468"/>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ENTITY NAME</w:t>
            </w:r>
          </w:p>
        </w:tc>
        <w:tc>
          <w:tcPr>
            <w:tcW w:w="454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JURISDICTION</w:t>
            </w:r>
          </w:p>
        </w:tc>
      </w:tr>
      <w:tr>
        <w:trPr>
          <w:trHeight w:val="217"/>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3279405 Nova Scotia Company</w:t>
            </w:r>
          </w:p>
        </w:tc>
        <w:tc>
          <w:tcPr>
            <w:tcW w:w="4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Nova Scotia</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3283764 Nova Scotia Company</w:t>
            </w:r>
          </w:p>
        </w:tc>
        <w:tc>
          <w:tcPr>
            <w:tcW w:w="4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tcPr>
          <w:p>
            <w:pPr>
              <w:ind w:left="20"/>
              <w:spacing w:after="0"/>
              <w:rPr>
                <w:sz w:val="20"/>
                <w:szCs w:val="20"/>
                <w:color w:val="auto"/>
              </w:rPr>
            </w:pPr>
            <w:r>
              <w:rPr>
                <w:rFonts w:ascii="Arial" w:cs="Arial" w:eastAsia="Arial" w:hAnsi="Arial"/>
                <w:sz w:val="18"/>
                <w:szCs w:val="18"/>
                <w:color w:val="auto"/>
              </w:rPr>
              <w:t>Nova Scotia</w:t>
            </w:r>
          </w:p>
        </w:tc>
      </w:tr>
      <w:tr>
        <w:trPr>
          <w:trHeight w:val="224"/>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7549709 Canada Inc.</w:t>
            </w:r>
          </w:p>
        </w:tc>
        <w:tc>
          <w:tcPr>
            <w:tcW w:w="4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Ontario</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7644868 Canada Inc.</w:t>
            </w:r>
          </w:p>
        </w:tc>
        <w:tc>
          <w:tcPr>
            <w:tcW w:w="4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tcPr>
          <w:p>
            <w:pPr>
              <w:ind w:left="20"/>
              <w:spacing w:after="0"/>
              <w:rPr>
                <w:sz w:val="20"/>
                <w:szCs w:val="20"/>
                <w:color w:val="auto"/>
              </w:rPr>
            </w:pPr>
            <w:r>
              <w:rPr>
                <w:rFonts w:ascii="Arial" w:cs="Arial" w:eastAsia="Arial" w:hAnsi="Arial"/>
                <w:sz w:val="18"/>
                <w:szCs w:val="18"/>
                <w:color w:val="auto"/>
              </w:rPr>
              <w:t>Ontario</w:t>
            </w:r>
          </w:p>
        </w:tc>
      </w:tr>
      <w:tr>
        <w:trPr>
          <w:trHeight w:val="224"/>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7711565 Canada Inc.</w:t>
            </w:r>
          </w:p>
        </w:tc>
        <w:tc>
          <w:tcPr>
            <w:tcW w:w="4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Ontario</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Ace Energy, Inc.</w:t>
            </w:r>
          </w:p>
        </w:tc>
        <w:tc>
          <w:tcPr>
            <w:tcW w:w="4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24"/>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Aev Projects LLC</w:t>
            </w:r>
          </w:p>
        </w:tc>
        <w:tc>
          <w:tcPr>
            <w:tcW w:w="4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Allied Home Warranty GP LLC</w:t>
            </w:r>
          </w:p>
        </w:tc>
        <w:tc>
          <w:tcPr>
            <w:tcW w:w="4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Allied Warranty LLC</w:t>
            </w:r>
          </w:p>
        </w:tc>
        <w:tc>
          <w:tcPr>
            <w:tcW w:w="4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APX Group LLC</w:t>
            </w:r>
          </w:p>
        </w:tc>
        <w:tc>
          <w:tcPr>
            <w:tcW w:w="4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Astoria Gas Turbine Power LLC</w:t>
            </w:r>
          </w:p>
        </w:tc>
        <w:tc>
          <w:tcPr>
            <w:tcW w:w="4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AWHR America's Water Heater Rentals, L.L.C.</w:t>
            </w:r>
          </w:p>
        </w:tc>
        <w:tc>
          <w:tcPr>
            <w:tcW w:w="4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Beheer-en Beleggingsmaatschappij Plogema B.V.</w:t>
            </w:r>
          </w:p>
        </w:tc>
        <w:tc>
          <w:tcPr>
            <w:tcW w:w="4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Netherlands</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Berrians Holdings LLC</w:t>
            </w:r>
          </w:p>
        </w:tc>
        <w:tc>
          <w:tcPr>
            <w:tcW w:w="4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Berrians I Gas Turbine Power LLC</w:t>
            </w:r>
          </w:p>
        </w:tc>
        <w:tc>
          <w:tcPr>
            <w:tcW w:w="4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Bloom Data Solutions LLC</w:t>
            </w:r>
          </w:p>
        </w:tc>
        <w:tc>
          <w:tcPr>
            <w:tcW w:w="4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Bluewater Wind Delaware LLC</w:t>
            </w:r>
          </w:p>
        </w:tc>
        <w:tc>
          <w:tcPr>
            <w:tcW w:w="4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Bounce Energy, Inc.</w:t>
            </w:r>
          </w:p>
        </w:tc>
        <w:tc>
          <w:tcPr>
            <w:tcW w:w="4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Cabrillo Power I LLC</w:t>
            </w:r>
          </w:p>
        </w:tc>
        <w:tc>
          <w:tcPr>
            <w:tcW w:w="4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Cabrillo Power II LLC</w:t>
            </w:r>
          </w:p>
        </w:tc>
        <w:tc>
          <w:tcPr>
            <w:tcW w:w="4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Calumet Data Solutions LLC</w:t>
            </w:r>
          </w:p>
        </w:tc>
        <w:tc>
          <w:tcPr>
            <w:tcW w:w="4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Cedar Bayou 5 Holdings LLC</w:t>
            </w:r>
          </w:p>
        </w:tc>
        <w:tc>
          <w:tcPr>
            <w:tcW w:w="4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Chamon Power LLC</w:t>
            </w:r>
          </w:p>
        </w:tc>
        <w:tc>
          <w:tcPr>
            <w:tcW w:w="4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Choose Who You Use, Inc.</w:t>
            </w:r>
          </w:p>
        </w:tc>
        <w:tc>
          <w:tcPr>
            <w:tcW w:w="4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tcPr>
          <w:p>
            <w:pPr>
              <w:ind w:left="20"/>
              <w:spacing w:after="0"/>
              <w:rPr>
                <w:sz w:val="20"/>
                <w:szCs w:val="20"/>
                <w:color w:val="auto"/>
              </w:rPr>
            </w:pPr>
            <w:r>
              <w:rPr>
                <w:rFonts w:ascii="Arial" w:cs="Arial" w:eastAsia="Arial" w:hAnsi="Arial"/>
                <w:sz w:val="18"/>
                <w:szCs w:val="18"/>
                <w:color w:val="auto"/>
              </w:rPr>
              <w:t>Pennsylvania</w:t>
            </w:r>
          </w:p>
        </w:tc>
      </w:tr>
      <w:tr>
        <w:trPr>
          <w:trHeight w:val="224"/>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Cirro Energy Services, Inc.</w:t>
            </w:r>
          </w:p>
        </w:tc>
        <w:tc>
          <w:tcPr>
            <w:tcW w:w="4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Cirro Group, Inc.</w:t>
            </w:r>
          </w:p>
        </w:tc>
        <w:tc>
          <w:tcPr>
            <w:tcW w:w="4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24"/>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Collins Data Solutions LLC</w:t>
            </w:r>
          </w:p>
        </w:tc>
        <w:tc>
          <w:tcPr>
            <w:tcW w:w="4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CPL Retail Energy L.P.</w:t>
            </w:r>
          </w:p>
        </w:tc>
        <w:tc>
          <w:tcPr>
            <w:tcW w:w="4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Energy (B.C.) Limited</w:t>
            </w:r>
          </w:p>
        </w:tc>
        <w:tc>
          <w:tcPr>
            <w:tcW w:w="4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British Columbia</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Direct Energy Business, LLC</w:t>
            </w:r>
          </w:p>
        </w:tc>
        <w:tc>
          <w:tcPr>
            <w:tcW w:w="4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Energy Connected Home Canada Inc.</w:t>
            </w:r>
          </w:p>
        </w:tc>
        <w:tc>
          <w:tcPr>
            <w:tcW w:w="4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Alberta</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Direct Energy Connected Home US Inc.</w:t>
            </w:r>
          </w:p>
        </w:tc>
        <w:tc>
          <w:tcPr>
            <w:tcW w:w="4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Energy GP, LLC</w:t>
            </w:r>
          </w:p>
        </w:tc>
        <w:tc>
          <w:tcPr>
            <w:tcW w:w="4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Direct Energy HoldCo GP LLC</w:t>
            </w:r>
          </w:p>
        </w:tc>
        <w:tc>
          <w:tcPr>
            <w:tcW w:w="4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Energy Holdings (Alberta) Inc.</w:t>
            </w:r>
          </w:p>
        </w:tc>
        <w:tc>
          <w:tcPr>
            <w:tcW w:w="4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Alberta</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Direct Energy Leasing, LLC</w:t>
            </w:r>
          </w:p>
        </w:tc>
        <w:tc>
          <w:tcPr>
            <w:tcW w:w="4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Energy Marketing Limited</w:t>
            </w:r>
          </w:p>
        </w:tc>
        <w:tc>
          <w:tcPr>
            <w:tcW w:w="4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Ontario</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Direct Energy Marketing LLC</w:t>
            </w:r>
          </w:p>
        </w:tc>
        <w:tc>
          <w:tcPr>
            <w:tcW w:w="4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Energy Operations, LLC</w:t>
            </w:r>
          </w:p>
        </w:tc>
        <w:tc>
          <w:tcPr>
            <w:tcW w:w="4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382" w:right="339" w:bottom="1440" w:gutter="0" w:footer="0" w:header="0"/>
        </w:sectPr>
      </w:pPr>
    </w:p>
    <w:bookmarkStart w:id="320" w:name="page321"/>
    <w:bookmarkEnd w:id="3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80" w:type="dxa"/>
            <w:vAlign w:val="bottom"/>
          </w:tcPr>
          <w:p>
            <w:pPr>
              <w:ind w:left="20"/>
              <w:spacing w:after="0"/>
              <w:rPr>
                <w:sz w:val="20"/>
                <w:szCs w:val="20"/>
                <w:color w:val="auto"/>
              </w:rPr>
            </w:pPr>
            <w:r>
              <w:rPr>
                <w:rFonts w:ascii="Arial" w:cs="Arial" w:eastAsia="Arial" w:hAnsi="Arial"/>
                <w:sz w:val="18"/>
                <w:szCs w:val="18"/>
                <w:color w:val="auto"/>
              </w:rPr>
              <w:t>Direct Energy Partnership</w:t>
            </w:r>
          </w:p>
        </w:tc>
        <w:tc>
          <w:tcPr>
            <w:tcW w:w="5360" w:type="dxa"/>
            <w:vAlign w:val="bottom"/>
          </w:tcPr>
          <w:p>
            <w:pPr>
              <w:ind w:left="2800"/>
              <w:spacing w:after="0"/>
              <w:rPr>
                <w:sz w:val="20"/>
                <w:szCs w:val="20"/>
                <w:color w:val="auto"/>
              </w:rPr>
            </w:pPr>
            <w:r>
              <w:rPr>
                <w:rFonts w:ascii="Arial" w:cs="Arial" w:eastAsia="Arial" w:hAnsi="Arial"/>
                <w:sz w:val="18"/>
                <w:szCs w:val="18"/>
                <w:color w:val="auto"/>
              </w:rPr>
              <w:t>Alberta</w:t>
            </w:r>
          </w:p>
        </w:tc>
      </w:tr>
      <w:tr>
        <w:trPr>
          <w:trHeight w:val="224"/>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Energy Services, LLC</w:t>
            </w:r>
          </w:p>
        </w:tc>
        <w:tc>
          <w:tcPr>
            <w:tcW w:w="53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Delaware</w:t>
            </w:r>
          </w:p>
        </w:tc>
      </w:tr>
      <w:tr>
        <w:trPr>
          <w:trHeight w:val="224"/>
        </w:trPr>
        <w:tc>
          <w:tcPr>
            <w:tcW w:w="5880" w:type="dxa"/>
            <w:vAlign w:val="bottom"/>
          </w:tcPr>
          <w:p>
            <w:pPr>
              <w:ind w:left="20"/>
              <w:spacing w:after="0"/>
              <w:rPr>
                <w:sz w:val="20"/>
                <w:szCs w:val="20"/>
                <w:color w:val="auto"/>
              </w:rPr>
            </w:pPr>
            <w:r>
              <w:rPr>
                <w:rFonts w:ascii="Arial" w:cs="Arial" w:eastAsia="Arial" w:hAnsi="Arial"/>
                <w:sz w:val="18"/>
                <w:szCs w:val="18"/>
                <w:color w:val="auto"/>
              </w:rPr>
              <w:t>Direct Energy US Holdings LLC</w:t>
            </w:r>
          </w:p>
        </w:tc>
        <w:tc>
          <w:tcPr>
            <w:tcW w:w="5360" w:type="dxa"/>
            <w:vAlign w:val="bottom"/>
          </w:tcPr>
          <w:p>
            <w:pPr>
              <w:ind w:left="2800"/>
              <w:spacing w:after="0"/>
              <w:rPr>
                <w:sz w:val="20"/>
                <w:szCs w:val="20"/>
                <w:color w:val="auto"/>
              </w:rPr>
            </w:pPr>
            <w:r>
              <w:rPr>
                <w:rFonts w:ascii="Arial" w:cs="Arial" w:eastAsia="Arial" w:hAnsi="Arial"/>
                <w:sz w:val="18"/>
                <w:szCs w:val="18"/>
                <w:color w:val="auto"/>
              </w:rPr>
              <w:t>Delaware</w:t>
            </w:r>
          </w:p>
        </w:tc>
      </w:tr>
      <w:tr>
        <w:trPr>
          <w:trHeight w:val="224"/>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Energy, LP</w:t>
            </w:r>
          </w:p>
        </w:tc>
        <w:tc>
          <w:tcPr>
            <w:tcW w:w="53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Texas</w:t>
            </w:r>
          </w:p>
        </w:tc>
      </w:tr>
      <w:tr>
        <w:trPr>
          <w:trHeight w:val="224"/>
        </w:trPr>
        <w:tc>
          <w:tcPr>
            <w:tcW w:w="5880" w:type="dxa"/>
            <w:vAlign w:val="bottom"/>
          </w:tcPr>
          <w:p>
            <w:pPr>
              <w:ind w:left="20"/>
              <w:spacing w:after="0"/>
              <w:rPr>
                <w:sz w:val="20"/>
                <w:szCs w:val="20"/>
                <w:color w:val="auto"/>
              </w:rPr>
            </w:pPr>
            <w:r>
              <w:rPr>
                <w:rFonts w:ascii="Arial" w:cs="Arial" w:eastAsia="Arial" w:hAnsi="Arial"/>
                <w:sz w:val="18"/>
                <w:szCs w:val="18"/>
                <w:color w:val="auto"/>
              </w:rPr>
              <w:t>Dunkirk Gas Corporation</w:t>
            </w:r>
          </w:p>
        </w:tc>
        <w:tc>
          <w:tcPr>
            <w:tcW w:w="5360" w:type="dxa"/>
            <w:vAlign w:val="bottom"/>
          </w:tcPr>
          <w:p>
            <w:pPr>
              <w:ind w:left="2800"/>
              <w:spacing w:after="0"/>
              <w:rPr>
                <w:sz w:val="20"/>
                <w:szCs w:val="20"/>
                <w:color w:val="auto"/>
              </w:rPr>
            </w:pPr>
            <w:r>
              <w:rPr>
                <w:rFonts w:ascii="Arial" w:cs="Arial" w:eastAsia="Arial" w:hAnsi="Arial"/>
                <w:sz w:val="18"/>
                <w:szCs w:val="18"/>
                <w:color w:val="auto"/>
              </w:rPr>
              <w:t>New York</w:t>
            </w:r>
          </w:p>
        </w:tc>
      </w:tr>
      <w:tr>
        <w:trPr>
          <w:trHeight w:val="224"/>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Dunkirk Power LLC</w:t>
            </w:r>
          </w:p>
        </w:tc>
        <w:tc>
          <w:tcPr>
            <w:tcW w:w="53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Delaware</w:t>
            </w:r>
          </w:p>
        </w:tc>
      </w:tr>
      <w:tr>
        <w:trPr>
          <w:trHeight w:val="224"/>
        </w:trPr>
        <w:tc>
          <w:tcPr>
            <w:tcW w:w="5880" w:type="dxa"/>
            <w:vAlign w:val="bottom"/>
          </w:tcPr>
          <w:p>
            <w:pPr>
              <w:ind w:left="20"/>
              <w:spacing w:after="0"/>
              <w:rPr>
                <w:sz w:val="20"/>
                <w:szCs w:val="20"/>
                <w:color w:val="auto"/>
              </w:rPr>
            </w:pPr>
            <w:r>
              <w:rPr>
                <w:rFonts w:ascii="Arial" w:cs="Arial" w:eastAsia="Arial" w:hAnsi="Arial"/>
                <w:sz w:val="18"/>
                <w:szCs w:val="18"/>
                <w:color w:val="auto"/>
              </w:rPr>
              <w:t>Eastern Sierra Energy Company LLC</w:t>
            </w:r>
          </w:p>
        </w:tc>
        <w:tc>
          <w:tcPr>
            <w:tcW w:w="5360" w:type="dxa"/>
            <w:vAlign w:val="bottom"/>
          </w:tcPr>
          <w:p>
            <w:pPr>
              <w:ind w:left="2800"/>
              <w:spacing w:after="0"/>
              <w:rPr>
                <w:sz w:val="20"/>
                <w:szCs w:val="20"/>
                <w:color w:val="auto"/>
              </w:rPr>
            </w:pPr>
            <w:r>
              <w:rPr>
                <w:rFonts w:ascii="Arial" w:cs="Arial" w:eastAsia="Arial" w:hAnsi="Arial"/>
                <w:sz w:val="18"/>
                <w:szCs w:val="18"/>
                <w:color w:val="auto"/>
              </w:rPr>
              <w:t>California</w:t>
            </w:r>
          </w:p>
        </w:tc>
      </w:tr>
      <w:tr>
        <w:trPr>
          <w:trHeight w:val="224"/>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Ecokap Power LLC</w:t>
            </w:r>
          </w:p>
        </w:tc>
        <w:tc>
          <w:tcPr>
            <w:tcW w:w="53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Delaware</w:t>
            </w:r>
          </w:p>
        </w:tc>
      </w:tr>
      <w:tr>
        <w:trPr>
          <w:trHeight w:val="224"/>
        </w:trPr>
        <w:tc>
          <w:tcPr>
            <w:tcW w:w="5880" w:type="dxa"/>
            <w:vAlign w:val="bottom"/>
          </w:tcPr>
          <w:p>
            <w:pPr>
              <w:ind w:left="20"/>
              <w:spacing w:after="0"/>
              <w:rPr>
                <w:sz w:val="20"/>
                <w:szCs w:val="20"/>
                <w:color w:val="auto"/>
              </w:rPr>
            </w:pPr>
            <w:r>
              <w:rPr>
                <w:rFonts w:ascii="Arial" w:cs="Arial" w:eastAsia="Arial" w:hAnsi="Arial"/>
                <w:sz w:val="18"/>
                <w:szCs w:val="18"/>
                <w:color w:val="auto"/>
              </w:rPr>
              <w:t>El Segundo Energy Center II LLC</w:t>
            </w:r>
          </w:p>
        </w:tc>
        <w:tc>
          <w:tcPr>
            <w:tcW w:w="5360" w:type="dxa"/>
            <w:vAlign w:val="bottom"/>
          </w:tcPr>
          <w:p>
            <w:pPr>
              <w:ind w:left="2800"/>
              <w:spacing w:after="0"/>
              <w:rPr>
                <w:sz w:val="20"/>
                <w:szCs w:val="20"/>
                <w:color w:val="auto"/>
              </w:rPr>
            </w:pPr>
            <w:r>
              <w:rPr>
                <w:rFonts w:ascii="Arial" w:cs="Arial" w:eastAsia="Arial" w:hAnsi="Arial"/>
                <w:sz w:val="18"/>
                <w:szCs w:val="18"/>
                <w:color w:val="auto"/>
              </w:rPr>
              <w:t>Delaware</w:t>
            </w:r>
          </w:p>
        </w:tc>
      </w:tr>
      <w:tr>
        <w:trPr>
          <w:trHeight w:val="224"/>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 Segundo Power II LLC</w:t>
            </w:r>
          </w:p>
        </w:tc>
        <w:tc>
          <w:tcPr>
            <w:tcW w:w="53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Delaware</w:t>
            </w:r>
          </w:p>
        </w:tc>
      </w:tr>
      <w:tr>
        <w:trPr>
          <w:trHeight w:val="224"/>
        </w:trPr>
        <w:tc>
          <w:tcPr>
            <w:tcW w:w="5880" w:type="dxa"/>
            <w:vAlign w:val="bottom"/>
          </w:tcPr>
          <w:p>
            <w:pPr>
              <w:ind w:left="20"/>
              <w:spacing w:after="0"/>
              <w:rPr>
                <w:sz w:val="20"/>
                <w:szCs w:val="20"/>
                <w:color w:val="auto"/>
              </w:rPr>
            </w:pPr>
            <w:r>
              <w:rPr>
                <w:rFonts w:ascii="Arial" w:cs="Arial" w:eastAsia="Arial" w:hAnsi="Arial"/>
                <w:sz w:val="18"/>
                <w:szCs w:val="18"/>
                <w:color w:val="auto"/>
              </w:rPr>
              <w:t>El Segundo Power, LLC</w:t>
            </w:r>
          </w:p>
        </w:tc>
        <w:tc>
          <w:tcPr>
            <w:tcW w:w="5360" w:type="dxa"/>
            <w:vAlign w:val="bottom"/>
          </w:tcPr>
          <w:p>
            <w:pPr>
              <w:ind w:left="2800"/>
              <w:spacing w:after="0"/>
              <w:rPr>
                <w:sz w:val="20"/>
                <w:szCs w:val="20"/>
                <w:color w:val="auto"/>
              </w:rPr>
            </w:pPr>
            <w:r>
              <w:rPr>
                <w:rFonts w:ascii="Arial" w:cs="Arial" w:eastAsia="Arial" w:hAnsi="Arial"/>
                <w:sz w:val="18"/>
                <w:szCs w:val="18"/>
                <w:color w:val="auto"/>
              </w:rPr>
              <w:t>Delaware</w:t>
            </w:r>
          </w:p>
        </w:tc>
      </w:tr>
      <w:tr>
        <w:trPr>
          <w:trHeight w:val="224"/>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 Junction Data Solutions LLC</w:t>
            </w:r>
          </w:p>
        </w:tc>
        <w:tc>
          <w:tcPr>
            <w:tcW w:w="53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Delaware</w:t>
            </w:r>
          </w:p>
        </w:tc>
      </w:tr>
      <w:tr>
        <w:trPr>
          <w:trHeight w:val="224"/>
        </w:trPr>
        <w:tc>
          <w:tcPr>
            <w:tcW w:w="5880" w:type="dxa"/>
            <w:vAlign w:val="bottom"/>
          </w:tcPr>
          <w:p>
            <w:pPr>
              <w:ind w:left="20"/>
              <w:spacing w:after="0"/>
              <w:rPr>
                <w:sz w:val="20"/>
                <w:szCs w:val="20"/>
                <w:color w:val="auto"/>
              </w:rPr>
            </w:pPr>
            <w:r>
              <w:rPr>
                <w:rFonts w:ascii="Arial" w:cs="Arial" w:eastAsia="Arial" w:hAnsi="Arial"/>
                <w:sz w:val="18"/>
                <w:szCs w:val="18"/>
                <w:color w:val="auto"/>
              </w:rPr>
              <w:t>Energy Alternatives Wholesale, LLC</w:t>
            </w:r>
          </w:p>
        </w:tc>
        <w:tc>
          <w:tcPr>
            <w:tcW w:w="5360" w:type="dxa"/>
            <w:vAlign w:val="bottom"/>
          </w:tcPr>
          <w:p>
            <w:pPr>
              <w:ind w:left="2800"/>
              <w:spacing w:after="0"/>
              <w:rPr>
                <w:sz w:val="20"/>
                <w:szCs w:val="20"/>
                <w:color w:val="auto"/>
              </w:rPr>
            </w:pPr>
            <w:r>
              <w:rPr>
                <w:rFonts w:ascii="Arial" w:cs="Arial" w:eastAsia="Arial" w:hAnsi="Arial"/>
                <w:sz w:val="18"/>
                <w:szCs w:val="18"/>
                <w:color w:val="auto"/>
              </w:rPr>
              <w:t>Delaware</w:t>
            </w:r>
          </w:p>
        </w:tc>
      </w:tr>
      <w:tr>
        <w:trPr>
          <w:trHeight w:val="224"/>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Choice Solutions LLC</w:t>
            </w:r>
          </w:p>
        </w:tc>
        <w:tc>
          <w:tcPr>
            <w:tcW w:w="53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Texas</w:t>
            </w:r>
          </w:p>
        </w:tc>
      </w:tr>
      <w:tr>
        <w:trPr>
          <w:trHeight w:val="224"/>
        </w:trPr>
        <w:tc>
          <w:tcPr>
            <w:tcW w:w="5880" w:type="dxa"/>
            <w:vAlign w:val="bottom"/>
          </w:tcPr>
          <w:p>
            <w:pPr>
              <w:ind w:left="20"/>
              <w:spacing w:after="0"/>
              <w:rPr>
                <w:sz w:val="20"/>
                <w:szCs w:val="20"/>
                <w:color w:val="auto"/>
              </w:rPr>
            </w:pPr>
            <w:r>
              <w:rPr>
                <w:rFonts w:ascii="Arial" w:cs="Arial" w:eastAsia="Arial" w:hAnsi="Arial"/>
                <w:sz w:val="18"/>
                <w:szCs w:val="18"/>
                <w:color w:val="auto"/>
              </w:rPr>
              <w:t>Energy Plus Holdings LLC</w:t>
            </w:r>
          </w:p>
        </w:tc>
        <w:tc>
          <w:tcPr>
            <w:tcW w:w="5360" w:type="dxa"/>
            <w:vAlign w:val="bottom"/>
          </w:tcPr>
          <w:p>
            <w:pPr>
              <w:ind w:left="2800"/>
              <w:spacing w:after="0"/>
              <w:rPr>
                <w:sz w:val="20"/>
                <w:szCs w:val="20"/>
                <w:color w:val="auto"/>
              </w:rPr>
            </w:pPr>
            <w:r>
              <w:rPr>
                <w:rFonts w:ascii="Arial" w:cs="Arial" w:eastAsia="Arial" w:hAnsi="Arial"/>
                <w:sz w:val="18"/>
                <w:szCs w:val="18"/>
                <w:color w:val="auto"/>
              </w:rPr>
              <w:t>Delaware</w:t>
            </w:r>
          </w:p>
        </w:tc>
      </w:tr>
      <w:tr>
        <w:trPr>
          <w:trHeight w:val="224"/>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Plus Natural Gas LLC</w:t>
            </w:r>
          </w:p>
        </w:tc>
        <w:tc>
          <w:tcPr>
            <w:tcW w:w="53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Delaware</w:t>
            </w:r>
          </w:p>
        </w:tc>
      </w:tr>
      <w:tr>
        <w:trPr>
          <w:trHeight w:val="224"/>
        </w:trPr>
        <w:tc>
          <w:tcPr>
            <w:tcW w:w="5880" w:type="dxa"/>
            <w:vAlign w:val="bottom"/>
          </w:tcPr>
          <w:p>
            <w:pPr>
              <w:ind w:left="20"/>
              <w:spacing w:after="0"/>
              <w:rPr>
                <w:sz w:val="20"/>
                <w:szCs w:val="20"/>
                <w:color w:val="auto"/>
              </w:rPr>
            </w:pPr>
            <w:r>
              <w:rPr>
                <w:rFonts w:ascii="Arial" w:cs="Arial" w:eastAsia="Arial" w:hAnsi="Arial"/>
                <w:sz w:val="18"/>
                <w:szCs w:val="18"/>
                <w:color w:val="auto"/>
              </w:rPr>
              <w:t>Energy Protection Insurance Company</w:t>
            </w:r>
          </w:p>
        </w:tc>
        <w:tc>
          <w:tcPr>
            <w:tcW w:w="5360" w:type="dxa"/>
            <w:vAlign w:val="bottom"/>
          </w:tcPr>
          <w:p>
            <w:pPr>
              <w:ind w:left="2800"/>
              <w:spacing w:after="0"/>
              <w:rPr>
                <w:sz w:val="20"/>
                <w:szCs w:val="20"/>
                <w:color w:val="auto"/>
              </w:rPr>
            </w:pPr>
            <w:r>
              <w:rPr>
                <w:rFonts w:ascii="Arial" w:cs="Arial" w:eastAsia="Arial" w:hAnsi="Arial"/>
                <w:sz w:val="18"/>
                <w:szCs w:val="18"/>
                <w:color w:val="auto"/>
              </w:rPr>
              <w:t>Vermont</w:t>
            </w:r>
          </w:p>
        </w:tc>
      </w:tr>
      <w:tr>
        <w:trPr>
          <w:trHeight w:val="224"/>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Everything Energy LLC</w:t>
            </w:r>
          </w:p>
        </w:tc>
        <w:tc>
          <w:tcPr>
            <w:tcW w:w="53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Delaware</w:t>
            </w:r>
          </w:p>
        </w:tc>
      </w:tr>
      <w:tr>
        <w:trPr>
          <w:trHeight w:val="224"/>
        </w:trPr>
        <w:tc>
          <w:tcPr>
            <w:tcW w:w="5880" w:type="dxa"/>
            <w:vAlign w:val="bottom"/>
          </w:tcPr>
          <w:p>
            <w:pPr>
              <w:ind w:left="20"/>
              <w:spacing w:after="0"/>
              <w:rPr>
                <w:sz w:val="20"/>
                <w:szCs w:val="20"/>
                <w:color w:val="auto"/>
              </w:rPr>
            </w:pPr>
            <w:r>
              <w:rPr>
                <w:rFonts w:ascii="Arial" w:cs="Arial" w:eastAsia="Arial" w:hAnsi="Arial"/>
                <w:sz w:val="18"/>
                <w:szCs w:val="18"/>
                <w:color w:val="auto"/>
              </w:rPr>
              <w:t>First Choice Power, LLC</w:t>
            </w:r>
          </w:p>
        </w:tc>
        <w:tc>
          <w:tcPr>
            <w:tcW w:w="5360" w:type="dxa"/>
            <w:vAlign w:val="bottom"/>
          </w:tcPr>
          <w:p>
            <w:pPr>
              <w:ind w:left="2800"/>
              <w:spacing w:after="0"/>
              <w:rPr>
                <w:sz w:val="20"/>
                <w:szCs w:val="20"/>
                <w:color w:val="auto"/>
              </w:rPr>
            </w:pPr>
            <w:r>
              <w:rPr>
                <w:rFonts w:ascii="Arial" w:cs="Arial" w:eastAsia="Arial" w:hAnsi="Arial"/>
                <w:sz w:val="18"/>
                <w:szCs w:val="18"/>
                <w:color w:val="auto"/>
              </w:rPr>
              <w:t>Texas</w:t>
            </w:r>
          </w:p>
        </w:tc>
      </w:tr>
      <w:tr>
        <w:trPr>
          <w:trHeight w:val="224"/>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Forward Home Security, LLC</w:t>
            </w:r>
          </w:p>
        </w:tc>
        <w:tc>
          <w:tcPr>
            <w:tcW w:w="53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Texas</w:t>
            </w:r>
          </w:p>
        </w:tc>
      </w:tr>
      <w:tr>
        <w:trPr>
          <w:trHeight w:val="224"/>
        </w:trPr>
        <w:tc>
          <w:tcPr>
            <w:tcW w:w="5880" w:type="dxa"/>
            <w:vAlign w:val="bottom"/>
          </w:tcPr>
          <w:p>
            <w:pPr>
              <w:ind w:left="20"/>
              <w:spacing w:after="0"/>
              <w:rPr>
                <w:sz w:val="20"/>
                <w:szCs w:val="20"/>
                <w:color w:val="auto"/>
              </w:rPr>
            </w:pPr>
            <w:r>
              <w:rPr>
                <w:rFonts w:ascii="Arial" w:cs="Arial" w:eastAsia="Arial" w:hAnsi="Arial"/>
                <w:sz w:val="18"/>
                <w:szCs w:val="18"/>
                <w:color w:val="auto"/>
              </w:rPr>
              <w:t>Gateway Energy Services Corporation</w:t>
            </w:r>
          </w:p>
        </w:tc>
        <w:tc>
          <w:tcPr>
            <w:tcW w:w="5360" w:type="dxa"/>
            <w:vAlign w:val="bottom"/>
          </w:tcPr>
          <w:p>
            <w:pPr>
              <w:ind w:left="2800"/>
              <w:spacing w:after="0"/>
              <w:rPr>
                <w:sz w:val="20"/>
                <w:szCs w:val="20"/>
                <w:color w:val="auto"/>
              </w:rPr>
            </w:pPr>
            <w:r>
              <w:rPr>
                <w:rFonts w:ascii="Arial" w:cs="Arial" w:eastAsia="Arial" w:hAnsi="Arial"/>
                <w:sz w:val="18"/>
                <w:szCs w:val="18"/>
                <w:color w:val="auto"/>
              </w:rPr>
              <w:t>New York</w:t>
            </w:r>
          </w:p>
        </w:tc>
      </w:tr>
      <w:tr>
        <w:trPr>
          <w:trHeight w:val="224"/>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GCP Funding Company, LLC</w:t>
            </w:r>
          </w:p>
        </w:tc>
        <w:tc>
          <w:tcPr>
            <w:tcW w:w="53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Delaware</w:t>
            </w:r>
          </w:p>
        </w:tc>
      </w:tr>
      <w:tr>
        <w:trPr>
          <w:trHeight w:val="224"/>
        </w:trPr>
        <w:tc>
          <w:tcPr>
            <w:tcW w:w="5880" w:type="dxa"/>
            <w:vAlign w:val="bottom"/>
          </w:tcPr>
          <w:p>
            <w:pPr>
              <w:ind w:left="20"/>
              <w:spacing w:after="0"/>
              <w:rPr>
                <w:sz w:val="20"/>
                <w:szCs w:val="20"/>
                <w:color w:val="auto"/>
              </w:rPr>
            </w:pPr>
            <w:r>
              <w:rPr>
                <w:rFonts w:ascii="Arial" w:cs="Arial" w:eastAsia="Arial" w:hAnsi="Arial"/>
                <w:sz w:val="18"/>
                <w:szCs w:val="18"/>
                <w:color w:val="auto"/>
              </w:rPr>
              <w:t>Gladstone Power Station Joint Venture</w:t>
            </w:r>
          </w:p>
        </w:tc>
        <w:tc>
          <w:tcPr>
            <w:tcW w:w="5360" w:type="dxa"/>
            <w:vAlign w:val="bottom"/>
          </w:tcPr>
          <w:p>
            <w:pPr>
              <w:ind w:left="2800"/>
              <w:spacing w:after="0"/>
              <w:rPr>
                <w:sz w:val="20"/>
                <w:szCs w:val="20"/>
                <w:color w:val="auto"/>
              </w:rPr>
            </w:pPr>
            <w:r>
              <w:rPr>
                <w:rFonts w:ascii="Arial" w:cs="Arial" w:eastAsia="Arial" w:hAnsi="Arial"/>
                <w:sz w:val="18"/>
                <w:szCs w:val="18"/>
                <w:color w:val="auto"/>
              </w:rPr>
              <w:t>Australia</w:t>
            </w:r>
          </w:p>
        </w:tc>
      </w:tr>
      <w:tr>
        <w:trPr>
          <w:trHeight w:val="224"/>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Green Mountain Energy Company</w:t>
            </w:r>
          </w:p>
        </w:tc>
        <w:tc>
          <w:tcPr>
            <w:tcW w:w="53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Delaware</w:t>
            </w:r>
          </w:p>
        </w:tc>
      </w:tr>
      <w:tr>
        <w:trPr>
          <w:trHeight w:val="224"/>
        </w:trPr>
        <w:tc>
          <w:tcPr>
            <w:tcW w:w="5880" w:type="dxa"/>
            <w:vAlign w:val="bottom"/>
          </w:tcPr>
          <w:p>
            <w:pPr>
              <w:ind w:left="20"/>
              <w:spacing w:after="0"/>
              <w:rPr>
                <w:sz w:val="20"/>
                <w:szCs w:val="20"/>
                <w:color w:val="auto"/>
              </w:rPr>
            </w:pPr>
            <w:r>
              <w:rPr>
                <w:rFonts w:ascii="Arial" w:cs="Arial" w:eastAsia="Arial" w:hAnsi="Arial"/>
                <w:sz w:val="18"/>
                <w:szCs w:val="18"/>
                <w:color w:val="auto"/>
              </w:rPr>
              <w:t>Greens Bayou 6 Holdings LLC</w:t>
            </w:r>
          </w:p>
        </w:tc>
        <w:tc>
          <w:tcPr>
            <w:tcW w:w="5360" w:type="dxa"/>
            <w:vAlign w:val="bottom"/>
          </w:tcPr>
          <w:p>
            <w:pPr>
              <w:ind w:left="2800"/>
              <w:spacing w:after="0"/>
              <w:rPr>
                <w:sz w:val="20"/>
                <w:szCs w:val="20"/>
                <w:color w:val="auto"/>
              </w:rPr>
            </w:pPr>
            <w:r>
              <w:rPr>
                <w:rFonts w:ascii="Arial" w:cs="Arial" w:eastAsia="Arial" w:hAnsi="Arial"/>
                <w:sz w:val="18"/>
                <w:szCs w:val="18"/>
                <w:color w:val="auto"/>
              </w:rPr>
              <w:t>Delaware</w:t>
            </w:r>
          </w:p>
        </w:tc>
      </w:tr>
      <w:tr>
        <w:trPr>
          <w:trHeight w:val="224"/>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Hedionda Energy Storage LLC</w:t>
            </w:r>
          </w:p>
        </w:tc>
        <w:tc>
          <w:tcPr>
            <w:tcW w:w="53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Delaware</w:t>
            </w:r>
          </w:p>
        </w:tc>
      </w:tr>
      <w:tr>
        <w:trPr>
          <w:trHeight w:val="224"/>
        </w:trPr>
        <w:tc>
          <w:tcPr>
            <w:tcW w:w="5880" w:type="dxa"/>
            <w:vAlign w:val="bottom"/>
          </w:tcPr>
          <w:p>
            <w:pPr>
              <w:ind w:left="20"/>
              <w:spacing w:after="0"/>
              <w:rPr>
                <w:sz w:val="20"/>
                <w:szCs w:val="20"/>
                <w:color w:val="auto"/>
              </w:rPr>
            </w:pPr>
            <w:r>
              <w:rPr>
                <w:rFonts w:ascii="Arial" w:cs="Arial" w:eastAsia="Arial" w:hAnsi="Arial"/>
                <w:sz w:val="18"/>
                <w:szCs w:val="18"/>
                <w:color w:val="auto"/>
              </w:rPr>
              <w:t>Home Warranty Holdings Corp.</w:t>
            </w:r>
          </w:p>
        </w:tc>
        <w:tc>
          <w:tcPr>
            <w:tcW w:w="5360" w:type="dxa"/>
            <w:vAlign w:val="bottom"/>
          </w:tcPr>
          <w:p>
            <w:pPr>
              <w:ind w:left="2800"/>
              <w:spacing w:after="0"/>
              <w:rPr>
                <w:sz w:val="20"/>
                <w:szCs w:val="20"/>
                <w:color w:val="auto"/>
              </w:rPr>
            </w:pPr>
            <w:r>
              <w:rPr>
                <w:rFonts w:ascii="Arial" w:cs="Arial" w:eastAsia="Arial" w:hAnsi="Arial"/>
                <w:sz w:val="18"/>
                <w:szCs w:val="18"/>
                <w:color w:val="auto"/>
              </w:rPr>
              <w:t>Delaware</w:t>
            </w:r>
          </w:p>
        </w:tc>
      </w:tr>
      <w:tr>
        <w:trPr>
          <w:trHeight w:val="224"/>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Huntley Power LLC</w:t>
            </w:r>
          </w:p>
        </w:tc>
        <w:tc>
          <w:tcPr>
            <w:tcW w:w="53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Delaware</w:t>
            </w:r>
          </w:p>
        </w:tc>
      </w:tr>
      <w:tr>
        <w:trPr>
          <w:trHeight w:val="224"/>
        </w:trPr>
        <w:tc>
          <w:tcPr>
            <w:tcW w:w="5880" w:type="dxa"/>
            <w:vAlign w:val="bottom"/>
          </w:tcPr>
          <w:p>
            <w:pPr>
              <w:ind w:left="20"/>
              <w:spacing w:after="0"/>
              <w:rPr>
                <w:sz w:val="20"/>
                <w:szCs w:val="20"/>
                <w:color w:val="auto"/>
              </w:rPr>
            </w:pPr>
            <w:r>
              <w:rPr>
                <w:rFonts w:ascii="Arial" w:cs="Arial" w:eastAsia="Arial" w:hAnsi="Arial"/>
                <w:sz w:val="18"/>
                <w:szCs w:val="18"/>
                <w:color w:val="auto"/>
              </w:rPr>
              <w:t>Independence Energy Alliance LLC</w:t>
            </w:r>
          </w:p>
        </w:tc>
        <w:tc>
          <w:tcPr>
            <w:tcW w:w="5360" w:type="dxa"/>
            <w:vAlign w:val="bottom"/>
          </w:tcPr>
          <w:p>
            <w:pPr>
              <w:ind w:left="2800"/>
              <w:spacing w:after="0"/>
              <w:rPr>
                <w:sz w:val="20"/>
                <w:szCs w:val="20"/>
                <w:color w:val="auto"/>
              </w:rPr>
            </w:pPr>
            <w:r>
              <w:rPr>
                <w:rFonts w:ascii="Arial" w:cs="Arial" w:eastAsia="Arial" w:hAnsi="Arial"/>
                <w:sz w:val="18"/>
                <w:szCs w:val="18"/>
                <w:color w:val="auto"/>
              </w:rPr>
              <w:t>Delaware</w:t>
            </w:r>
          </w:p>
        </w:tc>
      </w:tr>
      <w:tr>
        <w:trPr>
          <w:trHeight w:val="224"/>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Independence Energy Group LLC</w:t>
            </w:r>
          </w:p>
        </w:tc>
        <w:tc>
          <w:tcPr>
            <w:tcW w:w="53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Delaware</w:t>
            </w:r>
          </w:p>
        </w:tc>
      </w:tr>
      <w:tr>
        <w:trPr>
          <w:trHeight w:val="224"/>
        </w:trPr>
        <w:tc>
          <w:tcPr>
            <w:tcW w:w="5880" w:type="dxa"/>
            <w:vAlign w:val="bottom"/>
          </w:tcPr>
          <w:p>
            <w:pPr>
              <w:ind w:left="20"/>
              <w:spacing w:after="0"/>
              <w:rPr>
                <w:sz w:val="20"/>
                <w:szCs w:val="20"/>
                <w:color w:val="auto"/>
              </w:rPr>
            </w:pPr>
            <w:r>
              <w:rPr>
                <w:rFonts w:ascii="Arial" w:cs="Arial" w:eastAsia="Arial" w:hAnsi="Arial"/>
                <w:sz w:val="18"/>
                <w:szCs w:val="18"/>
                <w:color w:val="auto"/>
              </w:rPr>
              <w:t>Independence Energy Natural Gas LLC</w:t>
            </w:r>
          </w:p>
        </w:tc>
        <w:tc>
          <w:tcPr>
            <w:tcW w:w="5360" w:type="dxa"/>
            <w:vAlign w:val="bottom"/>
          </w:tcPr>
          <w:p>
            <w:pPr>
              <w:ind w:left="2800"/>
              <w:spacing w:after="0"/>
              <w:rPr>
                <w:sz w:val="20"/>
                <w:szCs w:val="20"/>
                <w:color w:val="auto"/>
              </w:rPr>
            </w:pPr>
            <w:r>
              <w:rPr>
                <w:rFonts w:ascii="Arial" w:cs="Arial" w:eastAsia="Arial" w:hAnsi="Arial"/>
                <w:sz w:val="18"/>
                <w:szCs w:val="18"/>
                <w:color w:val="auto"/>
              </w:rPr>
              <w:t>Delaware</w:t>
            </w:r>
          </w:p>
        </w:tc>
      </w:tr>
      <w:tr>
        <w:trPr>
          <w:trHeight w:val="224"/>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Indian River Data Solutions LLC</w:t>
            </w:r>
          </w:p>
        </w:tc>
        <w:tc>
          <w:tcPr>
            <w:tcW w:w="53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Delaware</w:t>
            </w:r>
          </w:p>
        </w:tc>
      </w:tr>
      <w:tr>
        <w:trPr>
          <w:trHeight w:val="224"/>
        </w:trPr>
        <w:tc>
          <w:tcPr>
            <w:tcW w:w="5880" w:type="dxa"/>
            <w:vAlign w:val="bottom"/>
          </w:tcPr>
          <w:p>
            <w:pPr>
              <w:ind w:left="20"/>
              <w:spacing w:after="0"/>
              <w:rPr>
                <w:sz w:val="20"/>
                <w:szCs w:val="20"/>
                <w:color w:val="auto"/>
              </w:rPr>
            </w:pPr>
            <w:r>
              <w:rPr>
                <w:rFonts w:ascii="Arial" w:cs="Arial" w:eastAsia="Arial" w:hAnsi="Arial"/>
                <w:sz w:val="18"/>
                <w:szCs w:val="18"/>
                <w:color w:val="auto"/>
              </w:rPr>
              <w:t>Indian River Operations Inc.</w:t>
            </w:r>
          </w:p>
        </w:tc>
        <w:tc>
          <w:tcPr>
            <w:tcW w:w="5360" w:type="dxa"/>
            <w:vAlign w:val="bottom"/>
          </w:tcPr>
          <w:p>
            <w:pPr>
              <w:ind w:left="2800"/>
              <w:spacing w:after="0"/>
              <w:rPr>
                <w:sz w:val="20"/>
                <w:szCs w:val="20"/>
                <w:color w:val="auto"/>
              </w:rPr>
            </w:pPr>
            <w:r>
              <w:rPr>
                <w:rFonts w:ascii="Arial" w:cs="Arial" w:eastAsia="Arial" w:hAnsi="Arial"/>
                <w:sz w:val="18"/>
                <w:szCs w:val="18"/>
                <w:color w:val="auto"/>
              </w:rPr>
              <w:t>Delaware</w:t>
            </w:r>
          </w:p>
        </w:tc>
      </w:tr>
      <w:tr>
        <w:trPr>
          <w:trHeight w:val="224"/>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Indian River Power LLC</w:t>
            </w:r>
          </w:p>
        </w:tc>
        <w:tc>
          <w:tcPr>
            <w:tcW w:w="53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Delaware</w:t>
            </w:r>
          </w:p>
        </w:tc>
      </w:tr>
      <w:tr>
        <w:trPr>
          <w:trHeight w:val="224"/>
        </w:trPr>
        <w:tc>
          <w:tcPr>
            <w:tcW w:w="5880" w:type="dxa"/>
            <w:vAlign w:val="bottom"/>
          </w:tcPr>
          <w:p>
            <w:pPr>
              <w:ind w:left="20"/>
              <w:spacing w:after="0"/>
              <w:rPr>
                <w:sz w:val="20"/>
                <w:szCs w:val="20"/>
                <w:color w:val="auto"/>
              </w:rPr>
            </w:pPr>
            <w:r>
              <w:rPr>
                <w:rFonts w:ascii="Arial" w:cs="Arial" w:eastAsia="Arial" w:hAnsi="Arial"/>
                <w:sz w:val="18"/>
                <w:szCs w:val="18"/>
                <w:color w:val="auto"/>
              </w:rPr>
              <w:t>Ivanpah Master Holdings, LLC</w:t>
            </w:r>
          </w:p>
        </w:tc>
        <w:tc>
          <w:tcPr>
            <w:tcW w:w="5360" w:type="dxa"/>
            <w:vAlign w:val="bottom"/>
          </w:tcPr>
          <w:p>
            <w:pPr>
              <w:ind w:left="2800"/>
              <w:spacing w:after="0"/>
              <w:rPr>
                <w:sz w:val="20"/>
                <w:szCs w:val="20"/>
                <w:color w:val="auto"/>
              </w:rPr>
            </w:pPr>
            <w:r>
              <w:rPr>
                <w:rFonts w:ascii="Arial" w:cs="Arial" w:eastAsia="Arial" w:hAnsi="Arial"/>
                <w:sz w:val="18"/>
                <w:szCs w:val="18"/>
                <w:color w:val="auto"/>
              </w:rPr>
              <w:t>Delaware</w:t>
            </w:r>
          </w:p>
        </w:tc>
      </w:tr>
      <w:tr>
        <w:trPr>
          <w:trHeight w:val="224"/>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Ivanpah Project I Holdings, LLC</w:t>
            </w:r>
          </w:p>
        </w:tc>
        <w:tc>
          <w:tcPr>
            <w:tcW w:w="53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Delaware</w:t>
            </w:r>
          </w:p>
        </w:tc>
      </w:tr>
      <w:tr>
        <w:trPr>
          <w:trHeight w:val="224"/>
        </w:trPr>
        <w:tc>
          <w:tcPr>
            <w:tcW w:w="5880" w:type="dxa"/>
            <w:vAlign w:val="bottom"/>
          </w:tcPr>
          <w:p>
            <w:pPr>
              <w:ind w:left="20"/>
              <w:spacing w:after="0"/>
              <w:rPr>
                <w:sz w:val="20"/>
                <w:szCs w:val="20"/>
                <w:color w:val="auto"/>
              </w:rPr>
            </w:pPr>
            <w:r>
              <w:rPr>
                <w:rFonts w:ascii="Arial" w:cs="Arial" w:eastAsia="Arial" w:hAnsi="Arial"/>
                <w:sz w:val="18"/>
                <w:szCs w:val="18"/>
                <w:color w:val="auto"/>
              </w:rPr>
              <w:t>Ivanpah Project II Holdings, LLC</w:t>
            </w:r>
          </w:p>
        </w:tc>
        <w:tc>
          <w:tcPr>
            <w:tcW w:w="5360" w:type="dxa"/>
            <w:vAlign w:val="bottom"/>
          </w:tcPr>
          <w:p>
            <w:pPr>
              <w:ind w:left="2800"/>
              <w:spacing w:after="0"/>
              <w:rPr>
                <w:sz w:val="20"/>
                <w:szCs w:val="20"/>
                <w:color w:val="auto"/>
              </w:rPr>
            </w:pPr>
            <w:r>
              <w:rPr>
                <w:rFonts w:ascii="Arial" w:cs="Arial" w:eastAsia="Arial" w:hAnsi="Arial"/>
                <w:sz w:val="18"/>
                <w:szCs w:val="18"/>
                <w:color w:val="auto"/>
              </w:rPr>
              <w:t>Delaware</w:t>
            </w:r>
          </w:p>
        </w:tc>
      </w:tr>
      <w:tr>
        <w:trPr>
          <w:trHeight w:val="224"/>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Ivanpah Project III Holdings, LLC</w:t>
            </w:r>
          </w:p>
        </w:tc>
        <w:tc>
          <w:tcPr>
            <w:tcW w:w="53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Delaware</w:t>
            </w:r>
          </w:p>
        </w:tc>
      </w:tr>
      <w:tr>
        <w:trPr>
          <w:trHeight w:val="224"/>
        </w:trPr>
        <w:tc>
          <w:tcPr>
            <w:tcW w:w="5880" w:type="dxa"/>
            <w:vAlign w:val="bottom"/>
          </w:tcPr>
          <w:p>
            <w:pPr>
              <w:ind w:left="20"/>
              <w:spacing w:after="0"/>
              <w:rPr>
                <w:sz w:val="20"/>
                <w:szCs w:val="20"/>
                <w:color w:val="auto"/>
              </w:rPr>
            </w:pPr>
            <w:r>
              <w:rPr>
                <w:rFonts w:ascii="Arial" w:cs="Arial" w:eastAsia="Arial" w:hAnsi="Arial"/>
                <w:sz w:val="18"/>
                <w:szCs w:val="18"/>
                <w:color w:val="auto"/>
              </w:rPr>
              <w:t>Jewett Data Solutions LLC</w:t>
            </w:r>
          </w:p>
        </w:tc>
        <w:tc>
          <w:tcPr>
            <w:tcW w:w="5360" w:type="dxa"/>
            <w:vAlign w:val="bottom"/>
          </w:tcPr>
          <w:p>
            <w:pPr>
              <w:ind w:left="2800"/>
              <w:spacing w:after="0"/>
              <w:rPr>
                <w:sz w:val="20"/>
                <w:szCs w:val="20"/>
                <w:color w:val="auto"/>
              </w:rPr>
            </w:pPr>
            <w:r>
              <w:rPr>
                <w:rFonts w:ascii="Arial" w:cs="Arial" w:eastAsia="Arial" w:hAnsi="Arial"/>
                <w:sz w:val="18"/>
                <w:szCs w:val="18"/>
                <w:color w:val="auto"/>
              </w:rPr>
              <w:t>Delaware</w:t>
            </w:r>
          </w:p>
        </w:tc>
      </w:tr>
      <w:tr>
        <w:trPr>
          <w:trHeight w:val="224"/>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Jewett Mine LLC</w:t>
            </w:r>
          </w:p>
        </w:tc>
        <w:tc>
          <w:tcPr>
            <w:tcW w:w="53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Delaware</w:t>
            </w:r>
          </w:p>
        </w:tc>
      </w:tr>
      <w:tr>
        <w:trPr>
          <w:trHeight w:val="224"/>
        </w:trPr>
        <w:tc>
          <w:tcPr>
            <w:tcW w:w="5880" w:type="dxa"/>
            <w:vAlign w:val="bottom"/>
          </w:tcPr>
          <w:p>
            <w:pPr>
              <w:ind w:left="20"/>
              <w:spacing w:after="0"/>
              <w:rPr>
                <w:sz w:val="20"/>
                <w:szCs w:val="20"/>
                <w:color w:val="auto"/>
              </w:rPr>
            </w:pPr>
            <w:r>
              <w:rPr>
                <w:rFonts w:ascii="Arial" w:cs="Arial" w:eastAsia="Arial" w:hAnsi="Arial"/>
                <w:sz w:val="18"/>
                <w:szCs w:val="18"/>
                <w:color w:val="auto"/>
              </w:rPr>
              <w:t>Joliet Data Solutions LLC</w:t>
            </w:r>
          </w:p>
        </w:tc>
        <w:tc>
          <w:tcPr>
            <w:tcW w:w="5360" w:type="dxa"/>
            <w:vAlign w:val="bottom"/>
          </w:tcPr>
          <w:p>
            <w:pPr>
              <w:ind w:left="2800"/>
              <w:spacing w:after="0"/>
              <w:rPr>
                <w:sz w:val="20"/>
                <w:szCs w:val="20"/>
                <w:color w:val="auto"/>
              </w:rPr>
            </w:pPr>
            <w:r>
              <w:rPr>
                <w:rFonts w:ascii="Arial" w:cs="Arial" w:eastAsia="Arial" w:hAnsi="Arial"/>
                <w:sz w:val="18"/>
                <w:szCs w:val="18"/>
                <w:color w:val="auto"/>
              </w:rPr>
              <w:t>Delaware</w:t>
            </w:r>
          </w:p>
        </w:tc>
      </w:tr>
      <w:tr>
        <w:trPr>
          <w:trHeight w:val="224"/>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Maplekey UK Finance Limited</w:t>
            </w:r>
          </w:p>
        </w:tc>
        <w:tc>
          <w:tcPr>
            <w:tcW w:w="53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United Kingdom</w:t>
            </w:r>
          </w:p>
        </w:tc>
      </w:tr>
      <w:tr>
        <w:trPr>
          <w:trHeight w:val="231"/>
        </w:trPr>
        <w:tc>
          <w:tcPr>
            <w:tcW w:w="5880" w:type="dxa"/>
            <w:vAlign w:val="bottom"/>
          </w:tcPr>
          <w:p>
            <w:pPr>
              <w:ind w:left="20"/>
              <w:spacing w:after="0"/>
              <w:rPr>
                <w:sz w:val="20"/>
                <w:szCs w:val="20"/>
                <w:color w:val="auto"/>
              </w:rPr>
            </w:pPr>
            <w:r>
              <w:rPr>
                <w:rFonts w:ascii="Arial" w:cs="Arial" w:eastAsia="Arial" w:hAnsi="Arial"/>
                <w:sz w:val="18"/>
                <w:szCs w:val="18"/>
                <w:color w:val="auto"/>
              </w:rPr>
              <w:t>Maplekey UK Limited</w:t>
            </w:r>
          </w:p>
        </w:tc>
        <w:tc>
          <w:tcPr>
            <w:tcW w:w="5360" w:type="dxa"/>
            <w:vAlign w:val="bottom"/>
          </w:tcPr>
          <w:p>
            <w:pPr>
              <w:ind w:left="2800"/>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1240"/>
          </w:cols>
          <w:pgMar w:left="320" w:top="1425" w:right="339" w:bottom="1440" w:gutter="0" w:footer="0" w:header="0"/>
        </w:sectPr>
      </w:pPr>
    </w:p>
    <w:bookmarkStart w:id="321" w:name="page322"/>
    <w:bookmarkEnd w:id="3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MEC Esenyurt B.V.</w:t>
            </w:r>
          </w:p>
        </w:tc>
        <w:tc>
          <w:tcPr>
            <w:tcW w:w="502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Netherlands</w:t>
            </w:r>
          </w:p>
        </w:tc>
      </w:tr>
      <w:tr>
        <w:trPr>
          <w:trHeight w:val="224"/>
        </w:trPr>
        <w:tc>
          <w:tcPr>
            <w:tcW w:w="6220" w:type="dxa"/>
            <w:vAlign w:val="bottom"/>
          </w:tcPr>
          <w:p>
            <w:pPr>
              <w:ind w:left="20"/>
              <w:spacing w:after="0"/>
              <w:rPr>
                <w:sz w:val="20"/>
                <w:szCs w:val="20"/>
                <w:color w:val="auto"/>
              </w:rPr>
            </w:pPr>
            <w:r>
              <w:rPr>
                <w:rFonts w:ascii="Arial" w:cs="Arial" w:eastAsia="Arial" w:hAnsi="Arial"/>
                <w:sz w:val="18"/>
                <w:szCs w:val="18"/>
                <w:color w:val="auto"/>
              </w:rPr>
              <w:t>MEC San Pascual B.V.</w:t>
            </w:r>
          </w:p>
        </w:tc>
        <w:tc>
          <w:tcPr>
            <w:tcW w:w="5020" w:type="dxa"/>
            <w:vAlign w:val="bottom"/>
          </w:tcPr>
          <w:p>
            <w:pPr>
              <w:ind w:left="2460"/>
              <w:spacing w:after="0"/>
              <w:rPr>
                <w:sz w:val="20"/>
                <w:szCs w:val="20"/>
                <w:color w:val="auto"/>
              </w:rPr>
            </w:pPr>
            <w:r>
              <w:rPr>
                <w:rFonts w:ascii="Arial" w:cs="Arial" w:eastAsia="Arial" w:hAnsi="Arial"/>
                <w:sz w:val="18"/>
                <w:szCs w:val="18"/>
                <w:color w:val="auto"/>
              </w:rPr>
              <w:t>Netherlands</w:t>
            </w:r>
          </w:p>
        </w:tc>
      </w:tr>
      <w:tr>
        <w:trPr>
          <w:trHeight w:val="224"/>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Meriden Gas Turbines LLC</w:t>
            </w:r>
          </w:p>
        </w:tc>
        <w:tc>
          <w:tcPr>
            <w:tcW w:w="502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Delaware</w:t>
            </w:r>
          </w:p>
        </w:tc>
      </w:tr>
      <w:tr>
        <w:trPr>
          <w:trHeight w:val="224"/>
        </w:trPr>
        <w:tc>
          <w:tcPr>
            <w:tcW w:w="6220" w:type="dxa"/>
            <w:vAlign w:val="bottom"/>
          </w:tcPr>
          <w:p>
            <w:pPr>
              <w:ind w:left="20"/>
              <w:spacing w:after="0"/>
              <w:rPr>
                <w:sz w:val="20"/>
                <w:szCs w:val="20"/>
                <w:color w:val="auto"/>
              </w:rPr>
            </w:pPr>
            <w:r>
              <w:rPr>
                <w:rFonts w:ascii="Arial" w:cs="Arial" w:eastAsia="Arial" w:hAnsi="Arial"/>
                <w:sz w:val="18"/>
                <w:szCs w:val="18"/>
                <w:color w:val="auto"/>
              </w:rPr>
              <w:t>Midway-Sunset Cogeneration Company</w:t>
            </w:r>
          </w:p>
        </w:tc>
        <w:tc>
          <w:tcPr>
            <w:tcW w:w="5020" w:type="dxa"/>
            <w:vAlign w:val="bottom"/>
          </w:tcPr>
          <w:p>
            <w:pPr>
              <w:ind w:left="2460"/>
              <w:spacing w:after="0"/>
              <w:rPr>
                <w:sz w:val="20"/>
                <w:szCs w:val="20"/>
                <w:color w:val="auto"/>
              </w:rPr>
            </w:pPr>
            <w:r>
              <w:rPr>
                <w:rFonts w:ascii="Arial" w:cs="Arial" w:eastAsia="Arial" w:hAnsi="Arial"/>
                <w:sz w:val="18"/>
                <w:szCs w:val="18"/>
                <w:color w:val="auto"/>
              </w:rPr>
              <w:t>California</w:t>
            </w:r>
          </w:p>
        </w:tc>
      </w:tr>
      <w:tr>
        <w:trPr>
          <w:trHeight w:val="224"/>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Midwest Generation EME, LLC</w:t>
            </w:r>
          </w:p>
        </w:tc>
        <w:tc>
          <w:tcPr>
            <w:tcW w:w="502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Delaware</w:t>
            </w:r>
          </w:p>
        </w:tc>
      </w:tr>
      <w:tr>
        <w:trPr>
          <w:trHeight w:val="224"/>
        </w:trPr>
        <w:tc>
          <w:tcPr>
            <w:tcW w:w="6220" w:type="dxa"/>
            <w:vAlign w:val="bottom"/>
          </w:tcPr>
          <w:p>
            <w:pPr>
              <w:ind w:left="20"/>
              <w:spacing w:after="0"/>
              <w:rPr>
                <w:sz w:val="20"/>
                <w:szCs w:val="20"/>
                <w:color w:val="auto"/>
              </w:rPr>
            </w:pPr>
            <w:r>
              <w:rPr>
                <w:rFonts w:ascii="Arial" w:cs="Arial" w:eastAsia="Arial" w:hAnsi="Arial"/>
                <w:sz w:val="18"/>
                <w:szCs w:val="18"/>
                <w:color w:val="auto"/>
              </w:rPr>
              <w:t>Midwest Generation Holdings I, LLC</w:t>
            </w:r>
          </w:p>
        </w:tc>
        <w:tc>
          <w:tcPr>
            <w:tcW w:w="5020" w:type="dxa"/>
            <w:vAlign w:val="bottom"/>
          </w:tcPr>
          <w:p>
            <w:pPr>
              <w:ind w:left="2460"/>
              <w:spacing w:after="0"/>
              <w:rPr>
                <w:sz w:val="20"/>
                <w:szCs w:val="20"/>
                <w:color w:val="auto"/>
              </w:rPr>
            </w:pPr>
            <w:r>
              <w:rPr>
                <w:rFonts w:ascii="Arial" w:cs="Arial" w:eastAsia="Arial" w:hAnsi="Arial"/>
                <w:sz w:val="18"/>
                <w:szCs w:val="18"/>
                <w:color w:val="auto"/>
              </w:rPr>
              <w:t>Delaware</w:t>
            </w:r>
          </w:p>
        </w:tc>
      </w:tr>
      <w:tr>
        <w:trPr>
          <w:trHeight w:val="224"/>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Midwest Generation Holdings II, LLC</w:t>
            </w:r>
          </w:p>
        </w:tc>
        <w:tc>
          <w:tcPr>
            <w:tcW w:w="502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Delaware</w:t>
            </w:r>
          </w:p>
        </w:tc>
      </w:tr>
      <w:tr>
        <w:trPr>
          <w:trHeight w:val="224"/>
        </w:trPr>
        <w:tc>
          <w:tcPr>
            <w:tcW w:w="6220" w:type="dxa"/>
            <w:vAlign w:val="bottom"/>
          </w:tcPr>
          <w:p>
            <w:pPr>
              <w:ind w:left="20"/>
              <w:spacing w:after="0"/>
              <w:rPr>
                <w:sz w:val="20"/>
                <w:szCs w:val="20"/>
                <w:color w:val="auto"/>
              </w:rPr>
            </w:pPr>
            <w:r>
              <w:rPr>
                <w:rFonts w:ascii="Arial" w:cs="Arial" w:eastAsia="Arial" w:hAnsi="Arial"/>
                <w:sz w:val="18"/>
                <w:szCs w:val="18"/>
                <w:color w:val="auto"/>
              </w:rPr>
              <w:t>Midwest Generation Holdings III LLC</w:t>
            </w:r>
          </w:p>
        </w:tc>
        <w:tc>
          <w:tcPr>
            <w:tcW w:w="5020" w:type="dxa"/>
            <w:vAlign w:val="bottom"/>
          </w:tcPr>
          <w:p>
            <w:pPr>
              <w:ind w:left="2460"/>
              <w:spacing w:after="0"/>
              <w:rPr>
                <w:sz w:val="20"/>
                <w:szCs w:val="20"/>
                <w:color w:val="auto"/>
              </w:rPr>
            </w:pPr>
            <w:r>
              <w:rPr>
                <w:rFonts w:ascii="Arial" w:cs="Arial" w:eastAsia="Arial" w:hAnsi="Arial"/>
                <w:sz w:val="18"/>
                <w:szCs w:val="18"/>
                <w:color w:val="auto"/>
              </w:rPr>
              <w:t>Delaware</w:t>
            </w:r>
          </w:p>
        </w:tc>
      </w:tr>
      <w:tr>
        <w:trPr>
          <w:trHeight w:val="224"/>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Midwest Generation, LLC</w:t>
            </w:r>
          </w:p>
        </w:tc>
        <w:tc>
          <w:tcPr>
            <w:tcW w:w="502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Delaware</w:t>
            </w:r>
          </w:p>
        </w:tc>
      </w:tr>
      <w:tr>
        <w:trPr>
          <w:trHeight w:val="224"/>
        </w:trPr>
        <w:tc>
          <w:tcPr>
            <w:tcW w:w="6220" w:type="dxa"/>
            <w:vAlign w:val="bottom"/>
          </w:tcPr>
          <w:p>
            <w:pPr>
              <w:ind w:left="20"/>
              <w:spacing w:after="0"/>
              <w:rPr>
                <w:sz w:val="20"/>
                <w:szCs w:val="20"/>
                <w:color w:val="auto"/>
              </w:rPr>
            </w:pPr>
            <w:r>
              <w:rPr>
                <w:rFonts w:ascii="Arial" w:cs="Arial" w:eastAsia="Arial" w:hAnsi="Arial"/>
                <w:sz w:val="18"/>
                <w:szCs w:val="18"/>
                <w:color w:val="auto"/>
              </w:rPr>
              <w:t>Midwest Peaker Holdings, LLC</w:t>
            </w:r>
          </w:p>
        </w:tc>
        <w:tc>
          <w:tcPr>
            <w:tcW w:w="5020" w:type="dxa"/>
            <w:vAlign w:val="bottom"/>
          </w:tcPr>
          <w:p>
            <w:pPr>
              <w:ind w:left="2460"/>
              <w:spacing w:after="0"/>
              <w:rPr>
                <w:sz w:val="20"/>
                <w:szCs w:val="20"/>
                <w:color w:val="auto"/>
              </w:rPr>
            </w:pPr>
            <w:r>
              <w:rPr>
                <w:rFonts w:ascii="Arial" w:cs="Arial" w:eastAsia="Arial" w:hAnsi="Arial"/>
                <w:sz w:val="18"/>
                <w:szCs w:val="18"/>
                <w:color w:val="auto"/>
              </w:rPr>
              <w:t>Delaware</w:t>
            </w:r>
          </w:p>
        </w:tc>
      </w:tr>
      <w:tr>
        <w:trPr>
          <w:trHeight w:val="224"/>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Mission Energy Holdings International, LLC</w:t>
            </w:r>
          </w:p>
        </w:tc>
        <w:tc>
          <w:tcPr>
            <w:tcW w:w="502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Delaware</w:t>
            </w:r>
          </w:p>
        </w:tc>
      </w:tr>
      <w:tr>
        <w:trPr>
          <w:trHeight w:val="224"/>
        </w:trPr>
        <w:tc>
          <w:tcPr>
            <w:tcW w:w="6220" w:type="dxa"/>
            <w:vAlign w:val="bottom"/>
          </w:tcPr>
          <w:p>
            <w:pPr>
              <w:ind w:left="20"/>
              <w:spacing w:after="0"/>
              <w:rPr>
                <w:sz w:val="20"/>
                <w:szCs w:val="20"/>
                <w:color w:val="auto"/>
              </w:rPr>
            </w:pPr>
            <w:r>
              <w:rPr>
                <w:rFonts w:ascii="Arial" w:cs="Arial" w:eastAsia="Arial" w:hAnsi="Arial"/>
                <w:sz w:val="18"/>
                <w:szCs w:val="18"/>
                <w:color w:val="auto"/>
              </w:rPr>
              <w:t>Mission Midway-Sunset Holdings, LLC</w:t>
            </w:r>
          </w:p>
        </w:tc>
        <w:tc>
          <w:tcPr>
            <w:tcW w:w="5020" w:type="dxa"/>
            <w:vAlign w:val="bottom"/>
          </w:tcPr>
          <w:p>
            <w:pPr>
              <w:ind w:left="2460"/>
              <w:spacing w:after="0"/>
              <w:rPr>
                <w:sz w:val="20"/>
                <w:szCs w:val="20"/>
                <w:color w:val="auto"/>
              </w:rPr>
            </w:pPr>
            <w:r>
              <w:rPr>
                <w:rFonts w:ascii="Arial" w:cs="Arial" w:eastAsia="Arial" w:hAnsi="Arial"/>
                <w:sz w:val="18"/>
                <w:szCs w:val="18"/>
                <w:color w:val="auto"/>
              </w:rPr>
              <w:t>Delaware</w:t>
            </w:r>
          </w:p>
        </w:tc>
      </w:tr>
      <w:tr>
        <w:trPr>
          <w:trHeight w:val="224"/>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Mission Midwest Coal, LLC</w:t>
            </w:r>
          </w:p>
        </w:tc>
        <w:tc>
          <w:tcPr>
            <w:tcW w:w="502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Delaware</w:t>
            </w:r>
          </w:p>
        </w:tc>
      </w:tr>
      <w:tr>
        <w:trPr>
          <w:trHeight w:val="224"/>
        </w:trPr>
        <w:tc>
          <w:tcPr>
            <w:tcW w:w="6220" w:type="dxa"/>
            <w:vAlign w:val="bottom"/>
          </w:tcPr>
          <w:p>
            <w:pPr>
              <w:ind w:left="20"/>
              <w:spacing w:after="0"/>
              <w:rPr>
                <w:sz w:val="20"/>
                <w:szCs w:val="20"/>
                <w:color w:val="auto"/>
              </w:rPr>
            </w:pPr>
            <w:r>
              <w:rPr>
                <w:rFonts w:ascii="Arial" w:cs="Arial" w:eastAsia="Arial" w:hAnsi="Arial"/>
                <w:sz w:val="18"/>
                <w:szCs w:val="18"/>
                <w:color w:val="auto"/>
              </w:rPr>
              <w:t>Mission Watson Holdings, LLC</w:t>
            </w:r>
          </w:p>
        </w:tc>
        <w:tc>
          <w:tcPr>
            <w:tcW w:w="5020" w:type="dxa"/>
            <w:vAlign w:val="bottom"/>
          </w:tcPr>
          <w:p>
            <w:pPr>
              <w:ind w:left="2460"/>
              <w:spacing w:after="0"/>
              <w:rPr>
                <w:sz w:val="20"/>
                <w:szCs w:val="20"/>
                <w:color w:val="auto"/>
              </w:rPr>
            </w:pPr>
            <w:r>
              <w:rPr>
                <w:rFonts w:ascii="Arial" w:cs="Arial" w:eastAsia="Arial" w:hAnsi="Arial"/>
                <w:sz w:val="18"/>
                <w:szCs w:val="18"/>
                <w:color w:val="auto"/>
              </w:rPr>
              <w:t>Delaware</w:t>
            </w:r>
          </w:p>
        </w:tc>
      </w:tr>
      <w:tr>
        <w:trPr>
          <w:trHeight w:val="224"/>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NEO Corporation</w:t>
            </w:r>
          </w:p>
        </w:tc>
        <w:tc>
          <w:tcPr>
            <w:tcW w:w="502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Minnesota</w:t>
            </w:r>
          </w:p>
        </w:tc>
      </w:tr>
      <w:tr>
        <w:trPr>
          <w:trHeight w:val="224"/>
        </w:trPr>
        <w:tc>
          <w:tcPr>
            <w:tcW w:w="6220" w:type="dxa"/>
            <w:vAlign w:val="bottom"/>
          </w:tcPr>
          <w:p>
            <w:pPr>
              <w:ind w:left="20"/>
              <w:spacing w:after="0"/>
              <w:rPr>
                <w:sz w:val="20"/>
                <w:szCs w:val="20"/>
                <w:color w:val="auto"/>
              </w:rPr>
            </w:pPr>
            <w:r>
              <w:rPr>
                <w:rFonts w:ascii="Arial" w:cs="Arial" w:eastAsia="Arial" w:hAnsi="Arial"/>
                <w:sz w:val="18"/>
                <w:szCs w:val="18"/>
                <w:color w:val="auto"/>
              </w:rPr>
              <w:t>New Genco GP, LLC</w:t>
            </w:r>
          </w:p>
        </w:tc>
        <w:tc>
          <w:tcPr>
            <w:tcW w:w="5020" w:type="dxa"/>
            <w:vAlign w:val="bottom"/>
          </w:tcPr>
          <w:p>
            <w:pPr>
              <w:ind w:left="2460"/>
              <w:spacing w:after="0"/>
              <w:rPr>
                <w:sz w:val="20"/>
                <w:szCs w:val="20"/>
                <w:color w:val="auto"/>
              </w:rPr>
            </w:pPr>
            <w:r>
              <w:rPr>
                <w:rFonts w:ascii="Arial" w:cs="Arial" w:eastAsia="Arial" w:hAnsi="Arial"/>
                <w:sz w:val="18"/>
                <w:szCs w:val="18"/>
                <w:color w:val="auto"/>
              </w:rPr>
              <w:t>Delaware</w:t>
            </w:r>
          </w:p>
        </w:tc>
      </w:tr>
      <w:tr>
        <w:trPr>
          <w:trHeight w:val="224"/>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Jersey Power Development LLC</w:t>
            </w:r>
          </w:p>
        </w:tc>
        <w:tc>
          <w:tcPr>
            <w:tcW w:w="502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Delaware</w:t>
            </w:r>
          </w:p>
        </w:tc>
      </w:tr>
      <w:tr>
        <w:trPr>
          <w:trHeight w:val="224"/>
        </w:trPr>
        <w:tc>
          <w:tcPr>
            <w:tcW w:w="6220" w:type="dxa"/>
            <w:vAlign w:val="bottom"/>
          </w:tcPr>
          <w:p>
            <w:pPr>
              <w:ind w:left="20"/>
              <w:spacing w:after="0"/>
              <w:rPr>
                <w:sz w:val="20"/>
                <w:szCs w:val="20"/>
                <w:color w:val="auto"/>
              </w:rPr>
            </w:pPr>
            <w:r>
              <w:rPr>
                <w:rFonts w:ascii="Arial" w:cs="Arial" w:eastAsia="Arial" w:hAnsi="Arial"/>
                <w:sz w:val="18"/>
                <w:szCs w:val="18"/>
                <w:color w:val="auto"/>
              </w:rPr>
              <w:t>Norwalk Power LLC</w:t>
            </w:r>
          </w:p>
        </w:tc>
        <w:tc>
          <w:tcPr>
            <w:tcW w:w="5020" w:type="dxa"/>
            <w:vAlign w:val="bottom"/>
          </w:tcPr>
          <w:p>
            <w:pPr>
              <w:ind w:left="2460"/>
              <w:spacing w:after="0"/>
              <w:rPr>
                <w:sz w:val="20"/>
                <w:szCs w:val="20"/>
                <w:color w:val="auto"/>
              </w:rPr>
            </w:pPr>
            <w:r>
              <w:rPr>
                <w:rFonts w:ascii="Arial" w:cs="Arial" w:eastAsia="Arial" w:hAnsi="Arial"/>
                <w:sz w:val="18"/>
                <w:szCs w:val="18"/>
                <w:color w:val="auto"/>
              </w:rPr>
              <w:t>Delaware</w:t>
            </w:r>
          </w:p>
        </w:tc>
      </w:tr>
      <w:tr>
        <w:trPr>
          <w:trHeight w:val="224"/>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Acquisition Holdings Inc.</w:t>
            </w:r>
          </w:p>
        </w:tc>
        <w:tc>
          <w:tcPr>
            <w:tcW w:w="502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Delaware</w:t>
            </w:r>
          </w:p>
        </w:tc>
      </w:tr>
      <w:tr>
        <w:trPr>
          <w:trHeight w:val="224"/>
        </w:trPr>
        <w:tc>
          <w:tcPr>
            <w:tcW w:w="6220" w:type="dxa"/>
            <w:vAlign w:val="bottom"/>
          </w:tcPr>
          <w:p>
            <w:pPr>
              <w:ind w:left="20"/>
              <w:spacing w:after="0"/>
              <w:rPr>
                <w:sz w:val="20"/>
                <w:szCs w:val="20"/>
                <w:color w:val="auto"/>
              </w:rPr>
            </w:pPr>
            <w:r>
              <w:rPr>
                <w:rFonts w:ascii="Arial" w:cs="Arial" w:eastAsia="Arial" w:hAnsi="Arial"/>
                <w:sz w:val="18"/>
                <w:szCs w:val="18"/>
                <w:color w:val="auto"/>
              </w:rPr>
              <w:t>NRG Affiliate Services Inc.</w:t>
            </w:r>
          </w:p>
        </w:tc>
        <w:tc>
          <w:tcPr>
            <w:tcW w:w="5020" w:type="dxa"/>
            <w:vAlign w:val="bottom"/>
          </w:tcPr>
          <w:p>
            <w:pPr>
              <w:ind w:left="2460"/>
              <w:spacing w:after="0"/>
              <w:rPr>
                <w:sz w:val="20"/>
                <w:szCs w:val="20"/>
                <w:color w:val="auto"/>
              </w:rPr>
            </w:pPr>
            <w:r>
              <w:rPr>
                <w:rFonts w:ascii="Arial" w:cs="Arial" w:eastAsia="Arial" w:hAnsi="Arial"/>
                <w:sz w:val="18"/>
                <w:szCs w:val="18"/>
                <w:color w:val="auto"/>
              </w:rPr>
              <w:t>Delaware</w:t>
            </w:r>
          </w:p>
        </w:tc>
      </w:tr>
      <w:tr>
        <w:trPr>
          <w:trHeight w:val="224"/>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Arthur Kill Operations Inc.</w:t>
            </w:r>
          </w:p>
        </w:tc>
        <w:tc>
          <w:tcPr>
            <w:tcW w:w="502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Delaware</w:t>
            </w:r>
          </w:p>
        </w:tc>
      </w:tr>
      <w:tr>
        <w:trPr>
          <w:trHeight w:val="224"/>
        </w:trPr>
        <w:tc>
          <w:tcPr>
            <w:tcW w:w="6220" w:type="dxa"/>
            <w:vAlign w:val="bottom"/>
          </w:tcPr>
          <w:p>
            <w:pPr>
              <w:ind w:left="20"/>
              <w:spacing w:after="0"/>
              <w:rPr>
                <w:sz w:val="20"/>
                <w:szCs w:val="20"/>
                <w:color w:val="auto"/>
              </w:rPr>
            </w:pPr>
            <w:r>
              <w:rPr>
                <w:rFonts w:ascii="Arial" w:cs="Arial" w:eastAsia="Arial" w:hAnsi="Arial"/>
                <w:sz w:val="18"/>
                <w:szCs w:val="18"/>
                <w:color w:val="auto"/>
              </w:rPr>
              <w:t>NRG Astoria Investment Holdco LLC</w:t>
            </w:r>
          </w:p>
        </w:tc>
        <w:tc>
          <w:tcPr>
            <w:tcW w:w="5020" w:type="dxa"/>
            <w:vAlign w:val="bottom"/>
          </w:tcPr>
          <w:p>
            <w:pPr>
              <w:ind w:left="2460"/>
              <w:spacing w:after="0"/>
              <w:rPr>
                <w:sz w:val="20"/>
                <w:szCs w:val="20"/>
                <w:color w:val="auto"/>
              </w:rPr>
            </w:pPr>
            <w:r>
              <w:rPr>
                <w:rFonts w:ascii="Arial" w:cs="Arial" w:eastAsia="Arial" w:hAnsi="Arial"/>
                <w:sz w:val="18"/>
                <w:szCs w:val="18"/>
                <w:color w:val="auto"/>
              </w:rPr>
              <w:t>Delaware</w:t>
            </w:r>
          </w:p>
        </w:tc>
      </w:tr>
      <w:tr>
        <w:trPr>
          <w:trHeight w:val="224"/>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Astoria Power LLC</w:t>
            </w:r>
          </w:p>
        </w:tc>
        <w:tc>
          <w:tcPr>
            <w:tcW w:w="502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Delaware</w:t>
            </w:r>
          </w:p>
        </w:tc>
      </w:tr>
      <w:tr>
        <w:trPr>
          <w:trHeight w:val="224"/>
        </w:trPr>
        <w:tc>
          <w:tcPr>
            <w:tcW w:w="6220" w:type="dxa"/>
            <w:vAlign w:val="bottom"/>
          </w:tcPr>
          <w:p>
            <w:pPr>
              <w:ind w:left="20"/>
              <w:spacing w:after="0"/>
              <w:rPr>
                <w:sz w:val="20"/>
                <w:szCs w:val="20"/>
                <w:color w:val="auto"/>
              </w:rPr>
            </w:pPr>
            <w:r>
              <w:rPr>
                <w:rFonts w:ascii="Arial" w:cs="Arial" w:eastAsia="Arial" w:hAnsi="Arial"/>
                <w:sz w:val="18"/>
                <w:szCs w:val="18"/>
                <w:color w:val="auto"/>
              </w:rPr>
              <w:t>NRG Berrians East Development LLC</w:t>
            </w:r>
          </w:p>
        </w:tc>
        <w:tc>
          <w:tcPr>
            <w:tcW w:w="5020" w:type="dxa"/>
            <w:vAlign w:val="bottom"/>
          </w:tcPr>
          <w:p>
            <w:pPr>
              <w:ind w:left="2460"/>
              <w:spacing w:after="0"/>
              <w:rPr>
                <w:sz w:val="20"/>
                <w:szCs w:val="20"/>
                <w:color w:val="auto"/>
              </w:rPr>
            </w:pPr>
            <w:r>
              <w:rPr>
                <w:rFonts w:ascii="Arial" w:cs="Arial" w:eastAsia="Arial" w:hAnsi="Arial"/>
                <w:sz w:val="18"/>
                <w:szCs w:val="18"/>
                <w:color w:val="auto"/>
              </w:rPr>
              <w:t>Delaware</w:t>
            </w:r>
          </w:p>
        </w:tc>
      </w:tr>
      <w:tr>
        <w:trPr>
          <w:trHeight w:val="224"/>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Bluewater Holdings LLC</w:t>
            </w:r>
          </w:p>
        </w:tc>
        <w:tc>
          <w:tcPr>
            <w:tcW w:w="502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Delaware</w:t>
            </w:r>
          </w:p>
        </w:tc>
      </w:tr>
      <w:tr>
        <w:trPr>
          <w:trHeight w:val="224"/>
        </w:trPr>
        <w:tc>
          <w:tcPr>
            <w:tcW w:w="6220" w:type="dxa"/>
            <w:vAlign w:val="bottom"/>
          </w:tcPr>
          <w:p>
            <w:pPr>
              <w:ind w:left="20"/>
              <w:spacing w:after="0"/>
              <w:rPr>
                <w:sz w:val="20"/>
                <w:szCs w:val="20"/>
                <w:color w:val="auto"/>
              </w:rPr>
            </w:pPr>
            <w:r>
              <w:rPr>
                <w:rFonts w:ascii="Arial" w:cs="Arial" w:eastAsia="Arial" w:hAnsi="Arial"/>
                <w:sz w:val="18"/>
                <w:szCs w:val="18"/>
                <w:color w:val="auto"/>
              </w:rPr>
              <w:t>NRG Bourbonnais LLC</w:t>
            </w:r>
          </w:p>
        </w:tc>
        <w:tc>
          <w:tcPr>
            <w:tcW w:w="5020" w:type="dxa"/>
            <w:vAlign w:val="bottom"/>
          </w:tcPr>
          <w:p>
            <w:pPr>
              <w:ind w:left="2460"/>
              <w:spacing w:after="0"/>
              <w:rPr>
                <w:sz w:val="20"/>
                <w:szCs w:val="20"/>
                <w:color w:val="auto"/>
              </w:rPr>
            </w:pPr>
            <w:r>
              <w:rPr>
                <w:rFonts w:ascii="Arial" w:cs="Arial" w:eastAsia="Arial" w:hAnsi="Arial"/>
                <w:sz w:val="18"/>
                <w:szCs w:val="18"/>
                <w:color w:val="auto"/>
              </w:rPr>
              <w:t>Illinois</w:t>
            </w:r>
          </w:p>
        </w:tc>
      </w:tr>
      <w:tr>
        <w:trPr>
          <w:trHeight w:val="224"/>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Business Marketing LLC</w:t>
            </w:r>
          </w:p>
        </w:tc>
        <w:tc>
          <w:tcPr>
            <w:tcW w:w="502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Delaware</w:t>
            </w:r>
          </w:p>
        </w:tc>
      </w:tr>
      <w:tr>
        <w:trPr>
          <w:trHeight w:val="224"/>
        </w:trPr>
        <w:tc>
          <w:tcPr>
            <w:tcW w:w="6220" w:type="dxa"/>
            <w:vAlign w:val="bottom"/>
          </w:tcPr>
          <w:p>
            <w:pPr>
              <w:ind w:left="20"/>
              <w:spacing w:after="0"/>
              <w:rPr>
                <w:sz w:val="20"/>
                <w:szCs w:val="20"/>
                <w:color w:val="auto"/>
              </w:rPr>
            </w:pPr>
            <w:r>
              <w:rPr>
                <w:rFonts w:ascii="Arial" w:cs="Arial" w:eastAsia="Arial" w:hAnsi="Arial"/>
                <w:sz w:val="18"/>
                <w:szCs w:val="18"/>
                <w:color w:val="auto"/>
              </w:rPr>
              <w:t>NRG Cabrillo Power Operations Inc.</w:t>
            </w:r>
          </w:p>
        </w:tc>
        <w:tc>
          <w:tcPr>
            <w:tcW w:w="5020" w:type="dxa"/>
            <w:vAlign w:val="bottom"/>
          </w:tcPr>
          <w:p>
            <w:pPr>
              <w:ind w:left="2460"/>
              <w:spacing w:after="0"/>
              <w:rPr>
                <w:sz w:val="20"/>
                <w:szCs w:val="20"/>
                <w:color w:val="auto"/>
              </w:rPr>
            </w:pPr>
            <w:r>
              <w:rPr>
                <w:rFonts w:ascii="Arial" w:cs="Arial" w:eastAsia="Arial" w:hAnsi="Arial"/>
                <w:sz w:val="18"/>
                <w:szCs w:val="18"/>
                <w:color w:val="auto"/>
              </w:rPr>
              <w:t>Delaware</w:t>
            </w:r>
          </w:p>
        </w:tc>
      </w:tr>
      <w:tr>
        <w:trPr>
          <w:trHeight w:val="224"/>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California Peaker Operations LLC</w:t>
            </w:r>
          </w:p>
        </w:tc>
        <w:tc>
          <w:tcPr>
            <w:tcW w:w="502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Delaware</w:t>
            </w:r>
          </w:p>
        </w:tc>
      </w:tr>
      <w:tr>
        <w:trPr>
          <w:trHeight w:val="224"/>
        </w:trPr>
        <w:tc>
          <w:tcPr>
            <w:tcW w:w="6220" w:type="dxa"/>
            <w:vAlign w:val="bottom"/>
          </w:tcPr>
          <w:p>
            <w:pPr>
              <w:ind w:left="20"/>
              <w:spacing w:after="0"/>
              <w:rPr>
                <w:sz w:val="20"/>
                <w:szCs w:val="20"/>
                <w:color w:val="auto"/>
              </w:rPr>
            </w:pPr>
            <w:r>
              <w:rPr>
                <w:rFonts w:ascii="Arial" w:cs="Arial" w:eastAsia="Arial" w:hAnsi="Arial"/>
                <w:sz w:val="18"/>
                <w:szCs w:val="18"/>
                <w:color w:val="auto"/>
              </w:rPr>
              <w:t>NRG Carbon 360 LLC</w:t>
            </w:r>
          </w:p>
        </w:tc>
        <w:tc>
          <w:tcPr>
            <w:tcW w:w="5020" w:type="dxa"/>
            <w:vAlign w:val="bottom"/>
          </w:tcPr>
          <w:p>
            <w:pPr>
              <w:ind w:left="2460"/>
              <w:spacing w:after="0"/>
              <w:rPr>
                <w:sz w:val="20"/>
                <w:szCs w:val="20"/>
                <w:color w:val="auto"/>
              </w:rPr>
            </w:pPr>
            <w:r>
              <w:rPr>
                <w:rFonts w:ascii="Arial" w:cs="Arial" w:eastAsia="Arial" w:hAnsi="Arial"/>
                <w:sz w:val="18"/>
                <w:szCs w:val="18"/>
                <w:color w:val="auto"/>
              </w:rPr>
              <w:t>Delaware</w:t>
            </w:r>
          </w:p>
        </w:tc>
      </w:tr>
      <w:tr>
        <w:trPr>
          <w:trHeight w:val="224"/>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Cedar Bayou 5 LLC</w:t>
            </w:r>
          </w:p>
        </w:tc>
        <w:tc>
          <w:tcPr>
            <w:tcW w:w="502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Delaware</w:t>
            </w:r>
          </w:p>
        </w:tc>
      </w:tr>
      <w:tr>
        <w:trPr>
          <w:trHeight w:val="224"/>
        </w:trPr>
        <w:tc>
          <w:tcPr>
            <w:tcW w:w="6220" w:type="dxa"/>
            <w:vAlign w:val="bottom"/>
          </w:tcPr>
          <w:p>
            <w:pPr>
              <w:ind w:left="20"/>
              <w:spacing w:after="0"/>
              <w:rPr>
                <w:sz w:val="20"/>
                <w:szCs w:val="20"/>
                <w:color w:val="auto"/>
              </w:rPr>
            </w:pPr>
            <w:r>
              <w:rPr>
                <w:rFonts w:ascii="Arial" w:cs="Arial" w:eastAsia="Arial" w:hAnsi="Arial"/>
                <w:sz w:val="18"/>
                <w:szCs w:val="18"/>
                <w:color w:val="auto"/>
              </w:rPr>
              <w:t>NRG Cedar Bayou Development Company, LLC</w:t>
            </w:r>
          </w:p>
        </w:tc>
        <w:tc>
          <w:tcPr>
            <w:tcW w:w="5020" w:type="dxa"/>
            <w:vAlign w:val="bottom"/>
          </w:tcPr>
          <w:p>
            <w:pPr>
              <w:ind w:left="2460"/>
              <w:spacing w:after="0"/>
              <w:rPr>
                <w:sz w:val="20"/>
                <w:szCs w:val="20"/>
                <w:color w:val="auto"/>
              </w:rPr>
            </w:pPr>
            <w:r>
              <w:rPr>
                <w:rFonts w:ascii="Arial" w:cs="Arial" w:eastAsia="Arial" w:hAnsi="Arial"/>
                <w:sz w:val="18"/>
                <w:szCs w:val="18"/>
                <w:color w:val="auto"/>
              </w:rPr>
              <w:t>Delaware</w:t>
            </w:r>
          </w:p>
        </w:tc>
      </w:tr>
      <w:tr>
        <w:trPr>
          <w:trHeight w:val="224"/>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Chalk Point CT LLC</w:t>
            </w:r>
          </w:p>
        </w:tc>
        <w:tc>
          <w:tcPr>
            <w:tcW w:w="502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Delaware</w:t>
            </w:r>
          </w:p>
        </w:tc>
      </w:tr>
      <w:tr>
        <w:trPr>
          <w:trHeight w:val="224"/>
        </w:trPr>
        <w:tc>
          <w:tcPr>
            <w:tcW w:w="6220" w:type="dxa"/>
            <w:vAlign w:val="bottom"/>
          </w:tcPr>
          <w:p>
            <w:pPr>
              <w:ind w:left="20"/>
              <w:spacing w:after="0"/>
              <w:rPr>
                <w:sz w:val="20"/>
                <w:szCs w:val="20"/>
                <w:color w:val="auto"/>
              </w:rPr>
            </w:pPr>
            <w:r>
              <w:rPr>
                <w:rFonts w:ascii="Arial" w:cs="Arial" w:eastAsia="Arial" w:hAnsi="Arial"/>
                <w:sz w:val="18"/>
                <w:szCs w:val="18"/>
                <w:color w:val="auto"/>
              </w:rPr>
              <w:t>NRG Coal Development Company LLC</w:t>
            </w:r>
          </w:p>
        </w:tc>
        <w:tc>
          <w:tcPr>
            <w:tcW w:w="5020" w:type="dxa"/>
            <w:vAlign w:val="bottom"/>
          </w:tcPr>
          <w:p>
            <w:pPr>
              <w:ind w:left="2460"/>
              <w:spacing w:after="0"/>
              <w:rPr>
                <w:sz w:val="20"/>
                <w:szCs w:val="20"/>
                <w:color w:val="auto"/>
              </w:rPr>
            </w:pPr>
            <w:r>
              <w:rPr>
                <w:rFonts w:ascii="Arial" w:cs="Arial" w:eastAsia="Arial" w:hAnsi="Arial"/>
                <w:sz w:val="18"/>
                <w:szCs w:val="18"/>
                <w:color w:val="auto"/>
              </w:rPr>
              <w:t>Delaware</w:t>
            </w:r>
          </w:p>
        </w:tc>
      </w:tr>
      <w:tr>
        <w:trPr>
          <w:trHeight w:val="224"/>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Common Stock Finance I LLC</w:t>
            </w:r>
          </w:p>
        </w:tc>
        <w:tc>
          <w:tcPr>
            <w:tcW w:w="502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Delaware</w:t>
            </w:r>
          </w:p>
        </w:tc>
      </w:tr>
      <w:tr>
        <w:trPr>
          <w:trHeight w:val="224"/>
        </w:trPr>
        <w:tc>
          <w:tcPr>
            <w:tcW w:w="6220" w:type="dxa"/>
            <w:vAlign w:val="bottom"/>
          </w:tcPr>
          <w:p>
            <w:pPr>
              <w:ind w:left="20"/>
              <w:spacing w:after="0"/>
              <w:rPr>
                <w:sz w:val="20"/>
                <w:szCs w:val="20"/>
                <w:color w:val="auto"/>
              </w:rPr>
            </w:pPr>
            <w:r>
              <w:rPr>
                <w:rFonts w:ascii="Arial" w:cs="Arial" w:eastAsia="Arial" w:hAnsi="Arial"/>
                <w:sz w:val="18"/>
                <w:szCs w:val="18"/>
                <w:color w:val="auto"/>
              </w:rPr>
              <w:t>NRG Common Stock Finance II LLC</w:t>
            </w:r>
          </w:p>
        </w:tc>
        <w:tc>
          <w:tcPr>
            <w:tcW w:w="5020" w:type="dxa"/>
            <w:vAlign w:val="bottom"/>
          </w:tcPr>
          <w:p>
            <w:pPr>
              <w:ind w:left="2460"/>
              <w:spacing w:after="0"/>
              <w:rPr>
                <w:sz w:val="20"/>
                <w:szCs w:val="20"/>
                <w:color w:val="auto"/>
              </w:rPr>
            </w:pPr>
            <w:r>
              <w:rPr>
                <w:rFonts w:ascii="Arial" w:cs="Arial" w:eastAsia="Arial" w:hAnsi="Arial"/>
                <w:sz w:val="18"/>
                <w:szCs w:val="18"/>
                <w:color w:val="auto"/>
              </w:rPr>
              <w:t>Delaware</w:t>
            </w:r>
          </w:p>
        </w:tc>
      </w:tr>
      <w:tr>
        <w:trPr>
          <w:trHeight w:val="224"/>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Construction LLC</w:t>
            </w:r>
          </w:p>
        </w:tc>
        <w:tc>
          <w:tcPr>
            <w:tcW w:w="502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Delaware</w:t>
            </w:r>
          </w:p>
        </w:tc>
      </w:tr>
      <w:tr>
        <w:trPr>
          <w:trHeight w:val="224"/>
        </w:trPr>
        <w:tc>
          <w:tcPr>
            <w:tcW w:w="6220" w:type="dxa"/>
            <w:vAlign w:val="bottom"/>
          </w:tcPr>
          <w:p>
            <w:pPr>
              <w:ind w:left="20"/>
              <w:spacing w:after="0"/>
              <w:rPr>
                <w:sz w:val="20"/>
                <w:szCs w:val="20"/>
                <w:color w:val="auto"/>
              </w:rPr>
            </w:pPr>
            <w:r>
              <w:rPr>
                <w:rFonts w:ascii="Arial" w:cs="Arial" w:eastAsia="Arial" w:hAnsi="Arial"/>
                <w:sz w:val="18"/>
                <w:szCs w:val="18"/>
                <w:color w:val="auto"/>
              </w:rPr>
              <w:t>NRG Controllable Load Services LLC</w:t>
            </w:r>
          </w:p>
        </w:tc>
        <w:tc>
          <w:tcPr>
            <w:tcW w:w="5020" w:type="dxa"/>
            <w:vAlign w:val="bottom"/>
          </w:tcPr>
          <w:p>
            <w:pPr>
              <w:ind w:left="2460"/>
              <w:spacing w:after="0"/>
              <w:rPr>
                <w:sz w:val="20"/>
                <w:szCs w:val="20"/>
                <w:color w:val="auto"/>
              </w:rPr>
            </w:pPr>
            <w:r>
              <w:rPr>
                <w:rFonts w:ascii="Arial" w:cs="Arial" w:eastAsia="Arial" w:hAnsi="Arial"/>
                <w:sz w:val="18"/>
                <w:szCs w:val="18"/>
                <w:color w:val="auto"/>
              </w:rPr>
              <w:t>Delaware</w:t>
            </w:r>
          </w:p>
        </w:tc>
      </w:tr>
      <w:tr>
        <w:trPr>
          <w:trHeight w:val="224"/>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Cottonwood Tenant LLC</w:t>
            </w:r>
          </w:p>
        </w:tc>
        <w:tc>
          <w:tcPr>
            <w:tcW w:w="502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Delaware</w:t>
            </w:r>
          </w:p>
        </w:tc>
      </w:tr>
      <w:tr>
        <w:trPr>
          <w:trHeight w:val="224"/>
        </w:trPr>
        <w:tc>
          <w:tcPr>
            <w:tcW w:w="6220" w:type="dxa"/>
            <w:vAlign w:val="bottom"/>
          </w:tcPr>
          <w:p>
            <w:pPr>
              <w:ind w:left="20"/>
              <w:spacing w:after="0"/>
              <w:rPr>
                <w:sz w:val="20"/>
                <w:szCs w:val="20"/>
                <w:color w:val="auto"/>
              </w:rPr>
            </w:pPr>
            <w:r>
              <w:rPr>
                <w:rFonts w:ascii="Arial" w:cs="Arial" w:eastAsia="Arial" w:hAnsi="Arial"/>
                <w:sz w:val="18"/>
                <w:szCs w:val="18"/>
                <w:color w:val="auto"/>
              </w:rPr>
              <w:t>NRG Curtailment Solutions Canada, Inc.</w:t>
            </w:r>
          </w:p>
        </w:tc>
        <w:tc>
          <w:tcPr>
            <w:tcW w:w="5020" w:type="dxa"/>
            <w:vAlign w:val="bottom"/>
          </w:tcPr>
          <w:p>
            <w:pPr>
              <w:ind w:left="2460"/>
              <w:spacing w:after="0"/>
              <w:rPr>
                <w:sz w:val="20"/>
                <w:szCs w:val="20"/>
                <w:color w:val="auto"/>
              </w:rPr>
            </w:pPr>
            <w:r>
              <w:rPr>
                <w:rFonts w:ascii="Arial" w:cs="Arial" w:eastAsia="Arial" w:hAnsi="Arial"/>
                <w:sz w:val="18"/>
                <w:szCs w:val="18"/>
                <w:color w:val="auto"/>
              </w:rPr>
              <w:t>British Columbia</w:t>
            </w:r>
          </w:p>
        </w:tc>
      </w:tr>
      <w:tr>
        <w:trPr>
          <w:trHeight w:val="224"/>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Curtailment Solutions, Inc.</w:t>
            </w:r>
          </w:p>
        </w:tc>
        <w:tc>
          <w:tcPr>
            <w:tcW w:w="502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New York</w:t>
            </w:r>
          </w:p>
        </w:tc>
      </w:tr>
      <w:tr>
        <w:trPr>
          <w:trHeight w:val="224"/>
        </w:trPr>
        <w:tc>
          <w:tcPr>
            <w:tcW w:w="6220" w:type="dxa"/>
            <w:vAlign w:val="bottom"/>
          </w:tcPr>
          <w:p>
            <w:pPr>
              <w:ind w:left="20"/>
              <w:spacing w:after="0"/>
              <w:rPr>
                <w:sz w:val="20"/>
                <w:szCs w:val="20"/>
                <w:color w:val="auto"/>
              </w:rPr>
            </w:pPr>
            <w:r>
              <w:rPr>
                <w:rFonts w:ascii="Arial" w:cs="Arial" w:eastAsia="Arial" w:hAnsi="Arial"/>
                <w:sz w:val="18"/>
                <w:szCs w:val="18"/>
                <w:color w:val="auto"/>
              </w:rPr>
              <w:t>NRG Demand Response Holdings LLC</w:t>
            </w:r>
          </w:p>
        </w:tc>
        <w:tc>
          <w:tcPr>
            <w:tcW w:w="5020" w:type="dxa"/>
            <w:vAlign w:val="bottom"/>
          </w:tcPr>
          <w:p>
            <w:pPr>
              <w:ind w:left="2460"/>
              <w:spacing w:after="0"/>
              <w:rPr>
                <w:sz w:val="20"/>
                <w:szCs w:val="20"/>
                <w:color w:val="auto"/>
              </w:rPr>
            </w:pPr>
            <w:r>
              <w:rPr>
                <w:rFonts w:ascii="Arial" w:cs="Arial" w:eastAsia="Arial" w:hAnsi="Arial"/>
                <w:sz w:val="18"/>
                <w:szCs w:val="18"/>
                <w:color w:val="auto"/>
              </w:rPr>
              <w:t>Delaware</w:t>
            </w:r>
          </w:p>
        </w:tc>
      </w:tr>
      <w:tr>
        <w:trPr>
          <w:trHeight w:val="224"/>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dGen Advisory Services LLC</w:t>
            </w:r>
          </w:p>
        </w:tc>
        <w:tc>
          <w:tcPr>
            <w:tcW w:w="502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429" w:right="339" w:bottom="1440" w:gutter="0" w:footer="0" w:header="0"/>
        </w:sectPr>
      </w:pPr>
    </w:p>
    <w:bookmarkStart w:id="322" w:name="page323"/>
    <w:bookmarkEnd w:id="3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280" w:type="dxa"/>
            <w:vAlign w:val="bottom"/>
          </w:tcPr>
          <w:p>
            <w:pPr>
              <w:ind w:left="20"/>
              <w:spacing w:after="0"/>
              <w:rPr>
                <w:sz w:val="20"/>
                <w:szCs w:val="20"/>
                <w:color w:val="auto"/>
              </w:rPr>
            </w:pPr>
            <w:r>
              <w:rPr>
                <w:rFonts w:ascii="Arial" w:cs="Arial" w:eastAsia="Arial" w:hAnsi="Arial"/>
                <w:sz w:val="18"/>
                <w:szCs w:val="18"/>
                <w:color w:val="auto"/>
              </w:rPr>
              <w:t>NRG Dispatch Services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Distributed Energy Resources Holdings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Distributed Generation PR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Dunkirk Operations Inc.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East Generation Holdings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ECOKAP Holdings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El Segundo Operations Inc.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Energy Center Eagles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Energy Center Oxnard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Energy Gas &amp; Wind Holdings, Inc.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Energy Holdings Inc.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Energy Services Group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Energy Services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Energy, Inc.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Fuel Resources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Gas Development Company,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Generation Holdings Inc.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Gladstone Operating Services Pty Ltd</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Australia</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Greens Bayou 6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Greens Bayou Mobile Energy Solutions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Home &amp; Business Solutions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Home Services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Texas</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Home Solutions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Home Solutions Product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Homer City Services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HQ DG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Huntley Operations Inc.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Identity Protect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Indian River Storage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International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Jewett Energy Center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Lease Co,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Limestone 3,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Maintenance Services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Mextrans Inc.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MidCon Development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Midwest Holdings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Midwest Storage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Norwalk Harbor Operations Inc.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Ohio Pipeline Company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Operating Services, Inc.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Oxbow Holdings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31"/>
        </w:trPr>
        <w:tc>
          <w:tcPr>
            <w:tcW w:w="6280" w:type="dxa"/>
            <w:vAlign w:val="bottom"/>
          </w:tcPr>
          <w:p>
            <w:pPr>
              <w:ind w:left="20"/>
              <w:spacing w:after="0"/>
              <w:rPr>
                <w:sz w:val="20"/>
                <w:szCs w:val="20"/>
                <w:color w:val="auto"/>
              </w:rPr>
            </w:pPr>
            <w:r>
              <w:rPr>
                <w:rFonts w:ascii="Arial" w:cs="Arial" w:eastAsia="Arial" w:hAnsi="Arial"/>
                <w:sz w:val="18"/>
                <w:szCs w:val="18"/>
                <w:color w:val="auto"/>
              </w:rPr>
              <w:t>NRG Pecos Bend Energy Center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425" w:right="339" w:bottom="1440" w:gutter="0" w:footer="0" w:header="0"/>
        </w:sectPr>
      </w:pPr>
    </w:p>
    <w:bookmarkStart w:id="323" w:name="page324"/>
    <w:bookmarkEnd w:id="3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Portable Power LLC</w:t>
            </w:r>
          </w:p>
        </w:tc>
        <w:tc>
          <w:tcPr>
            <w:tcW w:w="53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Delaware</w:t>
            </w:r>
          </w:p>
        </w:tc>
      </w:tr>
      <w:tr>
        <w:trPr>
          <w:trHeight w:val="224"/>
        </w:trPr>
        <w:tc>
          <w:tcPr>
            <w:tcW w:w="5940" w:type="dxa"/>
            <w:vAlign w:val="bottom"/>
          </w:tcPr>
          <w:p>
            <w:pPr>
              <w:ind w:left="20"/>
              <w:spacing w:after="0"/>
              <w:rPr>
                <w:sz w:val="20"/>
                <w:szCs w:val="20"/>
                <w:color w:val="auto"/>
              </w:rPr>
            </w:pPr>
            <w:r>
              <w:rPr>
                <w:rFonts w:ascii="Arial" w:cs="Arial" w:eastAsia="Arial" w:hAnsi="Arial"/>
                <w:sz w:val="18"/>
                <w:szCs w:val="18"/>
                <w:color w:val="auto"/>
              </w:rPr>
              <w:t>NRG Potrero Development LLC</w:t>
            </w:r>
          </w:p>
        </w:tc>
        <w:tc>
          <w:tcPr>
            <w:tcW w:w="5300" w:type="dxa"/>
            <w:vAlign w:val="bottom"/>
          </w:tcPr>
          <w:p>
            <w:pPr>
              <w:ind w:left="2740"/>
              <w:spacing w:after="0"/>
              <w:rPr>
                <w:sz w:val="20"/>
                <w:szCs w:val="20"/>
                <w:color w:val="auto"/>
              </w:rPr>
            </w:pPr>
            <w:r>
              <w:rPr>
                <w:rFonts w:ascii="Arial" w:cs="Arial" w:eastAsia="Arial" w:hAnsi="Arial"/>
                <w:sz w:val="18"/>
                <w:szCs w:val="18"/>
                <w:color w:val="auto"/>
              </w:rPr>
              <w:t>Delaware</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Prairie Energy Center LLC</w:t>
            </w:r>
          </w:p>
        </w:tc>
        <w:tc>
          <w:tcPr>
            <w:tcW w:w="53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Delaware</w:t>
            </w:r>
          </w:p>
        </w:tc>
      </w:tr>
      <w:tr>
        <w:trPr>
          <w:trHeight w:val="224"/>
        </w:trPr>
        <w:tc>
          <w:tcPr>
            <w:tcW w:w="5940" w:type="dxa"/>
            <w:vAlign w:val="bottom"/>
          </w:tcPr>
          <w:p>
            <w:pPr>
              <w:ind w:left="20"/>
              <w:spacing w:after="0"/>
              <w:rPr>
                <w:sz w:val="20"/>
                <w:szCs w:val="20"/>
                <w:color w:val="auto"/>
              </w:rPr>
            </w:pPr>
            <w:r>
              <w:rPr>
                <w:rFonts w:ascii="Arial" w:cs="Arial" w:eastAsia="Arial" w:hAnsi="Arial"/>
                <w:sz w:val="18"/>
                <w:szCs w:val="18"/>
                <w:color w:val="auto"/>
              </w:rPr>
              <w:t>NRG Procurement Company LLC</w:t>
            </w:r>
          </w:p>
        </w:tc>
        <w:tc>
          <w:tcPr>
            <w:tcW w:w="5300" w:type="dxa"/>
            <w:vAlign w:val="bottom"/>
          </w:tcPr>
          <w:p>
            <w:pPr>
              <w:ind w:left="2740"/>
              <w:spacing w:after="0"/>
              <w:rPr>
                <w:sz w:val="20"/>
                <w:szCs w:val="20"/>
                <w:color w:val="auto"/>
              </w:rPr>
            </w:pPr>
            <w:r>
              <w:rPr>
                <w:rFonts w:ascii="Arial" w:cs="Arial" w:eastAsia="Arial" w:hAnsi="Arial"/>
                <w:sz w:val="18"/>
                <w:szCs w:val="18"/>
                <w:color w:val="auto"/>
              </w:rPr>
              <w:t>Nevada</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Protects Inc. (CA)</w:t>
            </w:r>
          </w:p>
        </w:tc>
        <w:tc>
          <w:tcPr>
            <w:tcW w:w="53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California</w:t>
            </w:r>
          </w:p>
        </w:tc>
      </w:tr>
      <w:tr>
        <w:trPr>
          <w:trHeight w:val="224"/>
        </w:trPr>
        <w:tc>
          <w:tcPr>
            <w:tcW w:w="5940" w:type="dxa"/>
            <w:vAlign w:val="bottom"/>
          </w:tcPr>
          <w:p>
            <w:pPr>
              <w:ind w:left="20"/>
              <w:spacing w:after="0"/>
              <w:rPr>
                <w:sz w:val="20"/>
                <w:szCs w:val="20"/>
                <w:color w:val="auto"/>
              </w:rPr>
            </w:pPr>
            <w:r>
              <w:rPr>
                <w:rFonts w:ascii="Arial" w:cs="Arial" w:eastAsia="Arial" w:hAnsi="Arial"/>
                <w:sz w:val="18"/>
                <w:szCs w:val="18"/>
                <w:color w:val="auto"/>
              </w:rPr>
              <w:t>NRG Protects Inc. (IL)</w:t>
            </w:r>
          </w:p>
        </w:tc>
        <w:tc>
          <w:tcPr>
            <w:tcW w:w="5300" w:type="dxa"/>
            <w:vAlign w:val="bottom"/>
          </w:tcPr>
          <w:p>
            <w:pPr>
              <w:ind w:left="2740"/>
              <w:spacing w:after="0"/>
              <w:rPr>
                <w:sz w:val="20"/>
                <w:szCs w:val="20"/>
                <w:color w:val="auto"/>
              </w:rPr>
            </w:pPr>
            <w:r>
              <w:rPr>
                <w:rFonts w:ascii="Arial" w:cs="Arial" w:eastAsia="Arial" w:hAnsi="Arial"/>
                <w:sz w:val="18"/>
                <w:szCs w:val="18"/>
                <w:color w:val="auto"/>
              </w:rPr>
              <w:t>Illinois</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Receivables LLC</w:t>
            </w:r>
          </w:p>
        </w:tc>
        <w:tc>
          <w:tcPr>
            <w:tcW w:w="53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Delaware</w:t>
            </w:r>
          </w:p>
        </w:tc>
      </w:tr>
      <w:tr>
        <w:trPr>
          <w:trHeight w:val="224"/>
        </w:trPr>
        <w:tc>
          <w:tcPr>
            <w:tcW w:w="5940" w:type="dxa"/>
            <w:vAlign w:val="bottom"/>
          </w:tcPr>
          <w:p>
            <w:pPr>
              <w:ind w:left="20"/>
              <w:spacing w:after="0"/>
              <w:rPr>
                <w:sz w:val="20"/>
                <w:szCs w:val="20"/>
                <w:color w:val="auto"/>
              </w:rPr>
            </w:pPr>
            <w:r>
              <w:rPr>
                <w:rFonts w:ascii="Arial" w:cs="Arial" w:eastAsia="Arial" w:hAnsi="Arial"/>
                <w:sz w:val="18"/>
                <w:szCs w:val="18"/>
                <w:color w:val="auto"/>
              </w:rPr>
              <w:t>NRG Reliability Solutions LLC</w:t>
            </w:r>
          </w:p>
        </w:tc>
        <w:tc>
          <w:tcPr>
            <w:tcW w:w="5300" w:type="dxa"/>
            <w:vAlign w:val="bottom"/>
          </w:tcPr>
          <w:p>
            <w:pPr>
              <w:ind w:left="2740"/>
              <w:spacing w:after="0"/>
              <w:rPr>
                <w:sz w:val="20"/>
                <w:szCs w:val="20"/>
                <w:color w:val="auto"/>
              </w:rPr>
            </w:pPr>
            <w:r>
              <w:rPr>
                <w:rFonts w:ascii="Arial" w:cs="Arial" w:eastAsia="Arial" w:hAnsi="Arial"/>
                <w:sz w:val="18"/>
                <w:szCs w:val="18"/>
                <w:color w:val="auto"/>
              </w:rPr>
              <w:t>Delaware</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Repowering Holdings LLC</w:t>
            </w:r>
          </w:p>
        </w:tc>
        <w:tc>
          <w:tcPr>
            <w:tcW w:w="53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Delaware</w:t>
            </w:r>
          </w:p>
        </w:tc>
      </w:tr>
      <w:tr>
        <w:trPr>
          <w:trHeight w:val="224"/>
        </w:trPr>
        <w:tc>
          <w:tcPr>
            <w:tcW w:w="5940" w:type="dxa"/>
            <w:vAlign w:val="bottom"/>
          </w:tcPr>
          <w:p>
            <w:pPr>
              <w:ind w:left="20"/>
              <w:spacing w:after="0"/>
              <w:rPr>
                <w:sz w:val="20"/>
                <w:szCs w:val="20"/>
                <w:color w:val="auto"/>
              </w:rPr>
            </w:pPr>
            <w:r>
              <w:rPr>
                <w:rFonts w:ascii="Arial" w:cs="Arial" w:eastAsia="Arial" w:hAnsi="Arial"/>
                <w:sz w:val="18"/>
                <w:szCs w:val="18"/>
                <w:color w:val="auto"/>
              </w:rPr>
              <w:t>NRG Residential Solar Solutions LLC</w:t>
            </w:r>
          </w:p>
        </w:tc>
        <w:tc>
          <w:tcPr>
            <w:tcW w:w="5300" w:type="dxa"/>
            <w:vAlign w:val="bottom"/>
          </w:tcPr>
          <w:p>
            <w:pPr>
              <w:ind w:left="2740"/>
              <w:spacing w:after="0"/>
              <w:rPr>
                <w:sz w:val="20"/>
                <w:szCs w:val="20"/>
                <w:color w:val="auto"/>
              </w:rPr>
            </w:pPr>
            <w:r>
              <w:rPr>
                <w:rFonts w:ascii="Arial" w:cs="Arial" w:eastAsia="Arial" w:hAnsi="Arial"/>
                <w:sz w:val="18"/>
                <w:szCs w:val="18"/>
                <w:color w:val="auto"/>
              </w:rPr>
              <w:t>Delaware</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Retail LLC</w:t>
            </w:r>
          </w:p>
        </w:tc>
        <w:tc>
          <w:tcPr>
            <w:tcW w:w="53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Delaware</w:t>
            </w:r>
          </w:p>
        </w:tc>
      </w:tr>
      <w:tr>
        <w:trPr>
          <w:trHeight w:val="224"/>
        </w:trPr>
        <w:tc>
          <w:tcPr>
            <w:tcW w:w="5940" w:type="dxa"/>
            <w:vAlign w:val="bottom"/>
          </w:tcPr>
          <w:p>
            <w:pPr>
              <w:ind w:left="20"/>
              <w:spacing w:after="0"/>
              <w:rPr>
                <w:sz w:val="20"/>
                <w:szCs w:val="20"/>
                <w:color w:val="auto"/>
              </w:rPr>
            </w:pPr>
            <w:r>
              <w:rPr>
                <w:rFonts w:ascii="Arial" w:cs="Arial" w:eastAsia="Arial" w:hAnsi="Arial"/>
                <w:sz w:val="18"/>
                <w:szCs w:val="18"/>
                <w:color w:val="auto"/>
              </w:rPr>
              <w:t>NRG Rockford Acquisition LLC</w:t>
            </w:r>
          </w:p>
        </w:tc>
        <w:tc>
          <w:tcPr>
            <w:tcW w:w="5300" w:type="dxa"/>
            <w:vAlign w:val="bottom"/>
          </w:tcPr>
          <w:p>
            <w:pPr>
              <w:ind w:left="2740"/>
              <w:spacing w:after="0"/>
              <w:rPr>
                <w:sz w:val="20"/>
                <w:szCs w:val="20"/>
                <w:color w:val="auto"/>
              </w:rPr>
            </w:pPr>
            <w:r>
              <w:rPr>
                <w:rFonts w:ascii="Arial" w:cs="Arial" w:eastAsia="Arial" w:hAnsi="Arial"/>
                <w:sz w:val="18"/>
                <w:szCs w:val="18"/>
                <w:color w:val="auto"/>
              </w:rPr>
              <w:t>Delaware</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Saguaro Operations Inc.</w:t>
            </w:r>
          </w:p>
        </w:tc>
        <w:tc>
          <w:tcPr>
            <w:tcW w:w="53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Delaware</w:t>
            </w:r>
          </w:p>
        </w:tc>
      </w:tr>
      <w:tr>
        <w:trPr>
          <w:trHeight w:val="224"/>
        </w:trPr>
        <w:tc>
          <w:tcPr>
            <w:tcW w:w="5940" w:type="dxa"/>
            <w:vAlign w:val="bottom"/>
          </w:tcPr>
          <w:p>
            <w:pPr>
              <w:ind w:left="20"/>
              <w:spacing w:after="0"/>
              <w:rPr>
                <w:sz w:val="20"/>
                <w:szCs w:val="20"/>
                <w:color w:val="auto"/>
              </w:rPr>
            </w:pPr>
            <w:r>
              <w:rPr>
                <w:rFonts w:ascii="Arial" w:cs="Arial" w:eastAsia="Arial" w:hAnsi="Arial"/>
                <w:sz w:val="18"/>
                <w:szCs w:val="18"/>
                <w:color w:val="auto"/>
              </w:rPr>
              <w:t>NRG Security LLC</w:t>
            </w:r>
          </w:p>
        </w:tc>
        <w:tc>
          <w:tcPr>
            <w:tcW w:w="5300" w:type="dxa"/>
            <w:vAlign w:val="bottom"/>
          </w:tcPr>
          <w:p>
            <w:pPr>
              <w:ind w:left="2740"/>
              <w:spacing w:after="0"/>
              <w:rPr>
                <w:sz w:val="20"/>
                <w:szCs w:val="20"/>
                <w:color w:val="auto"/>
              </w:rPr>
            </w:pPr>
            <w:r>
              <w:rPr>
                <w:rFonts w:ascii="Arial" w:cs="Arial" w:eastAsia="Arial" w:hAnsi="Arial"/>
                <w:sz w:val="18"/>
                <w:szCs w:val="18"/>
                <w:color w:val="auto"/>
              </w:rPr>
              <w:t>Delaware</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SimplySmart Solutions LLC</w:t>
            </w:r>
          </w:p>
        </w:tc>
        <w:tc>
          <w:tcPr>
            <w:tcW w:w="53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Delaware</w:t>
            </w:r>
          </w:p>
        </w:tc>
      </w:tr>
      <w:tr>
        <w:trPr>
          <w:trHeight w:val="224"/>
        </w:trPr>
        <w:tc>
          <w:tcPr>
            <w:tcW w:w="5940" w:type="dxa"/>
            <w:vAlign w:val="bottom"/>
          </w:tcPr>
          <w:p>
            <w:pPr>
              <w:ind w:left="20"/>
              <w:spacing w:after="0"/>
              <w:rPr>
                <w:sz w:val="20"/>
                <w:szCs w:val="20"/>
                <w:color w:val="auto"/>
              </w:rPr>
            </w:pPr>
            <w:r>
              <w:rPr>
                <w:rFonts w:ascii="Arial" w:cs="Arial" w:eastAsia="Arial" w:hAnsi="Arial"/>
                <w:sz w:val="18"/>
                <w:szCs w:val="18"/>
                <w:color w:val="auto"/>
              </w:rPr>
              <w:t>NRG Solar Arrowhead LLC</w:t>
            </w:r>
          </w:p>
        </w:tc>
        <w:tc>
          <w:tcPr>
            <w:tcW w:w="5300" w:type="dxa"/>
            <w:vAlign w:val="bottom"/>
          </w:tcPr>
          <w:p>
            <w:pPr>
              <w:ind w:left="2740"/>
              <w:spacing w:after="0"/>
              <w:rPr>
                <w:sz w:val="20"/>
                <w:szCs w:val="20"/>
                <w:color w:val="auto"/>
              </w:rPr>
            </w:pPr>
            <w:r>
              <w:rPr>
                <w:rFonts w:ascii="Arial" w:cs="Arial" w:eastAsia="Arial" w:hAnsi="Arial"/>
                <w:sz w:val="18"/>
                <w:szCs w:val="18"/>
                <w:color w:val="auto"/>
              </w:rPr>
              <w:t>Delaware</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Solar CVSR Holdings 2 LLC</w:t>
            </w:r>
          </w:p>
        </w:tc>
        <w:tc>
          <w:tcPr>
            <w:tcW w:w="53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Delaware</w:t>
            </w:r>
          </w:p>
        </w:tc>
      </w:tr>
      <w:tr>
        <w:trPr>
          <w:trHeight w:val="224"/>
        </w:trPr>
        <w:tc>
          <w:tcPr>
            <w:tcW w:w="5940" w:type="dxa"/>
            <w:vAlign w:val="bottom"/>
          </w:tcPr>
          <w:p>
            <w:pPr>
              <w:ind w:left="20"/>
              <w:spacing w:after="0"/>
              <w:rPr>
                <w:sz w:val="20"/>
                <w:szCs w:val="20"/>
                <w:color w:val="auto"/>
              </w:rPr>
            </w:pPr>
            <w:r>
              <w:rPr>
                <w:rFonts w:ascii="Arial" w:cs="Arial" w:eastAsia="Arial" w:hAnsi="Arial"/>
                <w:sz w:val="18"/>
                <w:szCs w:val="18"/>
                <w:color w:val="auto"/>
              </w:rPr>
              <w:t>NRG Solar Ivanpah LLC</w:t>
            </w:r>
          </w:p>
        </w:tc>
        <w:tc>
          <w:tcPr>
            <w:tcW w:w="5300" w:type="dxa"/>
            <w:vAlign w:val="bottom"/>
          </w:tcPr>
          <w:p>
            <w:pPr>
              <w:ind w:left="2740"/>
              <w:spacing w:after="0"/>
              <w:rPr>
                <w:sz w:val="20"/>
                <w:szCs w:val="20"/>
                <w:color w:val="auto"/>
              </w:rPr>
            </w:pPr>
            <w:r>
              <w:rPr>
                <w:rFonts w:ascii="Arial" w:cs="Arial" w:eastAsia="Arial" w:hAnsi="Arial"/>
                <w:sz w:val="18"/>
                <w:szCs w:val="18"/>
                <w:color w:val="auto"/>
              </w:rPr>
              <w:t>Delaware</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Solar Ring LLC</w:t>
            </w:r>
          </w:p>
        </w:tc>
        <w:tc>
          <w:tcPr>
            <w:tcW w:w="53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Delaware</w:t>
            </w:r>
          </w:p>
        </w:tc>
      </w:tr>
      <w:tr>
        <w:trPr>
          <w:trHeight w:val="224"/>
        </w:trPr>
        <w:tc>
          <w:tcPr>
            <w:tcW w:w="5940" w:type="dxa"/>
            <w:vAlign w:val="bottom"/>
          </w:tcPr>
          <w:p>
            <w:pPr>
              <w:ind w:left="20"/>
              <w:spacing w:after="0"/>
              <w:rPr>
                <w:sz w:val="20"/>
                <w:szCs w:val="20"/>
                <w:color w:val="auto"/>
              </w:rPr>
            </w:pPr>
            <w:r>
              <w:rPr>
                <w:rFonts w:ascii="Arial" w:cs="Arial" w:eastAsia="Arial" w:hAnsi="Arial"/>
                <w:sz w:val="18"/>
                <w:szCs w:val="18"/>
                <w:color w:val="auto"/>
              </w:rPr>
              <w:t>NRG Solar SC Stadium LLC</w:t>
            </w:r>
          </w:p>
        </w:tc>
        <w:tc>
          <w:tcPr>
            <w:tcW w:w="5300" w:type="dxa"/>
            <w:vAlign w:val="bottom"/>
          </w:tcPr>
          <w:p>
            <w:pPr>
              <w:ind w:left="2740"/>
              <w:spacing w:after="0"/>
              <w:rPr>
                <w:sz w:val="20"/>
                <w:szCs w:val="20"/>
                <w:color w:val="auto"/>
              </w:rPr>
            </w:pPr>
            <w:r>
              <w:rPr>
                <w:rFonts w:ascii="Arial" w:cs="Arial" w:eastAsia="Arial" w:hAnsi="Arial"/>
                <w:sz w:val="18"/>
                <w:szCs w:val="18"/>
                <w:color w:val="auto"/>
              </w:rPr>
              <w:t>Delaware</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Solar Sunrise LLC</w:t>
            </w:r>
          </w:p>
        </w:tc>
        <w:tc>
          <w:tcPr>
            <w:tcW w:w="53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Delaware</w:t>
            </w:r>
          </w:p>
        </w:tc>
      </w:tr>
      <w:tr>
        <w:trPr>
          <w:trHeight w:val="224"/>
        </w:trPr>
        <w:tc>
          <w:tcPr>
            <w:tcW w:w="5940" w:type="dxa"/>
            <w:vAlign w:val="bottom"/>
          </w:tcPr>
          <w:p>
            <w:pPr>
              <w:ind w:left="20"/>
              <w:spacing w:after="0"/>
              <w:rPr>
                <w:sz w:val="20"/>
                <w:szCs w:val="20"/>
                <w:color w:val="auto"/>
              </w:rPr>
            </w:pPr>
            <w:r>
              <w:rPr>
                <w:rFonts w:ascii="Arial" w:cs="Arial" w:eastAsia="Arial" w:hAnsi="Arial"/>
                <w:sz w:val="18"/>
                <w:szCs w:val="18"/>
                <w:color w:val="auto"/>
              </w:rPr>
              <w:t>NRG Storage Fabrication &amp; Delivery LLC</w:t>
            </w:r>
          </w:p>
        </w:tc>
        <w:tc>
          <w:tcPr>
            <w:tcW w:w="5300" w:type="dxa"/>
            <w:vAlign w:val="bottom"/>
          </w:tcPr>
          <w:p>
            <w:pPr>
              <w:ind w:left="2740"/>
              <w:spacing w:after="0"/>
              <w:rPr>
                <w:sz w:val="20"/>
                <w:szCs w:val="20"/>
                <w:color w:val="auto"/>
              </w:rPr>
            </w:pPr>
            <w:r>
              <w:rPr>
                <w:rFonts w:ascii="Arial" w:cs="Arial" w:eastAsia="Arial" w:hAnsi="Arial"/>
                <w:sz w:val="18"/>
                <w:szCs w:val="18"/>
                <w:color w:val="auto"/>
              </w:rPr>
              <w:t>Delaware</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Storage on Demand NY LLC</w:t>
            </w:r>
          </w:p>
        </w:tc>
        <w:tc>
          <w:tcPr>
            <w:tcW w:w="53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Delaware</w:t>
            </w:r>
          </w:p>
        </w:tc>
      </w:tr>
      <w:tr>
        <w:trPr>
          <w:trHeight w:val="224"/>
        </w:trPr>
        <w:tc>
          <w:tcPr>
            <w:tcW w:w="5940" w:type="dxa"/>
            <w:vAlign w:val="bottom"/>
          </w:tcPr>
          <w:p>
            <w:pPr>
              <w:ind w:left="20"/>
              <w:spacing w:after="0"/>
              <w:rPr>
                <w:sz w:val="20"/>
                <w:szCs w:val="20"/>
                <w:color w:val="auto"/>
              </w:rPr>
            </w:pPr>
            <w:r>
              <w:rPr>
                <w:rFonts w:ascii="Arial" w:cs="Arial" w:eastAsia="Arial" w:hAnsi="Arial"/>
                <w:sz w:val="18"/>
                <w:szCs w:val="18"/>
                <w:color w:val="auto"/>
              </w:rPr>
              <w:t>NRG Sustainability Solutions LLC</w:t>
            </w:r>
          </w:p>
        </w:tc>
        <w:tc>
          <w:tcPr>
            <w:tcW w:w="5300" w:type="dxa"/>
            <w:vAlign w:val="bottom"/>
          </w:tcPr>
          <w:p>
            <w:pPr>
              <w:ind w:left="2740"/>
              <w:spacing w:after="0"/>
              <w:rPr>
                <w:sz w:val="20"/>
                <w:szCs w:val="20"/>
                <w:color w:val="auto"/>
              </w:rPr>
            </w:pPr>
            <w:r>
              <w:rPr>
                <w:rFonts w:ascii="Arial" w:cs="Arial" w:eastAsia="Arial" w:hAnsi="Arial"/>
                <w:sz w:val="18"/>
                <w:szCs w:val="18"/>
                <w:color w:val="auto"/>
              </w:rPr>
              <w:t>Delaware</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Texas Gregory LLC</w:t>
            </w:r>
          </w:p>
        </w:tc>
        <w:tc>
          <w:tcPr>
            <w:tcW w:w="53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Delaware</w:t>
            </w:r>
          </w:p>
        </w:tc>
      </w:tr>
      <w:tr>
        <w:trPr>
          <w:trHeight w:val="224"/>
        </w:trPr>
        <w:tc>
          <w:tcPr>
            <w:tcW w:w="5940" w:type="dxa"/>
            <w:vAlign w:val="bottom"/>
          </w:tcPr>
          <w:p>
            <w:pPr>
              <w:ind w:left="20"/>
              <w:spacing w:after="0"/>
              <w:rPr>
                <w:sz w:val="20"/>
                <w:szCs w:val="20"/>
                <w:color w:val="auto"/>
              </w:rPr>
            </w:pPr>
            <w:r>
              <w:rPr>
                <w:rFonts w:ascii="Arial" w:cs="Arial" w:eastAsia="Arial" w:hAnsi="Arial"/>
                <w:sz w:val="18"/>
                <w:szCs w:val="18"/>
                <w:color w:val="auto"/>
              </w:rPr>
              <w:t>NRG Texas Holding Inc.</w:t>
            </w:r>
          </w:p>
        </w:tc>
        <w:tc>
          <w:tcPr>
            <w:tcW w:w="5300" w:type="dxa"/>
            <w:vAlign w:val="bottom"/>
          </w:tcPr>
          <w:p>
            <w:pPr>
              <w:ind w:left="2740"/>
              <w:spacing w:after="0"/>
              <w:rPr>
                <w:sz w:val="20"/>
                <w:szCs w:val="20"/>
                <w:color w:val="auto"/>
              </w:rPr>
            </w:pPr>
            <w:r>
              <w:rPr>
                <w:rFonts w:ascii="Arial" w:cs="Arial" w:eastAsia="Arial" w:hAnsi="Arial"/>
                <w:sz w:val="18"/>
                <w:szCs w:val="18"/>
                <w:color w:val="auto"/>
              </w:rPr>
              <w:t>Delaware</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Texas LLC</w:t>
            </w:r>
          </w:p>
        </w:tc>
        <w:tc>
          <w:tcPr>
            <w:tcW w:w="53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Delaware</w:t>
            </w:r>
          </w:p>
        </w:tc>
      </w:tr>
      <w:tr>
        <w:trPr>
          <w:trHeight w:val="224"/>
        </w:trPr>
        <w:tc>
          <w:tcPr>
            <w:tcW w:w="5940" w:type="dxa"/>
            <w:vAlign w:val="bottom"/>
          </w:tcPr>
          <w:p>
            <w:pPr>
              <w:ind w:left="20"/>
              <w:spacing w:after="0"/>
              <w:rPr>
                <w:sz w:val="20"/>
                <w:szCs w:val="20"/>
                <w:color w:val="auto"/>
              </w:rPr>
            </w:pPr>
            <w:r>
              <w:rPr>
                <w:rFonts w:ascii="Arial" w:cs="Arial" w:eastAsia="Arial" w:hAnsi="Arial"/>
                <w:sz w:val="18"/>
                <w:szCs w:val="18"/>
                <w:color w:val="auto"/>
              </w:rPr>
              <w:t>NRG Texas Power LLC</w:t>
            </w:r>
          </w:p>
        </w:tc>
        <w:tc>
          <w:tcPr>
            <w:tcW w:w="5300" w:type="dxa"/>
            <w:vAlign w:val="bottom"/>
          </w:tcPr>
          <w:p>
            <w:pPr>
              <w:ind w:left="2740"/>
              <w:spacing w:after="0"/>
              <w:rPr>
                <w:sz w:val="20"/>
                <w:szCs w:val="20"/>
                <w:color w:val="auto"/>
              </w:rPr>
            </w:pPr>
            <w:r>
              <w:rPr>
                <w:rFonts w:ascii="Arial" w:cs="Arial" w:eastAsia="Arial" w:hAnsi="Arial"/>
                <w:sz w:val="18"/>
                <w:szCs w:val="18"/>
                <w:color w:val="auto"/>
              </w:rPr>
              <w:t>Delaware</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Texas Retail LLC</w:t>
            </w:r>
          </w:p>
        </w:tc>
        <w:tc>
          <w:tcPr>
            <w:tcW w:w="53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Delaware</w:t>
            </w:r>
          </w:p>
        </w:tc>
      </w:tr>
      <w:tr>
        <w:trPr>
          <w:trHeight w:val="224"/>
        </w:trPr>
        <w:tc>
          <w:tcPr>
            <w:tcW w:w="5940" w:type="dxa"/>
            <w:vAlign w:val="bottom"/>
          </w:tcPr>
          <w:p>
            <w:pPr>
              <w:ind w:left="20"/>
              <w:spacing w:after="0"/>
              <w:rPr>
                <w:sz w:val="20"/>
                <w:szCs w:val="20"/>
                <w:color w:val="auto"/>
              </w:rPr>
            </w:pPr>
            <w:r>
              <w:rPr>
                <w:rFonts w:ascii="Arial" w:cs="Arial" w:eastAsia="Arial" w:hAnsi="Arial"/>
                <w:sz w:val="18"/>
                <w:szCs w:val="18"/>
                <w:color w:val="auto"/>
              </w:rPr>
              <w:t>NRG THW GT LLC</w:t>
            </w:r>
          </w:p>
        </w:tc>
        <w:tc>
          <w:tcPr>
            <w:tcW w:w="5300" w:type="dxa"/>
            <w:vAlign w:val="bottom"/>
          </w:tcPr>
          <w:p>
            <w:pPr>
              <w:ind w:left="2740"/>
              <w:spacing w:after="0"/>
              <w:rPr>
                <w:sz w:val="20"/>
                <w:szCs w:val="20"/>
                <w:color w:val="auto"/>
              </w:rPr>
            </w:pPr>
            <w:r>
              <w:rPr>
                <w:rFonts w:ascii="Arial" w:cs="Arial" w:eastAsia="Arial" w:hAnsi="Arial"/>
                <w:sz w:val="18"/>
                <w:szCs w:val="18"/>
                <w:color w:val="auto"/>
              </w:rPr>
              <w:t>Delaware</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Tolar Power LLC</w:t>
            </w:r>
          </w:p>
        </w:tc>
        <w:tc>
          <w:tcPr>
            <w:tcW w:w="53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Delaware</w:t>
            </w:r>
          </w:p>
        </w:tc>
      </w:tr>
      <w:tr>
        <w:trPr>
          <w:trHeight w:val="224"/>
        </w:trPr>
        <w:tc>
          <w:tcPr>
            <w:tcW w:w="5940" w:type="dxa"/>
            <w:vAlign w:val="bottom"/>
          </w:tcPr>
          <w:p>
            <w:pPr>
              <w:ind w:left="20"/>
              <w:spacing w:after="0"/>
              <w:rPr>
                <w:sz w:val="20"/>
                <w:szCs w:val="20"/>
                <w:color w:val="auto"/>
              </w:rPr>
            </w:pPr>
            <w:r>
              <w:rPr>
                <w:rFonts w:ascii="Arial" w:cs="Arial" w:eastAsia="Arial" w:hAnsi="Arial"/>
                <w:sz w:val="18"/>
                <w:szCs w:val="18"/>
                <w:color w:val="auto"/>
              </w:rPr>
              <w:t>NRG Transmission Holdings LLC</w:t>
            </w:r>
          </w:p>
        </w:tc>
        <w:tc>
          <w:tcPr>
            <w:tcW w:w="5300" w:type="dxa"/>
            <w:vAlign w:val="bottom"/>
          </w:tcPr>
          <w:p>
            <w:pPr>
              <w:ind w:left="2740"/>
              <w:spacing w:after="0"/>
              <w:rPr>
                <w:sz w:val="20"/>
                <w:szCs w:val="20"/>
                <w:color w:val="auto"/>
              </w:rPr>
            </w:pPr>
            <w:r>
              <w:rPr>
                <w:rFonts w:ascii="Arial" w:cs="Arial" w:eastAsia="Arial" w:hAnsi="Arial"/>
                <w:sz w:val="18"/>
                <w:szCs w:val="18"/>
                <w:color w:val="auto"/>
              </w:rPr>
              <w:t>Delaware</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ULC Parent, Inc.</w:t>
            </w:r>
          </w:p>
        </w:tc>
        <w:tc>
          <w:tcPr>
            <w:tcW w:w="53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Delaware</w:t>
            </w:r>
          </w:p>
        </w:tc>
      </w:tr>
      <w:tr>
        <w:trPr>
          <w:trHeight w:val="224"/>
        </w:trPr>
        <w:tc>
          <w:tcPr>
            <w:tcW w:w="5940" w:type="dxa"/>
            <w:vAlign w:val="bottom"/>
          </w:tcPr>
          <w:p>
            <w:pPr>
              <w:ind w:left="20"/>
              <w:spacing w:after="0"/>
              <w:rPr>
                <w:sz w:val="20"/>
                <w:szCs w:val="20"/>
                <w:color w:val="auto"/>
              </w:rPr>
            </w:pPr>
            <w:r>
              <w:rPr>
                <w:rFonts w:ascii="Arial" w:cs="Arial" w:eastAsia="Arial" w:hAnsi="Arial"/>
                <w:sz w:val="18"/>
                <w:szCs w:val="18"/>
                <w:color w:val="auto"/>
              </w:rPr>
              <w:t>NRG Victoria I Pty Ltd</w:t>
            </w:r>
          </w:p>
        </w:tc>
        <w:tc>
          <w:tcPr>
            <w:tcW w:w="5300" w:type="dxa"/>
            <w:vAlign w:val="bottom"/>
          </w:tcPr>
          <w:p>
            <w:pPr>
              <w:ind w:left="2740"/>
              <w:spacing w:after="0"/>
              <w:rPr>
                <w:sz w:val="20"/>
                <w:szCs w:val="20"/>
                <w:color w:val="auto"/>
              </w:rPr>
            </w:pPr>
            <w:r>
              <w:rPr>
                <w:rFonts w:ascii="Arial" w:cs="Arial" w:eastAsia="Arial" w:hAnsi="Arial"/>
                <w:sz w:val="18"/>
                <w:szCs w:val="18"/>
                <w:color w:val="auto"/>
              </w:rPr>
              <w:t>Australia</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VPP LLC</w:t>
            </w:r>
          </w:p>
        </w:tc>
        <w:tc>
          <w:tcPr>
            <w:tcW w:w="53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Delaware</w:t>
            </w:r>
          </w:p>
        </w:tc>
      </w:tr>
      <w:tr>
        <w:trPr>
          <w:trHeight w:val="224"/>
        </w:trPr>
        <w:tc>
          <w:tcPr>
            <w:tcW w:w="5940" w:type="dxa"/>
            <w:vAlign w:val="bottom"/>
          </w:tcPr>
          <w:p>
            <w:pPr>
              <w:ind w:left="20"/>
              <w:spacing w:after="0"/>
              <w:rPr>
                <w:sz w:val="20"/>
                <w:szCs w:val="20"/>
                <w:color w:val="auto"/>
              </w:rPr>
            </w:pPr>
            <w:r>
              <w:rPr>
                <w:rFonts w:ascii="Arial" w:cs="Arial" w:eastAsia="Arial" w:hAnsi="Arial"/>
                <w:sz w:val="18"/>
                <w:szCs w:val="18"/>
                <w:color w:val="auto"/>
              </w:rPr>
              <w:t>NRG VPP Solutions LLC</w:t>
            </w:r>
          </w:p>
        </w:tc>
        <w:tc>
          <w:tcPr>
            <w:tcW w:w="5300" w:type="dxa"/>
            <w:vAlign w:val="bottom"/>
          </w:tcPr>
          <w:p>
            <w:pPr>
              <w:ind w:left="2740"/>
              <w:spacing w:after="0"/>
              <w:rPr>
                <w:sz w:val="20"/>
                <w:szCs w:val="20"/>
                <w:color w:val="auto"/>
              </w:rPr>
            </w:pPr>
            <w:r>
              <w:rPr>
                <w:rFonts w:ascii="Arial" w:cs="Arial" w:eastAsia="Arial" w:hAnsi="Arial"/>
                <w:sz w:val="18"/>
                <w:szCs w:val="18"/>
                <w:color w:val="auto"/>
              </w:rPr>
              <w:t>Delaware</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Warranty Services LLC</w:t>
            </w:r>
          </w:p>
        </w:tc>
        <w:tc>
          <w:tcPr>
            <w:tcW w:w="53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Delaware</w:t>
            </w:r>
          </w:p>
        </w:tc>
      </w:tr>
      <w:tr>
        <w:trPr>
          <w:trHeight w:val="224"/>
        </w:trPr>
        <w:tc>
          <w:tcPr>
            <w:tcW w:w="5940" w:type="dxa"/>
            <w:vAlign w:val="bottom"/>
          </w:tcPr>
          <w:p>
            <w:pPr>
              <w:ind w:left="20"/>
              <w:spacing w:after="0"/>
              <w:rPr>
                <w:sz w:val="20"/>
                <w:szCs w:val="20"/>
                <w:color w:val="auto"/>
              </w:rPr>
            </w:pPr>
            <w:r>
              <w:rPr>
                <w:rFonts w:ascii="Arial" w:cs="Arial" w:eastAsia="Arial" w:hAnsi="Arial"/>
                <w:sz w:val="18"/>
                <w:szCs w:val="18"/>
                <w:color w:val="auto"/>
              </w:rPr>
              <w:t>NRG Waukegan Storage LLC</w:t>
            </w:r>
          </w:p>
        </w:tc>
        <w:tc>
          <w:tcPr>
            <w:tcW w:w="5300" w:type="dxa"/>
            <w:vAlign w:val="bottom"/>
          </w:tcPr>
          <w:p>
            <w:pPr>
              <w:ind w:left="2740"/>
              <w:spacing w:after="0"/>
              <w:rPr>
                <w:sz w:val="20"/>
                <w:szCs w:val="20"/>
                <w:color w:val="auto"/>
              </w:rPr>
            </w:pPr>
            <w:r>
              <w:rPr>
                <w:rFonts w:ascii="Arial" w:cs="Arial" w:eastAsia="Arial" w:hAnsi="Arial"/>
                <w:sz w:val="18"/>
                <w:szCs w:val="18"/>
                <w:color w:val="auto"/>
              </w:rPr>
              <w:t>Delaware</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West Coast LLC</w:t>
            </w:r>
          </w:p>
        </w:tc>
        <w:tc>
          <w:tcPr>
            <w:tcW w:w="53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Delaware</w:t>
            </w:r>
          </w:p>
        </w:tc>
      </w:tr>
      <w:tr>
        <w:trPr>
          <w:trHeight w:val="224"/>
        </w:trPr>
        <w:tc>
          <w:tcPr>
            <w:tcW w:w="5940" w:type="dxa"/>
            <w:vAlign w:val="bottom"/>
          </w:tcPr>
          <w:p>
            <w:pPr>
              <w:ind w:left="20"/>
              <w:spacing w:after="0"/>
              <w:rPr>
                <w:sz w:val="20"/>
                <w:szCs w:val="20"/>
                <w:color w:val="auto"/>
              </w:rPr>
            </w:pPr>
            <w:r>
              <w:rPr>
                <w:rFonts w:ascii="Arial" w:cs="Arial" w:eastAsia="Arial" w:hAnsi="Arial"/>
                <w:sz w:val="18"/>
                <w:szCs w:val="18"/>
                <w:color w:val="auto"/>
              </w:rPr>
              <w:t>NRG Western Affiliate Services Inc.</w:t>
            </w:r>
          </w:p>
        </w:tc>
        <w:tc>
          <w:tcPr>
            <w:tcW w:w="5300" w:type="dxa"/>
            <w:vAlign w:val="bottom"/>
          </w:tcPr>
          <w:p>
            <w:pPr>
              <w:ind w:left="2740"/>
              <w:spacing w:after="0"/>
              <w:rPr>
                <w:sz w:val="20"/>
                <w:szCs w:val="20"/>
                <w:color w:val="auto"/>
              </w:rPr>
            </w:pPr>
            <w:r>
              <w:rPr>
                <w:rFonts w:ascii="Arial" w:cs="Arial" w:eastAsia="Arial" w:hAnsi="Arial"/>
                <w:sz w:val="18"/>
                <w:szCs w:val="18"/>
                <w:color w:val="auto"/>
              </w:rPr>
              <w:t>Delaware</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Will County Storage LLC</w:t>
            </w:r>
          </w:p>
        </w:tc>
        <w:tc>
          <w:tcPr>
            <w:tcW w:w="53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Delaware</w:t>
            </w:r>
          </w:p>
        </w:tc>
      </w:tr>
      <w:tr>
        <w:trPr>
          <w:trHeight w:val="224"/>
        </w:trPr>
        <w:tc>
          <w:tcPr>
            <w:tcW w:w="5940" w:type="dxa"/>
            <w:vAlign w:val="bottom"/>
          </w:tcPr>
          <w:p>
            <w:pPr>
              <w:ind w:left="20"/>
              <w:spacing w:after="0"/>
              <w:rPr>
                <w:sz w:val="20"/>
                <w:szCs w:val="20"/>
                <w:color w:val="auto"/>
              </w:rPr>
            </w:pPr>
            <w:r>
              <w:rPr>
                <w:rFonts w:ascii="Arial" w:cs="Arial" w:eastAsia="Arial" w:hAnsi="Arial"/>
                <w:sz w:val="18"/>
                <w:szCs w:val="18"/>
                <w:color w:val="auto"/>
              </w:rPr>
              <w:t>NRG Wolf Bone Energy Center LLC</w:t>
            </w:r>
          </w:p>
        </w:tc>
        <w:tc>
          <w:tcPr>
            <w:tcW w:w="5300" w:type="dxa"/>
            <w:vAlign w:val="bottom"/>
          </w:tcPr>
          <w:p>
            <w:pPr>
              <w:ind w:left="2740"/>
              <w:spacing w:after="0"/>
              <w:rPr>
                <w:sz w:val="20"/>
                <w:szCs w:val="20"/>
                <w:color w:val="auto"/>
              </w:rPr>
            </w:pPr>
            <w:r>
              <w:rPr>
                <w:rFonts w:ascii="Arial" w:cs="Arial" w:eastAsia="Arial" w:hAnsi="Arial"/>
                <w:sz w:val="18"/>
                <w:szCs w:val="18"/>
                <w:color w:val="auto"/>
              </w:rPr>
              <w:t>Delaware</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NRGenerating German Holdings GmbH</w:t>
            </w:r>
          </w:p>
        </w:tc>
        <w:tc>
          <w:tcPr>
            <w:tcW w:w="530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Switzerland</w:t>
            </w:r>
          </w:p>
        </w:tc>
      </w:tr>
    </w:tbl>
    <w:p>
      <w:pPr>
        <w:sectPr>
          <w:pgSz w:w="11900" w:h="16838" w:orient="portrait"/>
          <w:cols w:equalWidth="0" w:num="1">
            <w:col w:w="11240"/>
          </w:cols>
          <w:pgMar w:left="320" w:top="1429" w:right="339" w:bottom="1440" w:gutter="0" w:footer="0" w:header="0"/>
        </w:sectPr>
      </w:pPr>
    </w:p>
    <w:bookmarkStart w:id="324" w:name="page325"/>
    <w:bookmarkEnd w:id="3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160" w:type="dxa"/>
            <w:vAlign w:val="bottom"/>
          </w:tcPr>
          <w:p>
            <w:pPr>
              <w:ind w:left="20"/>
              <w:spacing w:after="0"/>
              <w:rPr>
                <w:sz w:val="20"/>
                <w:szCs w:val="20"/>
                <w:color w:val="auto"/>
              </w:rPr>
            </w:pPr>
            <w:r>
              <w:rPr>
                <w:rFonts w:ascii="Arial" w:cs="Arial" w:eastAsia="Arial" w:hAnsi="Arial"/>
                <w:sz w:val="18"/>
                <w:szCs w:val="18"/>
                <w:color w:val="auto"/>
              </w:rPr>
              <w:t>NRGenerating International B.V.</w:t>
            </w:r>
          </w:p>
        </w:tc>
        <w:tc>
          <w:tcPr>
            <w:tcW w:w="5080" w:type="dxa"/>
            <w:vAlign w:val="bottom"/>
          </w:tcPr>
          <w:p>
            <w:pPr>
              <w:ind w:left="2520"/>
              <w:spacing w:after="0"/>
              <w:rPr>
                <w:sz w:val="20"/>
                <w:szCs w:val="20"/>
                <w:color w:val="auto"/>
              </w:rPr>
            </w:pPr>
            <w:r>
              <w:rPr>
                <w:rFonts w:ascii="Arial" w:cs="Arial" w:eastAsia="Arial" w:hAnsi="Arial"/>
                <w:sz w:val="18"/>
                <w:szCs w:val="18"/>
                <w:color w:val="auto"/>
              </w:rPr>
              <w:t>Netherlands</w:t>
            </w:r>
          </w:p>
        </w:tc>
      </w:tr>
      <w:tr>
        <w:trPr>
          <w:trHeight w:val="224"/>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NRGenerating Luxembourg (No. 1) S.a.r.l.</w:t>
            </w:r>
          </w:p>
        </w:tc>
        <w:tc>
          <w:tcPr>
            <w:tcW w:w="5080" w:type="dxa"/>
            <w:vAlign w:val="bottom"/>
            <w:shd w:val="clear" w:color="auto" w:fill="CCEEFF"/>
          </w:tcPr>
          <w:p>
            <w:pPr>
              <w:ind w:left="2520"/>
              <w:spacing w:after="0"/>
              <w:rPr>
                <w:sz w:val="20"/>
                <w:szCs w:val="20"/>
                <w:color w:val="auto"/>
              </w:rPr>
            </w:pPr>
            <w:r>
              <w:rPr>
                <w:rFonts w:ascii="Arial" w:cs="Arial" w:eastAsia="Arial" w:hAnsi="Arial"/>
                <w:sz w:val="18"/>
                <w:szCs w:val="18"/>
                <w:color w:val="auto"/>
              </w:rPr>
              <w:t>Luxembourg</w:t>
            </w:r>
          </w:p>
        </w:tc>
      </w:tr>
      <w:tr>
        <w:trPr>
          <w:trHeight w:val="224"/>
        </w:trPr>
        <w:tc>
          <w:tcPr>
            <w:tcW w:w="6160" w:type="dxa"/>
            <w:vAlign w:val="bottom"/>
          </w:tcPr>
          <w:p>
            <w:pPr>
              <w:ind w:left="20"/>
              <w:spacing w:after="0"/>
              <w:rPr>
                <w:sz w:val="20"/>
                <w:szCs w:val="20"/>
                <w:color w:val="auto"/>
              </w:rPr>
            </w:pPr>
            <w:r>
              <w:rPr>
                <w:rFonts w:ascii="Arial" w:cs="Arial" w:eastAsia="Arial" w:hAnsi="Arial"/>
                <w:sz w:val="18"/>
                <w:szCs w:val="18"/>
                <w:color w:val="auto"/>
              </w:rPr>
              <w:t>NRGenerating Luxembourg (No. 2) S.a.r.l.</w:t>
            </w:r>
          </w:p>
        </w:tc>
        <w:tc>
          <w:tcPr>
            <w:tcW w:w="5080" w:type="dxa"/>
            <w:vAlign w:val="bottom"/>
          </w:tcPr>
          <w:p>
            <w:pPr>
              <w:ind w:left="2520"/>
              <w:spacing w:after="0"/>
              <w:rPr>
                <w:sz w:val="20"/>
                <w:szCs w:val="20"/>
                <w:color w:val="auto"/>
              </w:rPr>
            </w:pPr>
            <w:r>
              <w:rPr>
                <w:rFonts w:ascii="Arial" w:cs="Arial" w:eastAsia="Arial" w:hAnsi="Arial"/>
                <w:sz w:val="18"/>
                <w:szCs w:val="18"/>
                <w:color w:val="auto"/>
              </w:rPr>
              <w:t>Luxembourg</w:t>
            </w:r>
          </w:p>
        </w:tc>
      </w:tr>
      <w:tr>
        <w:trPr>
          <w:trHeight w:val="224"/>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Peaker Power Holdings, LLC</w:t>
            </w:r>
          </w:p>
        </w:tc>
        <w:tc>
          <w:tcPr>
            <w:tcW w:w="5080" w:type="dxa"/>
            <w:vAlign w:val="bottom"/>
            <w:shd w:val="clear" w:color="auto" w:fill="CCEEFF"/>
          </w:tcPr>
          <w:p>
            <w:pPr>
              <w:ind w:left="2520"/>
              <w:spacing w:after="0"/>
              <w:rPr>
                <w:sz w:val="20"/>
                <w:szCs w:val="20"/>
                <w:color w:val="auto"/>
              </w:rPr>
            </w:pPr>
            <w:r>
              <w:rPr>
                <w:rFonts w:ascii="Arial" w:cs="Arial" w:eastAsia="Arial" w:hAnsi="Arial"/>
                <w:sz w:val="18"/>
                <w:szCs w:val="18"/>
                <w:color w:val="auto"/>
              </w:rPr>
              <w:t>Texas</w:t>
            </w:r>
          </w:p>
        </w:tc>
      </w:tr>
      <w:tr>
        <w:trPr>
          <w:trHeight w:val="224"/>
        </w:trPr>
        <w:tc>
          <w:tcPr>
            <w:tcW w:w="6160" w:type="dxa"/>
            <w:vAlign w:val="bottom"/>
          </w:tcPr>
          <w:p>
            <w:pPr>
              <w:ind w:left="20"/>
              <w:spacing w:after="0"/>
              <w:rPr>
                <w:sz w:val="20"/>
                <w:szCs w:val="20"/>
                <w:color w:val="auto"/>
              </w:rPr>
            </w:pPr>
            <w:r>
              <w:rPr>
                <w:rFonts w:ascii="Arial" w:cs="Arial" w:eastAsia="Arial" w:hAnsi="Arial"/>
                <w:sz w:val="18"/>
                <w:szCs w:val="18"/>
                <w:color w:val="auto"/>
              </w:rPr>
              <w:t>Petra Nova Holdings LLC</w:t>
            </w:r>
          </w:p>
        </w:tc>
        <w:tc>
          <w:tcPr>
            <w:tcW w:w="5080" w:type="dxa"/>
            <w:vAlign w:val="bottom"/>
          </w:tcPr>
          <w:p>
            <w:pPr>
              <w:ind w:left="2520"/>
              <w:spacing w:after="0"/>
              <w:rPr>
                <w:sz w:val="20"/>
                <w:szCs w:val="20"/>
                <w:color w:val="auto"/>
              </w:rPr>
            </w:pPr>
            <w:r>
              <w:rPr>
                <w:rFonts w:ascii="Arial" w:cs="Arial" w:eastAsia="Arial" w:hAnsi="Arial"/>
                <w:sz w:val="18"/>
                <w:szCs w:val="18"/>
                <w:color w:val="auto"/>
              </w:rPr>
              <w:t>Delaware</w:t>
            </w:r>
          </w:p>
        </w:tc>
      </w:tr>
      <w:tr>
        <w:trPr>
          <w:trHeight w:val="224"/>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Phoenix Power Holdings, LLC</w:t>
            </w:r>
          </w:p>
        </w:tc>
        <w:tc>
          <w:tcPr>
            <w:tcW w:w="5080" w:type="dxa"/>
            <w:vAlign w:val="bottom"/>
            <w:shd w:val="clear" w:color="auto" w:fill="CCEEFF"/>
          </w:tcPr>
          <w:p>
            <w:pPr>
              <w:ind w:left="2520"/>
              <w:spacing w:after="0"/>
              <w:rPr>
                <w:sz w:val="20"/>
                <w:szCs w:val="20"/>
                <w:color w:val="auto"/>
              </w:rPr>
            </w:pPr>
            <w:r>
              <w:rPr>
                <w:rFonts w:ascii="Arial" w:cs="Arial" w:eastAsia="Arial" w:hAnsi="Arial"/>
                <w:sz w:val="18"/>
                <w:szCs w:val="18"/>
                <w:color w:val="auto"/>
              </w:rPr>
              <w:t>Delaware</w:t>
            </w:r>
          </w:p>
        </w:tc>
      </w:tr>
      <w:tr>
        <w:trPr>
          <w:trHeight w:val="224"/>
        </w:trPr>
        <w:tc>
          <w:tcPr>
            <w:tcW w:w="6160" w:type="dxa"/>
            <w:vAlign w:val="bottom"/>
          </w:tcPr>
          <w:p>
            <w:pPr>
              <w:ind w:left="20"/>
              <w:spacing w:after="0"/>
              <w:rPr>
                <w:sz w:val="20"/>
                <w:szCs w:val="20"/>
                <w:color w:val="auto"/>
              </w:rPr>
            </w:pPr>
            <w:r>
              <w:rPr>
                <w:rFonts w:ascii="Arial" w:cs="Arial" w:eastAsia="Arial" w:hAnsi="Arial"/>
                <w:sz w:val="18"/>
                <w:szCs w:val="18"/>
                <w:color w:val="auto"/>
              </w:rPr>
              <w:t>Port Comfort Power LLC</w:t>
            </w:r>
          </w:p>
        </w:tc>
        <w:tc>
          <w:tcPr>
            <w:tcW w:w="5080" w:type="dxa"/>
            <w:vAlign w:val="bottom"/>
          </w:tcPr>
          <w:p>
            <w:pPr>
              <w:ind w:left="2520"/>
              <w:spacing w:after="0"/>
              <w:rPr>
                <w:sz w:val="20"/>
                <w:szCs w:val="20"/>
                <w:color w:val="auto"/>
              </w:rPr>
            </w:pPr>
            <w:r>
              <w:rPr>
                <w:rFonts w:ascii="Arial" w:cs="Arial" w:eastAsia="Arial" w:hAnsi="Arial"/>
                <w:sz w:val="18"/>
                <w:szCs w:val="18"/>
                <w:color w:val="auto"/>
              </w:rPr>
              <w:t>Texas</w:t>
            </w:r>
          </w:p>
        </w:tc>
      </w:tr>
      <w:tr>
        <w:trPr>
          <w:trHeight w:val="224"/>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Pure Energies Group ULC</w:t>
            </w:r>
          </w:p>
        </w:tc>
        <w:tc>
          <w:tcPr>
            <w:tcW w:w="5080" w:type="dxa"/>
            <w:vAlign w:val="bottom"/>
            <w:shd w:val="clear" w:color="auto" w:fill="CCEEFF"/>
          </w:tcPr>
          <w:p>
            <w:pPr>
              <w:ind w:left="2520"/>
              <w:spacing w:after="0"/>
              <w:rPr>
                <w:sz w:val="20"/>
                <w:szCs w:val="20"/>
                <w:color w:val="auto"/>
              </w:rPr>
            </w:pPr>
            <w:r>
              <w:rPr>
                <w:rFonts w:ascii="Arial" w:cs="Arial" w:eastAsia="Arial" w:hAnsi="Arial"/>
                <w:sz w:val="18"/>
                <w:szCs w:val="18"/>
                <w:color w:val="auto"/>
              </w:rPr>
              <w:t>Nova Scotia</w:t>
            </w:r>
          </w:p>
        </w:tc>
      </w:tr>
      <w:tr>
        <w:trPr>
          <w:trHeight w:val="224"/>
        </w:trPr>
        <w:tc>
          <w:tcPr>
            <w:tcW w:w="6160" w:type="dxa"/>
            <w:vAlign w:val="bottom"/>
          </w:tcPr>
          <w:p>
            <w:pPr>
              <w:ind w:left="20"/>
              <w:spacing w:after="0"/>
              <w:rPr>
                <w:sz w:val="20"/>
                <w:szCs w:val="20"/>
                <w:color w:val="auto"/>
              </w:rPr>
            </w:pPr>
            <w:r>
              <w:rPr>
                <w:rFonts w:ascii="Arial" w:cs="Arial" w:eastAsia="Arial" w:hAnsi="Arial"/>
                <w:sz w:val="18"/>
                <w:szCs w:val="18"/>
                <w:color w:val="auto"/>
              </w:rPr>
              <w:t>Pure Energies Solar Services Inc.</w:t>
            </w:r>
          </w:p>
        </w:tc>
        <w:tc>
          <w:tcPr>
            <w:tcW w:w="5080" w:type="dxa"/>
            <w:vAlign w:val="bottom"/>
          </w:tcPr>
          <w:p>
            <w:pPr>
              <w:ind w:left="2520"/>
              <w:spacing w:after="0"/>
              <w:rPr>
                <w:sz w:val="20"/>
                <w:szCs w:val="20"/>
                <w:color w:val="auto"/>
              </w:rPr>
            </w:pPr>
            <w:r>
              <w:rPr>
                <w:rFonts w:ascii="Arial" w:cs="Arial" w:eastAsia="Arial" w:hAnsi="Arial"/>
                <w:sz w:val="18"/>
                <w:szCs w:val="18"/>
                <w:color w:val="auto"/>
              </w:rPr>
              <w:t>Ontario</w:t>
            </w:r>
          </w:p>
        </w:tc>
      </w:tr>
      <w:tr>
        <w:trPr>
          <w:trHeight w:val="224"/>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Pure Group, Inc.</w:t>
            </w:r>
          </w:p>
        </w:tc>
        <w:tc>
          <w:tcPr>
            <w:tcW w:w="5080" w:type="dxa"/>
            <w:vAlign w:val="bottom"/>
            <w:shd w:val="clear" w:color="auto" w:fill="CCEEFF"/>
          </w:tcPr>
          <w:p>
            <w:pPr>
              <w:ind w:left="2520"/>
              <w:spacing w:after="0"/>
              <w:rPr>
                <w:sz w:val="20"/>
                <w:szCs w:val="20"/>
                <w:color w:val="auto"/>
              </w:rPr>
            </w:pPr>
            <w:r>
              <w:rPr>
                <w:rFonts w:ascii="Arial" w:cs="Arial" w:eastAsia="Arial" w:hAnsi="Arial"/>
                <w:sz w:val="18"/>
                <w:szCs w:val="18"/>
                <w:color w:val="auto"/>
              </w:rPr>
              <w:t>California</w:t>
            </w:r>
          </w:p>
        </w:tc>
      </w:tr>
      <w:tr>
        <w:trPr>
          <w:trHeight w:val="224"/>
        </w:trPr>
        <w:tc>
          <w:tcPr>
            <w:tcW w:w="6160" w:type="dxa"/>
            <w:vAlign w:val="bottom"/>
          </w:tcPr>
          <w:p>
            <w:pPr>
              <w:ind w:left="20"/>
              <w:spacing w:after="0"/>
              <w:rPr>
                <w:sz w:val="20"/>
                <w:szCs w:val="20"/>
                <w:color w:val="auto"/>
              </w:rPr>
            </w:pPr>
            <w:r>
              <w:rPr>
                <w:rFonts w:ascii="Arial" w:cs="Arial" w:eastAsia="Arial" w:hAnsi="Arial"/>
                <w:sz w:val="18"/>
                <w:szCs w:val="18"/>
                <w:color w:val="auto"/>
              </w:rPr>
              <w:t>Redback Power LP, LLC</w:t>
            </w:r>
          </w:p>
        </w:tc>
        <w:tc>
          <w:tcPr>
            <w:tcW w:w="5080" w:type="dxa"/>
            <w:vAlign w:val="bottom"/>
          </w:tcPr>
          <w:p>
            <w:pPr>
              <w:ind w:left="2520"/>
              <w:spacing w:after="0"/>
              <w:rPr>
                <w:sz w:val="20"/>
                <w:szCs w:val="20"/>
                <w:color w:val="auto"/>
              </w:rPr>
            </w:pPr>
            <w:r>
              <w:rPr>
                <w:rFonts w:ascii="Arial" w:cs="Arial" w:eastAsia="Arial" w:hAnsi="Arial"/>
                <w:sz w:val="18"/>
                <w:szCs w:val="18"/>
                <w:color w:val="auto"/>
              </w:rPr>
              <w:t>Delaware</w:t>
            </w:r>
          </w:p>
        </w:tc>
      </w:tr>
      <w:tr>
        <w:trPr>
          <w:trHeight w:val="224"/>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Redback Power, LLC</w:t>
            </w:r>
          </w:p>
        </w:tc>
        <w:tc>
          <w:tcPr>
            <w:tcW w:w="5080" w:type="dxa"/>
            <w:vAlign w:val="bottom"/>
            <w:shd w:val="clear" w:color="auto" w:fill="CCEEFF"/>
          </w:tcPr>
          <w:p>
            <w:pPr>
              <w:ind w:left="2520"/>
              <w:spacing w:after="0"/>
              <w:rPr>
                <w:sz w:val="20"/>
                <w:szCs w:val="20"/>
                <w:color w:val="auto"/>
              </w:rPr>
            </w:pPr>
            <w:r>
              <w:rPr>
                <w:rFonts w:ascii="Arial" w:cs="Arial" w:eastAsia="Arial" w:hAnsi="Arial"/>
                <w:sz w:val="18"/>
                <w:szCs w:val="18"/>
                <w:color w:val="auto"/>
              </w:rPr>
              <w:t>Delaware</w:t>
            </w:r>
          </w:p>
        </w:tc>
      </w:tr>
      <w:tr>
        <w:trPr>
          <w:trHeight w:val="224"/>
        </w:trPr>
        <w:tc>
          <w:tcPr>
            <w:tcW w:w="6160" w:type="dxa"/>
            <w:vAlign w:val="bottom"/>
          </w:tcPr>
          <w:p>
            <w:pPr>
              <w:ind w:left="20"/>
              <w:spacing w:after="0"/>
              <w:rPr>
                <w:sz w:val="20"/>
                <w:szCs w:val="20"/>
                <w:color w:val="auto"/>
              </w:rPr>
            </w:pPr>
            <w:r>
              <w:rPr>
                <w:rFonts w:ascii="Arial" w:cs="Arial" w:eastAsia="Arial" w:hAnsi="Arial"/>
                <w:sz w:val="18"/>
                <w:szCs w:val="18"/>
                <w:color w:val="auto"/>
              </w:rPr>
              <w:t>Reliant Charitable Foundation</w:t>
            </w:r>
          </w:p>
        </w:tc>
        <w:tc>
          <w:tcPr>
            <w:tcW w:w="5080" w:type="dxa"/>
            <w:vAlign w:val="bottom"/>
          </w:tcPr>
          <w:p>
            <w:pPr>
              <w:ind w:left="2520"/>
              <w:spacing w:after="0"/>
              <w:rPr>
                <w:sz w:val="20"/>
                <w:szCs w:val="20"/>
                <w:color w:val="auto"/>
              </w:rPr>
            </w:pPr>
            <w:r>
              <w:rPr>
                <w:rFonts w:ascii="Arial" w:cs="Arial" w:eastAsia="Arial" w:hAnsi="Arial"/>
                <w:sz w:val="18"/>
                <w:szCs w:val="18"/>
                <w:color w:val="auto"/>
              </w:rPr>
              <w:t>Delaware</w:t>
            </w:r>
          </w:p>
        </w:tc>
      </w:tr>
      <w:tr>
        <w:trPr>
          <w:trHeight w:val="224"/>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Reliant Energy Northeast LLC</w:t>
            </w:r>
          </w:p>
        </w:tc>
        <w:tc>
          <w:tcPr>
            <w:tcW w:w="5080" w:type="dxa"/>
            <w:vAlign w:val="bottom"/>
            <w:shd w:val="clear" w:color="auto" w:fill="CCEEFF"/>
          </w:tcPr>
          <w:p>
            <w:pPr>
              <w:ind w:left="2520"/>
              <w:spacing w:after="0"/>
              <w:rPr>
                <w:sz w:val="20"/>
                <w:szCs w:val="20"/>
                <w:color w:val="auto"/>
              </w:rPr>
            </w:pPr>
            <w:r>
              <w:rPr>
                <w:rFonts w:ascii="Arial" w:cs="Arial" w:eastAsia="Arial" w:hAnsi="Arial"/>
                <w:sz w:val="18"/>
                <w:szCs w:val="18"/>
                <w:color w:val="auto"/>
              </w:rPr>
              <w:t>Delaware</w:t>
            </w:r>
          </w:p>
        </w:tc>
      </w:tr>
      <w:tr>
        <w:trPr>
          <w:trHeight w:val="224"/>
        </w:trPr>
        <w:tc>
          <w:tcPr>
            <w:tcW w:w="6160" w:type="dxa"/>
            <w:vAlign w:val="bottom"/>
          </w:tcPr>
          <w:p>
            <w:pPr>
              <w:ind w:left="20"/>
              <w:spacing w:after="0"/>
              <w:rPr>
                <w:sz w:val="20"/>
                <w:szCs w:val="20"/>
                <w:color w:val="auto"/>
              </w:rPr>
            </w:pPr>
            <w:r>
              <w:rPr>
                <w:rFonts w:ascii="Arial" w:cs="Arial" w:eastAsia="Arial" w:hAnsi="Arial"/>
                <w:sz w:val="18"/>
                <w:szCs w:val="18"/>
                <w:color w:val="auto"/>
              </w:rPr>
              <w:t>Reliant Energy Power Supply, LLC</w:t>
            </w:r>
          </w:p>
        </w:tc>
        <w:tc>
          <w:tcPr>
            <w:tcW w:w="5080" w:type="dxa"/>
            <w:vAlign w:val="bottom"/>
          </w:tcPr>
          <w:p>
            <w:pPr>
              <w:ind w:left="2520"/>
              <w:spacing w:after="0"/>
              <w:rPr>
                <w:sz w:val="20"/>
                <w:szCs w:val="20"/>
                <w:color w:val="auto"/>
              </w:rPr>
            </w:pPr>
            <w:r>
              <w:rPr>
                <w:rFonts w:ascii="Arial" w:cs="Arial" w:eastAsia="Arial" w:hAnsi="Arial"/>
                <w:sz w:val="18"/>
                <w:szCs w:val="18"/>
                <w:color w:val="auto"/>
              </w:rPr>
              <w:t>Delaware</w:t>
            </w:r>
          </w:p>
        </w:tc>
      </w:tr>
      <w:tr>
        <w:trPr>
          <w:trHeight w:val="224"/>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Reliant Energy Retail Holdings, LLC</w:t>
            </w:r>
          </w:p>
        </w:tc>
        <w:tc>
          <w:tcPr>
            <w:tcW w:w="5080" w:type="dxa"/>
            <w:vAlign w:val="bottom"/>
            <w:shd w:val="clear" w:color="auto" w:fill="CCEEFF"/>
          </w:tcPr>
          <w:p>
            <w:pPr>
              <w:ind w:left="2520"/>
              <w:spacing w:after="0"/>
              <w:rPr>
                <w:sz w:val="20"/>
                <w:szCs w:val="20"/>
                <w:color w:val="auto"/>
              </w:rPr>
            </w:pPr>
            <w:r>
              <w:rPr>
                <w:rFonts w:ascii="Arial" w:cs="Arial" w:eastAsia="Arial" w:hAnsi="Arial"/>
                <w:sz w:val="18"/>
                <w:szCs w:val="18"/>
                <w:color w:val="auto"/>
              </w:rPr>
              <w:t>Delaware</w:t>
            </w:r>
          </w:p>
        </w:tc>
      </w:tr>
      <w:tr>
        <w:trPr>
          <w:trHeight w:val="224"/>
        </w:trPr>
        <w:tc>
          <w:tcPr>
            <w:tcW w:w="6160" w:type="dxa"/>
            <w:vAlign w:val="bottom"/>
          </w:tcPr>
          <w:p>
            <w:pPr>
              <w:ind w:left="20"/>
              <w:spacing w:after="0"/>
              <w:rPr>
                <w:sz w:val="20"/>
                <w:szCs w:val="20"/>
                <w:color w:val="auto"/>
              </w:rPr>
            </w:pPr>
            <w:r>
              <w:rPr>
                <w:rFonts w:ascii="Arial" w:cs="Arial" w:eastAsia="Arial" w:hAnsi="Arial"/>
                <w:sz w:val="18"/>
                <w:szCs w:val="18"/>
                <w:color w:val="auto"/>
              </w:rPr>
              <w:t>Reliant Energy Retail Services, LLC</w:t>
            </w:r>
          </w:p>
        </w:tc>
        <w:tc>
          <w:tcPr>
            <w:tcW w:w="5080" w:type="dxa"/>
            <w:vAlign w:val="bottom"/>
          </w:tcPr>
          <w:p>
            <w:pPr>
              <w:ind w:left="2520"/>
              <w:spacing w:after="0"/>
              <w:rPr>
                <w:sz w:val="20"/>
                <w:szCs w:val="20"/>
                <w:color w:val="auto"/>
              </w:rPr>
            </w:pPr>
            <w:r>
              <w:rPr>
                <w:rFonts w:ascii="Arial" w:cs="Arial" w:eastAsia="Arial" w:hAnsi="Arial"/>
                <w:sz w:val="18"/>
                <w:szCs w:val="18"/>
                <w:color w:val="auto"/>
              </w:rPr>
              <w:t>Delaware</w:t>
            </w:r>
          </w:p>
        </w:tc>
      </w:tr>
      <w:tr>
        <w:trPr>
          <w:trHeight w:val="224"/>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RERH Holdings, LLC</w:t>
            </w:r>
          </w:p>
        </w:tc>
        <w:tc>
          <w:tcPr>
            <w:tcW w:w="5080" w:type="dxa"/>
            <w:vAlign w:val="bottom"/>
            <w:shd w:val="clear" w:color="auto" w:fill="CCEEFF"/>
          </w:tcPr>
          <w:p>
            <w:pPr>
              <w:ind w:left="2520"/>
              <w:spacing w:after="0"/>
              <w:rPr>
                <w:sz w:val="20"/>
                <w:szCs w:val="20"/>
                <w:color w:val="auto"/>
              </w:rPr>
            </w:pPr>
            <w:r>
              <w:rPr>
                <w:rFonts w:ascii="Arial" w:cs="Arial" w:eastAsia="Arial" w:hAnsi="Arial"/>
                <w:sz w:val="18"/>
                <w:szCs w:val="18"/>
                <w:color w:val="auto"/>
              </w:rPr>
              <w:t>Delaware</w:t>
            </w:r>
          </w:p>
        </w:tc>
      </w:tr>
      <w:tr>
        <w:trPr>
          <w:trHeight w:val="224"/>
        </w:trPr>
        <w:tc>
          <w:tcPr>
            <w:tcW w:w="6160" w:type="dxa"/>
            <w:vAlign w:val="bottom"/>
          </w:tcPr>
          <w:p>
            <w:pPr>
              <w:ind w:left="20"/>
              <w:spacing w:after="0"/>
              <w:rPr>
                <w:sz w:val="20"/>
                <w:szCs w:val="20"/>
                <w:color w:val="auto"/>
              </w:rPr>
            </w:pPr>
            <w:r>
              <w:rPr>
                <w:rFonts w:ascii="Arial" w:cs="Arial" w:eastAsia="Arial" w:hAnsi="Arial"/>
                <w:sz w:val="18"/>
                <w:szCs w:val="18"/>
                <w:color w:val="auto"/>
              </w:rPr>
              <w:t>Roof Diagnostics Solar and Electric LLC</w:t>
            </w:r>
          </w:p>
        </w:tc>
        <w:tc>
          <w:tcPr>
            <w:tcW w:w="5080" w:type="dxa"/>
            <w:vAlign w:val="bottom"/>
          </w:tcPr>
          <w:p>
            <w:pPr>
              <w:ind w:left="2520"/>
              <w:spacing w:after="0"/>
              <w:rPr>
                <w:sz w:val="20"/>
                <w:szCs w:val="20"/>
                <w:color w:val="auto"/>
              </w:rPr>
            </w:pPr>
            <w:r>
              <w:rPr>
                <w:rFonts w:ascii="Arial" w:cs="Arial" w:eastAsia="Arial" w:hAnsi="Arial"/>
                <w:sz w:val="18"/>
                <w:szCs w:val="18"/>
                <w:color w:val="auto"/>
              </w:rPr>
              <w:t>New Jersey</w:t>
            </w:r>
          </w:p>
        </w:tc>
      </w:tr>
      <w:tr>
        <w:trPr>
          <w:trHeight w:val="224"/>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Roof Diagnostics Solar and Electric of NY, LLC</w:t>
            </w:r>
          </w:p>
        </w:tc>
        <w:tc>
          <w:tcPr>
            <w:tcW w:w="5080" w:type="dxa"/>
            <w:vAlign w:val="bottom"/>
            <w:shd w:val="clear" w:color="auto" w:fill="CCEEFF"/>
          </w:tcPr>
          <w:p>
            <w:pPr>
              <w:ind w:left="2520"/>
              <w:spacing w:after="0"/>
              <w:rPr>
                <w:sz w:val="20"/>
                <w:szCs w:val="20"/>
                <w:color w:val="auto"/>
              </w:rPr>
            </w:pPr>
            <w:r>
              <w:rPr>
                <w:rFonts w:ascii="Arial" w:cs="Arial" w:eastAsia="Arial" w:hAnsi="Arial"/>
                <w:sz w:val="18"/>
                <w:szCs w:val="18"/>
                <w:color w:val="auto"/>
              </w:rPr>
              <w:t>New York</w:t>
            </w:r>
          </w:p>
        </w:tc>
      </w:tr>
      <w:tr>
        <w:trPr>
          <w:trHeight w:val="224"/>
        </w:trPr>
        <w:tc>
          <w:tcPr>
            <w:tcW w:w="6160" w:type="dxa"/>
            <w:vAlign w:val="bottom"/>
          </w:tcPr>
          <w:p>
            <w:pPr>
              <w:ind w:left="20"/>
              <w:spacing w:after="0"/>
              <w:rPr>
                <w:sz w:val="20"/>
                <w:szCs w:val="20"/>
                <w:color w:val="auto"/>
              </w:rPr>
            </w:pPr>
            <w:r>
              <w:rPr>
                <w:rFonts w:ascii="Arial" w:cs="Arial" w:eastAsia="Arial" w:hAnsi="Arial"/>
                <w:sz w:val="18"/>
                <w:szCs w:val="18"/>
                <w:color w:val="auto"/>
              </w:rPr>
              <w:t>Roof Diagnostics Solar Holdings LLC</w:t>
            </w:r>
          </w:p>
        </w:tc>
        <w:tc>
          <w:tcPr>
            <w:tcW w:w="5080" w:type="dxa"/>
            <w:vAlign w:val="bottom"/>
          </w:tcPr>
          <w:p>
            <w:pPr>
              <w:ind w:left="2520"/>
              <w:spacing w:after="0"/>
              <w:rPr>
                <w:sz w:val="20"/>
                <w:szCs w:val="20"/>
                <w:color w:val="auto"/>
              </w:rPr>
            </w:pPr>
            <w:r>
              <w:rPr>
                <w:rFonts w:ascii="Arial" w:cs="Arial" w:eastAsia="Arial" w:hAnsi="Arial"/>
                <w:sz w:val="18"/>
                <w:szCs w:val="18"/>
                <w:color w:val="auto"/>
              </w:rPr>
              <w:t>Delaware</w:t>
            </w:r>
          </w:p>
        </w:tc>
      </w:tr>
      <w:tr>
        <w:trPr>
          <w:trHeight w:val="224"/>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RSG Holding Corp.</w:t>
            </w:r>
          </w:p>
        </w:tc>
        <w:tc>
          <w:tcPr>
            <w:tcW w:w="5080" w:type="dxa"/>
            <w:vAlign w:val="bottom"/>
            <w:shd w:val="clear" w:color="auto" w:fill="CCEEFF"/>
          </w:tcPr>
          <w:p>
            <w:pPr>
              <w:ind w:left="2520"/>
              <w:spacing w:after="0"/>
              <w:rPr>
                <w:sz w:val="20"/>
                <w:szCs w:val="20"/>
                <w:color w:val="auto"/>
              </w:rPr>
            </w:pPr>
            <w:r>
              <w:rPr>
                <w:rFonts w:ascii="Arial" w:cs="Arial" w:eastAsia="Arial" w:hAnsi="Arial"/>
                <w:sz w:val="18"/>
                <w:szCs w:val="18"/>
                <w:color w:val="auto"/>
              </w:rPr>
              <w:t>Delaware</w:t>
            </w:r>
          </w:p>
        </w:tc>
      </w:tr>
      <w:tr>
        <w:trPr>
          <w:trHeight w:val="224"/>
        </w:trPr>
        <w:tc>
          <w:tcPr>
            <w:tcW w:w="6160" w:type="dxa"/>
            <w:vAlign w:val="bottom"/>
          </w:tcPr>
          <w:p>
            <w:pPr>
              <w:ind w:left="20"/>
              <w:spacing w:after="0"/>
              <w:rPr>
                <w:sz w:val="20"/>
                <w:szCs w:val="20"/>
                <w:color w:val="auto"/>
              </w:rPr>
            </w:pPr>
            <w:r>
              <w:rPr>
                <w:rFonts w:ascii="Arial" w:cs="Arial" w:eastAsia="Arial" w:hAnsi="Arial"/>
                <w:sz w:val="18"/>
                <w:szCs w:val="18"/>
                <w:color w:val="auto"/>
              </w:rPr>
              <w:t>Sabrooke Data Solutions LLC</w:t>
            </w:r>
          </w:p>
        </w:tc>
        <w:tc>
          <w:tcPr>
            <w:tcW w:w="5080" w:type="dxa"/>
            <w:vAlign w:val="bottom"/>
          </w:tcPr>
          <w:p>
            <w:pPr>
              <w:ind w:left="2520"/>
              <w:spacing w:after="0"/>
              <w:rPr>
                <w:sz w:val="20"/>
                <w:szCs w:val="20"/>
                <w:color w:val="auto"/>
              </w:rPr>
            </w:pPr>
            <w:r>
              <w:rPr>
                <w:rFonts w:ascii="Arial" w:cs="Arial" w:eastAsia="Arial" w:hAnsi="Arial"/>
                <w:sz w:val="18"/>
                <w:szCs w:val="18"/>
                <w:color w:val="auto"/>
              </w:rPr>
              <w:t>Delaware</w:t>
            </w:r>
          </w:p>
        </w:tc>
      </w:tr>
      <w:tr>
        <w:trPr>
          <w:trHeight w:val="224"/>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Saguaro Power LLC</w:t>
            </w:r>
          </w:p>
        </w:tc>
        <w:tc>
          <w:tcPr>
            <w:tcW w:w="5080" w:type="dxa"/>
            <w:vAlign w:val="bottom"/>
            <w:shd w:val="clear" w:color="auto" w:fill="CCEEFF"/>
          </w:tcPr>
          <w:p>
            <w:pPr>
              <w:ind w:left="2520"/>
              <w:spacing w:after="0"/>
              <w:rPr>
                <w:sz w:val="20"/>
                <w:szCs w:val="20"/>
                <w:color w:val="auto"/>
              </w:rPr>
            </w:pPr>
            <w:r>
              <w:rPr>
                <w:rFonts w:ascii="Arial" w:cs="Arial" w:eastAsia="Arial" w:hAnsi="Arial"/>
                <w:sz w:val="18"/>
                <w:szCs w:val="18"/>
                <w:color w:val="auto"/>
              </w:rPr>
              <w:t>Delaware</w:t>
            </w:r>
          </w:p>
        </w:tc>
      </w:tr>
      <w:tr>
        <w:trPr>
          <w:trHeight w:val="224"/>
        </w:trPr>
        <w:tc>
          <w:tcPr>
            <w:tcW w:w="6160" w:type="dxa"/>
            <w:vAlign w:val="bottom"/>
          </w:tcPr>
          <w:p>
            <w:pPr>
              <w:ind w:left="20"/>
              <w:spacing w:after="0"/>
              <w:rPr>
                <w:sz w:val="20"/>
                <w:szCs w:val="20"/>
                <w:color w:val="auto"/>
              </w:rPr>
            </w:pPr>
            <w:r>
              <w:rPr>
                <w:rFonts w:ascii="Arial" w:cs="Arial" w:eastAsia="Arial" w:hAnsi="Arial"/>
                <w:sz w:val="18"/>
                <w:szCs w:val="18"/>
                <w:color w:val="auto"/>
              </w:rPr>
              <w:t>San Jacinto Cogeneration LLC</w:t>
            </w:r>
          </w:p>
        </w:tc>
        <w:tc>
          <w:tcPr>
            <w:tcW w:w="5080" w:type="dxa"/>
            <w:vAlign w:val="bottom"/>
          </w:tcPr>
          <w:p>
            <w:pPr>
              <w:ind w:left="2520"/>
              <w:spacing w:after="0"/>
              <w:rPr>
                <w:sz w:val="20"/>
                <w:szCs w:val="20"/>
                <w:color w:val="auto"/>
              </w:rPr>
            </w:pPr>
            <w:r>
              <w:rPr>
                <w:rFonts w:ascii="Arial" w:cs="Arial" w:eastAsia="Arial" w:hAnsi="Arial"/>
                <w:sz w:val="18"/>
                <w:szCs w:val="18"/>
                <w:color w:val="auto"/>
              </w:rPr>
              <w:t>Delaware</w:t>
            </w:r>
          </w:p>
        </w:tc>
      </w:tr>
      <w:tr>
        <w:trPr>
          <w:trHeight w:val="224"/>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San Joaquin Energy, LLC</w:t>
            </w:r>
          </w:p>
        </w:tc>
        <w:tc>
          <w:tcPr>
            <w:tcW w:w="5080" w:type="dxa"/>
            <w:vAlign w:val="bottom"/>
            <w:shd w:val="clear" w:color="auto" w:fill="CCEEFF"/>
          </w:tcPr>
          <w:p>
            <w:pPr>
              <w:ind w:left="2520"/>
              <w:spacing w:after="0"/>
              <w:rPr>
                <w:sz w:val="20"/>
                <w:szCs w:val="20"/>
                <w:color w:val="auto"/>
              </w:rPr>
            </w:pPr>
            <w:r>
              <w:rPr>
                <w:rFonts w:ascii="Arial" w:cs="Arial" w:eastAsia="Arial" w:hAnsi="Arial"/>
                <w:sz w:val="18"/>
                <w:szCs w:val="18"/>
                <w:color w:val="auto"/>
              </w:rPr>
              <w:t>California</w:t>
            </w:r>
          </w:p>
        </w:tc>
      </w:tr>
      <w:tr>
        <w:trPr>
          <w:trHeight w:val="224"/>
        </w:trPr>
        <w:tc>
          <w:tcPr>
            <w:tcW w:w="6160" w:type="dxa"/>
            <w:vAlign w:val="bottom"/>
          </w:tcPr>
          <w:p>
            <w:pPr>
              <w:ind w:left="20"/>
              <w:spacing w:after="0"/>
              <w:rPr>
                <w:sz w:val="20"/>
                <w:szCs w:val="20"/>
                <w:color w:val="auto"/>
              </w:rPr>
            </w:pPr>
            <w:r>
              <w:rPr>
                <w:rFonts w:ascii="Arial" w:cs="Arial" w:eastAsia="Arial" w:hAnsi="Arial"/>
                <w:sz w:val="18"/>
                <w:szCs w:val="18"/>
                <w:color w:val="auto"/>
              </w:rPr>
              <w:t>SGE Energy Sourcing, LLC</w:t>
            </w:r>
          </w:p>
        </w:tc>
        <w:tc>
          <w:tcPr>
            <w:tcW w:w="5080" w:type="dxa"/>
            <w:vAlign w:val="bottom"/>
          </w:tcPr>
          <w:p>
            <w:pPr>
              <w:ind w:left="2520"/>
              <w:spacing w:after="0"/>
              <w:rPr>
                <w:sz w:val="20"/>
                <w:szCs w:val="20"/>
                <w:color w:val="auto"/>
              </w:rPr>
            </w:pPr>
            <w:r>
              <w:rPr>
                <w:rFonts w:ascii="Arial" w:cs="Arial" w:eastAsia="Arial" w:hAnsi="Arial"/>
                <w:sz w:val="18"/>
                <w:szCs w:val="18"/>
                <w:color w:val="auto"/>
              </w:rPr>
              <w:t>Delaware</w:t>
            </w:r>
          </w:p>
        </w:tc>
      </w:tr>
      <w:tr>
        <w:trPr>
          <w:trHeight w:val="224"/>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SGE Texas Holdco, LLC</w:t>
            </w:r>
          </w:p>
        </w:tc>
        <w:tc>
          <w:tcPr>
            <w:tcW w:w="5080" w:type="dxa"/>
            <w:vAlign w:val="bottom"/>
            <w:shd w:val="clear" w:color="auto" w:fill="CCEEFF"/>
          </w:tcPr>
          <w:p>
            <w:pPr>
              <w:ind w:left="2520"/>
              <w:spacing w:after="0"/>
              <w:rPr>
                <w:sz w:val="20"/>
                <w:szCs w:val="20"/>
                <w:color w:val="auto"/>
              </w:rPr>
            </w:pPr>
            <w:r>
              <w:rPr>
                <w:rFonts w:ascii="Arial" w:cs="Arial" w:eastAsia="Arial" w:hAnsi="Arial"/>
                <w:sz w:val="18"/>
                <w:szCs w:val="18"/>
                <w:color w:val="auto"/>
              </w:rPr>
              <w:t>Texas</w:t>
            </w:r>
          </w:p>
        </w:tc>
      </w:tr>
      <w:tr>
        <w:trPr>
          <w:trHeight w:val="224"/>
        </w:trPr>
        <w:tc>
          <w:tcPr>
            <w:tcW w:w="6160" w:type="dxa"/>
            <w:vAlign w:val="bottom"/>
          </w:tcPr>
          <w:p>
            <w:pPr>
              <w:ind w:left="20"/>
              <w:spacing w:after="0"/>
              <w:rPr>
                <w:sz w:val="20"/>
                <w:szCs w:val="20"/>
                <w:color w:val="auto"/>
              </w:rPr>
            </w:pPr>
            <w:r>
              <w:rPr>
                <w:rFonts w:ascii="Arial" w:cs="Arial" w:eastAsia="Arial" w:hAnsi="Arial"/>
                <w:sz w:val="18"/>
                <w:szCs w:val="18"/>
                <w:color w:val="auto"/>
              </w:rPr>
              <w:t>SJRR Power Holdco LLC</w:t>
            </w:r>
          </w:p>
        </w:tc>
        <w:tc>
          <w:tcPr>
            <w:tcW w:w="5080" w:type="dxa"/>
            <w:vAlign w:val="bottom"/>
          </w:tcPr>
          <w:p>
            <w:pPr>
              <w:ind w:left="2520"/>
              <w:spacing w:after="0"/>
              <w:rPr>
                <w:sz w:val="20"/>
                <w:szCs w:val="20"/>
                <w:color w:val="auto"/>
              </w:rPr>
            </w:pPr>
            <w:r>
              <w:rPr>
                <w:rFonts w:ascii="Arial" w:cs="Arial" w:eastAsia="Arial" w:hAnsi="Arial"/>
                <w:sz w:val="18"/>
                <w:szCs w:val="18"/>
                <w:color w:val="auto"/>
              </w:rPr>
              <w:t>Delaware</w:t>
            </w:r>
          </w:p>
        </w:tc>
      </w:tr>
      <w:tr>
        <w:trPr>
          <w:trHeight w:val="224"/>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SJRR Power LLC</w:t>
            </w:r>
          </w:p>
        </w:tc>
        <w:tc>
          <w:tcPr>
            <w:tcW w:w="5080" w:type="dxa"/>
            <w:vAlign w:val="bottom"/>
            <w:shd w:val="clear" w:color="auto" w:fill="CCEEFF"/>
          </w:tcPr>
          <w:p>
            <w:pPr>
              <w:ind w:left="2520"/>
              <w:spacing w:after="0"/>
              <w:rPr>
                <w:sz w:val="20"/>
                <w:szCs w:val="20"/>
                <w:color w:val="auto"/>
              </w:rPr>
            </w:pPr>
            <w:r>
              <w:rPr>
                <w:rFonts w:ascii="Arial" w:cs="Arial" w:eastAsia="Arial" w:hAnsi="Arial"/>
                <w:sz w:val="18"/>
                <w:szCs w:val="18"/>
                <w:color w:val="auto"/>
              </w:rPr>
              <w:t>Texas</w:t>
            </w:r>
          </w:p>
        </w:tc>
      </w:tr>
      <w:tr>
        <w:trPr>
          <w:trHeight w:val="224"/>
        </w:trPr>
        <w:tc>
          <w:tcPr>
            <w:tcW w:w="6160" w:type="dxa"/>
            <w:vAlign w:val="bottom"/>
          </w:tcPr>
          <w:p>
            <w:pPr>
              <w:ind w:left="20"/>
              <w:spacing w:after="0"/>
              <w:rPr>
                <w:sz w:val="20"/>
                <w:szCs w:val="20"/>
                <w:color w:val="auto"/>
              </w:rPr>
            </w:pPr>
            <w:r>
              <w:rPr>
                <w:rFonts w:ascii="Arial" w:cs="Arial" w:eastAsia="Arial" w:hAnsi="Arial"/>
                <w:sz w:val="18"/>
                <w:szCs w:val="18"/>
                <w:color w:val="auto"/>
              </w:rPr>
              <w:t>Smart Home Pros, Inc.</w:t>
            </w:r>
          </w:p>
        </w:tc>
        <w:tc>
          <w:tcPr>
            <w:tcW w:w="5080" w:type="dxa"/>
            <w:vAlign w:val="bottom"/>
          </w:tcPr>
          <w:p>
            <w:pPr>
              <w:ind w:left="2520"/>
              <w:spacing w:after="0"/>
              <w:rPr>
                <w:sz w:val="20"/>
                <w:szCs w:val="20"/>
                <w:color w:val="auto"/>
              </w:rPr>
            </w:pPr>
            <w:r>
              <w:rPr>
                <w:rFonts w:ascii="Arial" w:cs="Arial" w:eastAsia="Arial" w:hAnsi="Arial"/>
                <w:sz w:val="18"/>
                <w:szCs w:val="18"/>
                <w:color w:val="auto"/>
              </w:rPr>
              <w:t>Utah</w:t>
            </w:r>
          </w:p>
        </w:tc>
      </w:tr>
      <w:tr>
        <w:trPr>
          <w:trHeight w:val="224"/>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Solar Partners I, LLC</w:t>
            </w:r>
          </w:p>
        </w:tc>
        <w:tc>
          <w:tcPr>
            <w:tcW w:w="5080" w:type="dxa"/>
            <w:vAlign w:val="bottom"/>
            <w:shd w:val="clear" w:color="auto" w:fill="CCEEFF"/>
          </w:tcPr>
          <w:p>
            <w:pPr>
              <w:ind w:left="2520"/>
              <w:spacing w:after="0"/>
              <w:rPr>
                <w:sz w:val="20"/>
                <w:szCs w:val="20"/>
                <w:color w:val="auto"/>
              </w:rPr>
            </w:pPr>
            <w:r>
              <w:rPr>
                <w:rFonts w:ascii="Arial" w:cs="Arial" w:eastAsia="Arial" w:hAnsi="Arial"/>
                <w:sz w:val="18"/>
                <w:szCs w:val="18"/>
                <w:color w:val="auto"/>
              </w:rPr>
              <w:t>Delaware</w:t>
            </w:r>
          </w:p>
        </w:tc>
      </w:tr>
      <w:tr>
        <w:trPr>
          <w:trHeight w:val="224"/>
        </w:trPr>
        <w:tc>
          <w:tcPr>
            <w:tcW w:w="6160" w:type="dxa"/>
            <w:vAlign w:val="bottom"/>
          </w:tcPr>
          <w:p>
            <w:pPr>
              <w:ind w:left="20"/>
              <w:spacing w:after="0"/>
              <w:rPr>
                <w:sz w:val="20"/>
                <w:szCs w:val="20"/>
                <w:color w:val="auto"/>
              </w:rPr>
            </w:pPr>
            <w:r>
              <w:rPr>
                <w:rFonts w:ascii="Arial" w:cs="Arial" w:eastAsia="Arial" w:hAnsi="Arial"/>
                <w:sz w:val="18"/>
                <w:szCs w:val="18"/>
                <w:color w:val="auto"/>
              </w:rPr>
              <w:t>Solar Partners II, LLC</w:t>
            </w:r>
          </w:p>
        </w:tc>
        <w:tc>
          <w:tcPr>
            <w:tcW w:w="5080" w:type="dxa"/>
            <w:vAlign w:val="bottom"/>
          </w:tcPr>
          <w:p>
            <w:pPr>
              <w:ind w:left="2520"/>
              <w:spacing w:after="0"/>
              <w:rPr>
                <w:sz w:val="20"/>
                <w:szCs w:val="20"/>
                <w:color w:val="auto"/>
              </w:rPr>
            </w:pPr>
            <w:r>
              <w:rPr>
                <w:rFonts w:ascii="Arial" w:cs="Arial" w:eastAsia="Arial" w:hAnsi="Arial"/>
                <w:sz w:val="18"/>
                <w:szCs w:val="18"/>
                <w:color w:val="auto"/>
              </w:rPr>
              <w:t>Delaware</w:t>
            </w:r>
          </w:p>
        </w:tc>
      </w:tr>
      <w:tr>
        <w:trPr>
          <w:trHeight w:val="224"/>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Solar Partners VIII, LLC</w:t>
            </w:r>
          </w:p>
        </w:tc>
        <w:tc>
          <w:tcPr>
            <w:tcW w:w="5080" w:type="dxa"/>
            <w:vAlign w:val="bottom"/>
            <w:shd w:val="clear" w:color="auto" w:fill="CCEEFF"/>
          </w:tcPr>
          <w:p>
            <w:pPr>
              <w:ind w:left="2520"/>
              <w:spacing w:after="0"/>
              <w:rPr>
                <w:sz w:val="20"/>
                <w:szCs w:val="20"/>
                <w:color w:val="auto"/>
              </w:rPr>
            </w:pPr>
            <w:r>
              <w:rPr>
                <w:rFonts w:ascii="Arial" w:cs="Arial" w:eastAsia="Arial" w:hAnsi="Arial"/>
                <w:sz w:val="18"/>
                <w:szCs w:val="18"/>
                <w:color w:val="auto"/>
              </w:rPr>
              <w:t>Delaware</w:t>
            </w:r>
          </w:p>
        </w:tc>
      </w:tr>
      <w:tr>
        <w:trPr>
          <w:trHeight w:val="224"/>
        </w:trPr>
        <w:tc>
          <w:tcPr>
            <w:tcW w:w="6160" w:type="dxa"/>
            <w:vAlign w:val="bottom"/>
          </w:tcPr>
          <w:p>
            <w:pPr>
              <w:ind w:left="20"/>
              <w:spacing w:after="0"/>
              <w:rPr>
                <w:sz w:val="20"/>
                <w:szCs w:val="20"/>
                <w:color w:val="auto"/>
              </w:rPr>
            </w:pPr>
            <w:r>
              <w:rPr>
                <w:rFonts w:ascii="Arial" w:cs="Arial" w:eastAsia="Arial" w:hAnsi="Arial"/>
                <w:sz w:val="18"/>
                <w:szCs w:val="18"/>
                <w:color w:val="auto"/>
              </w:rPr>
              <w:t>Solar Pure Energies ULC</w:t>
            </w:r>
          </w:p>
        </w:tc>
        <w:tc>
          <w:tcPr>
            <w:tcW w:w="5080" w:type="dxa"/>
            <w:vAlign w:val="bottom"/>
          </w:tcPr>
          <w:p>
            <w:pPr>
              <w:ind w:left="2520"/>
              <w:spacing w:after="0"/>
              <w:rPr>
                <w:sz w:val="20"/>
                <w:szCs w:val="20"/>
                <w:color w:val="auto"/>
              </w:rPr>
            </w:pPr>
            <w:r>
              <w:rPr>
                <w:rFonts w:ascii="Arial" w:cs="Arial" w:eastAsia="Arial" w:hAnsi="Arial"/>
                <w:sz w:val="18"/>
                <w:szCs w:val="18"/>
                <w:color w:val="auto"/>
              </w:rPr>
              <w:t>Nova Scotia</w:t>
            </w:r>
          </w:p>
        </w:tc>
      </w:tr>
      <w:tr>
        <w:trPr>
          <w:trHeight w:val="224"/>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Somerset Operations Inc.</w:t>
            </w:r>
          </w:p>
        </w:tc>
        <w:tc>
          <w:tcPr>
            <w:tcW w:w="5080" w:type="dxa"/>
            <w:vAlign w:val="bottom"/>
            <w:shd w:val="clear" w:color="auto" w:fill="CCEEFF"/>
          </w:tcPr>
          <w:p>
            <w:pPr>
              <w:ind w:left="2520"/>
              <w:spacing w:after="0"/>
              <w:rPr>
                <w:sz w:val="20"/>
                <w:szCs w:val="20"/>
                <w:color w:val="auto"/>
              </w:rPr>
            </w:pPr>
            <w:r>
              <w:rPr>
                <w:rFonts w:ascii="Arial" w:cs="Arial" w:eastAsia="Arial" w:hAnsi="Arial"/>
                <w:sz w:val="18"/>
                <w:szCs w:val="18"/>
                <w:color w:val="auto"/>
              </w:rPr>
              <w:t>Delaware</w:t>
            </w:r>
          </w:p>
        </w:tc>
      </w:tr>
      <w:tr>
        <w:trPr>
          <w:trHeight w:val="224"/>
        </w:trPr>
        <w:tc>
          <w:tcPr>
            <w:tcW w:w="6160" w:type="dxa"/>
            <w:vAlign w:val="bottom"/>
          </w:tcPr>
          <w:p>
            <w:pPr>
              <w:ind w:left="20"/>
              <w:spacing w:after="0"/>
              <w:rPr>
                <w:sz w:val="20"/>
                <w:szCs w:val="20"/>
                <w:color w:val="auto"/>
              </w:rPr>
            </w:pPr>
            <w:r>
              <w:rPr>
                <w:rFonts w:ascii="Arial" w:cs="Arial" w:eastAsia="Arial" w:hAnsi="Arial"/>
                <w:sz w:val="18"/>
                <w:szCs w:val="18"/>
                <w:color w:val="auto"/>
              </w:rPr>
              <w:t>Somerset Power LLC</w:t>
            </w:r>
          </w:p>
        </w:tc>
        <w:tc>
          <w:tcPr>
            <w:tcW w:w="5080" w:type="dxa"/>
            <w:vAlign w:val="bottom"/>
          </w:tcPr>
          <w:p>
            <w:pPr>
              <w:ind w:left="2520"/>
              <w:spacing w:after="0"/>
              <w:rPr>
                <w:sz w:val="20"/>
                <w:szCs w:val="20"/>
                <w:color w:val="auto"/>
              </w:rPr>
            </w:pPr>
            <w:r>
              <w:rPr>
                <w:rFonts w:ascii="Arial" w:cs="Arial" w:eastAsia="Arial" w:hAnsi="Arial"/>
                <w:sz w:val="18"/>
                <w:szCs w:val="18"/>
                <w:color w:val="auto"/>
              </w:rPr>
              <w:t>Delaware</w:t>
            </w:r>
          </w:p>
        </w:tc>
      </w:tr>
      <w:tr>
        <w:trPr>
          <w:trHeight w:val="224"/>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Station A LLC</w:t>
            </w:r>
          </w:p>
        </w:tc>
        <w:tc>
          <w:tcPr>
            <w:tcW w:w="5080" w:type="dxa"/>
            <w:vAlign w:val="bottom"/>
            <w:shd w:val="clear" w:color="auto" w:fill="CCEEFF"/>
          </w:tcPr>
          <w:p>
            <w:pPr>
              <w:ind w:left="2520"/>
              <w:spacing w:after="0"/>
              <w:rPr>
                <w:sz w:val="20"/>
                <w:szCs w:val="20"/>
                <w:color w:val="auto"/>
              </w:rPr>
            </w:pPr>
            <w:r>
              <w:rPr>
                <w:rFonts w:ascii="Arial" w:cs="Arial" w:eastAsia="Arial" w:hAnsi="Arial"/>
                <w:sz w:val="18"/>
                <w:szCs w:val="18"/>
                <w:color w:val="auto"/>
              </w:rPr>
              <w:t>Delaware</w:t>
            </w:r>
          </w:p>
        </w:tc>
      </w:tr>
      <w:tr>
        <w:trPr>
          <w:trHeight w:val="224"/>
        </w:trPr>
        <w:tc>
          <w:tcPr>
            <w:tcW w:w="6160" w:type="dxa"/>
            <w:vAlign w:val="bottom"/>
          </w:tcPr>
          <w:p>
            <w:pPr>
              <w:ind w:left="20"/>
              <w:spacing w:after="0"/>
              <w:rPr>
                <w:sz w:val="20"/>
                <w:szCs w:val="20"/>
                <w:color w:val="auto"/>
              </w:rPr>
            </w:pPr>
            <w:r>
              <w:rPr>
                <w:rFonts w:ascii="Arial" w:cs="Arial" w:eastAsia="Arial" w:hAnsi="Arial"/>
                <w:sz w:val="18"/>
                <w:szCs w:val="18"/>
                <w:color w:val="auto"/>
              </w:rPr>
              <w:t>Strategic NRG Acquisition Corp.</w:t>
            </w:r>
          </w:p>
        </w:tc>
        <w:tc>
          <w:tcPr>
            <w:tcW w:w="5080" w:type="dxa"/>
            <w:vAlign w:val="bottom"/>
          </w:tcPr>
          <w:p>
            <w:pPr>
              <w:ind w:left="2520"/>
              <w:spacing w:after="0"/>
              <w:rPr>
                <w:sz w:val="20"/>
                <w:szCs w:val="20"/>
                <w:color w:val="auto"/>
              </w:rPr>
            </w:pPr>
            <w:r>
              <w:rPr>
                <w:rFonts w:ascii="Arial" w:cs="Arial" w:eastAsia="Arial" w:hAnsi="Arial"/>
                <w:sz w:val="18"/>
                <w:szCs w:val="18"/>
                <w:color w:val="auto"/>
              </w:rPr>
              <w:t>Delaware</w:t>
            </w:r>
          </w:p>
        </w:tc>
      </w:tr>
      <w:tr>
        <w:trPr>
          <w:trHeight w:val="224"/>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Strategic NRG Sponsor LLC</w:t>
            </w:r>
          </w:p>
        </w:tc>
        <w:tc>
          <w:tcPr>
            <w:tcW w:w="5080" w:type="dxa"/>
            <w:vAlign w:val="bottom"/>
            <w:shd w:val="clear" w:color="auto" w:fill="CCEEFF"/>
          </w:tcPr>
          <w:p>
            <w:pPr>
              <w:ind w:left="2520"/>
              <w:spacing w:after="0"/>
              <w:rPr>
                <w:sz w:val="20"/>
                <w:szCs w:val="20"/>
                <w:color w:val="auto"/>
              </w:rPr>
            </w:pPr>
            <w:r>
              <w:rPr>
                <w:rFonts w:ascii="Arial" w:cs="Arial" w:eastAsia="Arial" w:hAnsi="Arial"/>
                <w:sz w:val="18"/>
                <w:szCs w:val="18"/>
                <w:color w:val="auto"/>
              </w:rPr>
              <w:t>Delaware</w:t>
            </w:r>
          </w:p>
        </w:tc>
      </w:tr>
      <w:tr>
        <w:trPr>
          <w:trHeight w:val="224"/>
        </w:trPr>
        <w:tc>
          <w:tcPr>
            <w:tcW w:w="6160" w:type="dxa"/>
            <w:vAlign w:val="bottom"/>
          </w:tcPr>
          <w:p>
            <w:pPr>
              <w:ind w:left="20"/>
              <w:spacing w:after="0"/>
              <w:rPr>
                <w:sz w:val="20"/>
                <w:szCs w:val="20"/>
                <w:color w:val="auto"/>
              </w:rPr>
            </w:pPr>
            <w:r>
              <w:rPr>
                <w:rFonts w:ascii="Arial" w:cs="Arial" w:eastAsia="Arial" w:hAnsi="Arial"/>
                <w:sz w:val="18"/>
                <w:szCs w:val="18"/>
                <w:color w:val="auto"/>
              </w:rPr>
              <w:t>Stream Energy Columbia, LLC</w:t>
            </w:r>
          </w:p>
        </w:tc>
        <w:tc>
          <w:tcPr>
            <w:tcW w:w="5080" w:type="dxa"/>
            <w:vAlign w:val="bottom"/>
          </w:tcPr>
          <w:p>
            <w:pPr>
              <w:ind w:left="2520"/>
              <w:spacing w:after="0"/>
              <w:rPr>
                <w:sz w:val="20"/>
                <w:szCs w:val="20"/>
                <w:color w:val="auto"/>
              </w:rPr>
            </w:pPr>
            <w:r>
              <w:rPr>
                <w:rFonts w:ascii="Arial" w:cs="Arial" w:eastAsia="Arial" w:hAnsi="Arial"/>
                <w:sz w:val="18"/>
                <w:szCs w:val="18"/>
                <w:color w:val="auto"/>
              </w:rPr>
              <w:t>Delaware</w:t>
            </w:r>
          </w:p>
        </w:tc>
      </w:tr>
      <w:tr>
        <w:trPr>
          <w:trHeight w:val="224"/>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Stream Energy Delaware, LLC</w:t>
            </w:r>
          </w:p>
        </w:tc>
        <w:tc>
          <w:tcPr>
            <w:tcW w:w="5080" w:type="dxa"/>
            <w:vAlign w:val="bottom"/>
            <w:shd w:val="clear" w:color="auto" w:fill="CCEEFF"/>
          </w:tcPr>
          <w:p>
            <w:pPr>
              <w:ind w:left="2520"/>
              <w:spacing w:after="0"/>
              <w:rPr>
                <w:sz w:val="20"/>
                <w:szCs w:val="20"/>
                <w:color w:val="auto"/>
              </w:rPr>
            </w:pPr>
            <w:r>
              <w:rPr>
                <w:rFonts w:ascii="Arial" w:cs="Arial" w:eastAsia="Arial" w:hAnsi="Arial"/>
                <w:sz w:val="18"/>
                <w:szCs w:val="18"/>
                <w:color w:val="auto"/>
              </w:rPr>
              <w:t>Delaware</w:t>
            </w:r>
          </w:p>
        </w:tc>
      </w:tr>
      <w:tr>
        <w:trPr>
          <w:trHeight w:val="231"/>
        </w:trPr>
        <w:tc>
          <w:tcPr>
            <w:tcW w:w="6160" w:type="dxa"/>
            <w:vAlign w:val="bottom"/>
          </w:tcPr>
          <w:p>
            <w:pPr>
              <w:ind w:left="20"/>
              <w:spacing w:after="0"/>
              <w:rPr>
                <w:sz w:val="20"/>
                <w:szCs w:val="20"/>
                <w:color w:val="auto"/>
              </w:rPr>
            </w:pPr>
            <w:r>
              <w:rPr>
                <w:rFonts w:ascii="Arial" w:cs="Arial" w:eastAsia="Arial" w:hAnsi="Arial"/>
                <w:sz w:val="18"/>
                <w:szCs w:val="18"/>
                <w:color w:val="auto"/>
              </w:rPr>
              <w:t>Stream Energy Illinois, LLC</w:t>
            </w:r>
          </w:p>
        </w:tc>
        <w:tc>
          <w:tcPr>
            <w:tcW w:w="5080" w:type="dxa"/>
            <w:vAlign w:val="bottom"/>
          </w:tcPr>
          <w:p>
            <w:pPr>
              <w:ind w:left="25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425" w:right="339" w:bottom="1440" w:gutter="0" w:footer="0" w:header="0"/>
        </w:sectPr>
      </w:pPr>
    </w:p>
    <w:bookmarkStart w:id="325" w:name="page326"/>
    <w:bookmarkEnd w:id="3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Stream Energy Maryland,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Stream Energy New Jersey, LLC</w:t>
            </w:r>
          </w:p>
        </w:tc>
        <w:tc>
          <w:tcPr>
            <w:tcW w:w="526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Stream Energy New York,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Stream Energy Pennsylvania, LLC</w:t>
            </w:r>
          </w:p>
        </w:tc>
        <w:tc>
          <w:tcPr>
            <w:tcW w:w="526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Stream Georgia Gas SPE,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Georgia</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Stream Ohio Gas &amp; Electric, LLC</w:t>
            </w:r>
          </w:p>
        </w:tc>
        <w:tc>
          <w:tcPr>
            <w:tcW w:w="5260" w:type="dxa"/>
            <w:vAlign w:val="bottom"/>
          </w:tcPr>
          <w:p>
            <w:pPr>
              <w:ind w:left="2700"/>
              <w:spacing w:after="0"/>
              <w:rPr>
                <w:sz w:val="20"/>
                <w:szCs w:val="20"/>
                <w:color w:val="auto"/>
              </w:rPr>
            </w:pPr>
            <w:r>
              <w:rPr>
                <w:rFonts w:ascii="Arial" w:cs="Arial" w:eastAsia="Arial" w:hAnsi="Arial"/>
                <w:sz w:val="18"/>
                <w:szCs w:val="18"/>
                <w:color w:val="auto"/>
              </w:rPr>
              <w:t>Ohio</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Stream SPE GP,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Texas</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Stream SPE, Ltd.</w:t>
            </w:r>
          </w:p>
        </w:tc>
        <w:tc>
          <w:tcPr>
            <w:tcW w:w="5260" w:type="dxa"/>
            <w:vAlign w:val="bottom"/>
          </w:tcPr>
          <w:p>
            <w:pPr>
              <w:ind w:left="2700"/>
              <w:spacing w:after="0"/>
              <w:rPr>
                <w:sz w:val="20"/>
                <w:szCs w:val="20"/>
                <w:color w:val="auto"/>
              </w:rPr>
            </w:pPr>
            <w:r>
              <w:rPr>
                <w:rFonts w:ascii="Arial" w:cs="Arial" w:eastAsia="Arial" w:hAnsi="Arial"/>
                <w:sz w:val="18"/>
                <w:szCs w:val="18"/>
                <w:color w:val="auto"/>
              </w:rPr>
              <w:t>Texas</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Sunshine State Power (No. 2) B.V.</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Netherlands</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Sunshine State Power B.V.</w:t>
            </w:r>
          </w:p>
        </w:tc>
        <w:tc>
          <w:tcPr>
            <w:tcW w:w="5260" w:type="dxa"/>
            <w:vAlign w:val="bottom"/>
          </w:tcPr>
          <w:p>
            <w:pPr>
              <w:ind w:left="2700"/>
              <w:spacing w:after="0"/>
              <w:rPr>
                <w:sz w:val="20"/>
                <w:szCs w:val="20"/>
                <w:color w:val="auto"/>
              </w:rPr>
            </w:pPr>
            <w:r>
              <w:rPr>
                <w:rFonts w:ascii="Arial" w:cs="Arial" w:eastAsia="Arial" w:hAnsi="Arial"/>
                <w:sz w:val="18"/>
                <w:szCs w:val="18"/>
                <w:color w:val="auto"/>
              </w:rPr>
              <w:t>Netherlands</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 Genco GP,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Texas</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Texas Genco Holdings, Inc.</w:t>
            </w:r>
          </w:p>
        </w:tc>
        <w:tc>
          <w:tcPr>
            <w:tcW w:w="5260" w:type="dxa"/>
            <w:vAlign w:val="bottom"/>
          </w:tcPr>
          <w:p>
            <w:pPr>
              <w:ind w:left="2700"/>
              <w:spacing w:after="0"/>
              <w:rPr>
                <w:sz w:val="20"/>
                <w:szCs w:val="20"/>
                <w:color w:val="auto"/>
              </w:rPr>
            </w:pPr>
            <w:r>
              <w:rPr>
                <w:rFonts w:ascii="Arial" w:cs="Arial" w:eastAsia="Arial" w:hAnsi="Arial"/>
                <w:sz w:val="18"/>
                <w:szCs w:val="18"/>
                <w:color w:val="auto"/>
              </w:rPr>
              <w:t>Texas</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 Genco LP,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Texas Genco Services, LP</w:t>
            </w:r>
          </w:p>
        </w:tc>
        <w:tc>
          <w:tcPr>
            <w:tcW w:w="5260" w:type="dxa"/>
            <w:vAlign w:val="bottom"/>
          </w:tcPr>
          <w:p>
            <w:pPr>
              <w:ind w:left="2700"/>
              <w:spacing w:after="0"/>
              <w:rPr>
                <w:sz w:val="20"/>
                <w:szCs w:val="20"/>
                <w:color w:val="auto"/>
              </w:rPr>
            </w:pPr>
            <w:r>
              <w:rPr>
                <w:rFonts w:ascii="Arial" w:cs="Arial" w:eastAsia="Arial" w:hAnsi="Arial"/>
                <w:sz w:val="18"/>
                <w:szCs w:val="18"/>
                <w:color w:val="auto"/>
              </w:rPr>
              <w:t>Texas</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 Peaker Power,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Three+ Venture Group LLC</w:t>
            </w:r>
          </w:p>
        </w:tc>
        <w:tc>
          <w:tcPr>
            <w:tcW w:w="526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THW Holdings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US Retailers LLC</w:t>
            </w:r>
          </w:p>
        </w:tc>
        <w:tc>
          <w:tcPr>
            <w:tcW w:w="526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Valle Del Sol Energy,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Victoria Port Power II Holdco LLC</w:t>
            </w:r>
          </w:p>
        </w:tc>
        <w:tc>
          <w:tcPr>
            <w:tcW w:w="526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Victoria Port Power II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Texas</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Victoria WLE, LP</w:t>
            </w:r>
          </w:p>
        </w:tc>
        <w:tc>
          <w:tcPr>
            <w:tcW w:w="5260" w:type="dxa"/>
            <w:vAlign w:val="bottom"/>
          </w:tcPr>
          <w:p>
            <w:pPr>
              <w:ind w:left="2700"/>
              <w:spacing w:after="0"/>
              <w:rPr>
                <w:sz w:val="20"/>
                <w:szCs w:val="20"/>
                <w:color w:val="auto"/>
              </w:rPr>
            </w:pPr>
            <w:r>
              <w:rPr>
                <w:rFonts w:ascii="Arial" w:cs="Arial" w:eastAsia="Arial" w:hAnsi="Arial"/>
                <w:sz w:val="18"/>
                <w:szCs w:val="18"/>
                <w:color w:val="auto"/>
              </w:rPr>
              <w:t>Texas</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Vienna Operations Inc.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Vienna Power LLC</w:t>
            </w:r>
          </w:p>
        </w:tc>
        <w:tc>
          <w:tcPr>
            <w:tcW w:w="526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Vivint Amigo, Inc.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Vivint Funding Holdings LLC</w:t>
            </w:r>
          </w:p>
        </w:tc>
        <w:tc>
          <w:tcPr>
            <w:tcW w:w="526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Vivint Funding US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VIVINT GIVES BACK</w:t>
            </w:r>
          </w:p>
        </w:tc>
        <w:tc>
          <w:tcPr>
            <w:tcW w:w="5260" w:type="dxa"/>
            <w:vAlign w:val="bottom"/>
          </w:tcPr>
          <w:p>
            <w:pPr>
              <w:ind w:left="2700"/>
              <w:spacing w:after="0"/>
              <w:rPr>
                <w:sz w:val="20"/>
                <w:szCs w:val="20"/>
                <w:color w:val="auto"/>
              </w:rPr>
            </w:pPr>
            <w:r>
              <w:rPr>
                <w:rFonts w:ascii="Arial" w:cs="Arial" w:eastAsia="Arial" w:hAnsi="Arial"/>
                <w:sz w:val="18"/>
                <w:szCs w:val="18"/>
                <w:color w:val="auto"/>
              </w:rPr>
              <w:t>Utah</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Vivint Group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Vivint LLC</w:t>
            </w:r>
          </w:p>
        </w:tc>
        <w:tc>
          <w:tcPr>
            <w:tcW w:w="5260" w:type="dxa"/>
            <w:vAlign w:val="bottom"/>
          </w:tcPr>
          <w:p>
            <w:pPr>
              <w:ind w:left="2700"/>
              <w:spacing w:after="0"/>
              <w:rPr>
                <w:sz w:val="20"/>
                <w:szCs w:val="20"/>
                <w:color w:val="auto"/>
              </w:rPr>
            </w:pPr>
            <w:r>
              <w:rPr>
                <w:rFonts w:ascii="Arial" w:cs="Arial" w:eastAsia="Arial" w:hAnsi="Arial"/>
                <w:sz w:val="18"/>
                <w:szCs w:val="18"/>
                <w:color w:val="auto"/>
              </w:rPr>
              <w:t>Utah</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Vivint Louisiana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Louisiana</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Vivint Purchasing, LLC</w:t>
            </w:r>
          </w:p>
        </w:tc>
        <w:tc>
          <w:tcPr>
            <w:tcW w:w="5260" w:type="dxa"/>
            <w:vAlign w:val="bottom"/>
          </w:tcPr>
          <w:p>
            <w:pPr>
              <w:ind w:left="2700"/>
              <w:spacing w:after="0"/>
              <w:rPr>
                <w:sz w:val="20"/>
                <w:szCs w:val="20"/>
                <w:color w:val="auto"/>
              </w:rPr>
            </w:pPr>
            <w:r>
              <w:rPr>
                <w:rFonts w:ascii="Arial" w:cs="Arial" w:eastAsia="Arial" w:hAnsi="Arial"/>
                <w:sz w:val="18"/>
                <w:szCs w:val="18"/>
                <w:color w:val="auto"/>
              </w:rPr>
              <w:t>Utah</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Vivint Services Canada Inc.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British Columbia</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Vivint Servicing LLC</w:t>
            </w:r>
          </w:p>
        </w:tc>
        <w:tc>
          <w:tcPr>
            <w:tcW w:w="526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Vivint Smart Home, Inc.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Vivint VI Holdings, LLC</w:t>
            </w:r>
          </w:p>
        </w:tc>
        <w:tc>
          <w:tcPr>
            <w:tcW w:w="526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Vivint Warranty and Home Insurance,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WCP (Generation) Holdings LLC</w:t>
            </w:r>
          </w:p>
        </w:tc>
        <w:tc>
          <w:tcPr>
            <w:tcW w:w="526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 Coast Power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Wharton County Generation, LLC</w:t>
            </w:r>
          </w:p>
        </w:tc>
        <w:tc>
          <w:tcPr>
            <w:tcW w:w="5260" w:type="dxa"/>
            <w:vAlign w:val="bottom"/>
          </w:tcPr>
          <w:p>
            <w:pPr>
              <w:ind w:left="2700"/>
              <w:spacing w:after="0"/>
              <w:rPr>
                <w:sz w:val="20"/>
                <w:szCs w:val="20"/>
                <w:color w:val="auto"/>
              </w:rPr>
            </w:pPr>
            <w:r>
              <w:rPr>
                <w:rFonts w:ascii="Arial" w:cs="Arial" w:eastAsia="Arial" w:hAnsi="Arial"/>
                <w:sz w:val="18"/>
                <w:szCs w:val="18"/>
                <w:color w:val="auto"/>
              </w:rPr>
              <w:t>Texas</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WTU Retail Energy L.P.</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XOOM Energy California, LLC</w:t>
            </w:r>
          </w:p>
        </w:tc>
        <w:tc>
          <w:tcPr>
            <w:tcW w:w="5260" w:type="dxa"/>
            <w:vAlign w:val="bottom"/>
          </w:tcPr>
          <w:p>
            <w:pPr>
              <w:ind w:left="2700"/>
              <w:spacing w:after="0"/>
              <w:rPr>
                <w:sz w:val="20"/>
                <w:szCs w:val="20"/>
                <w:color w:val="auto"/>
              </w:rPr>
            </w:pPr>
            <w:r>
              <w:rPr>
                <w:rFonts w:ascii="Arial" w:cs="Arial" w:eastAsia="Arial" w:hAnsi="Arial"/>
                <w:sz w:val="18"/>
                <w:szCs w:val="18"/>
                <w:color w:val="auto"/>
              </w:rPr>
              <w:t>California</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XOOM Energy Canada, ULC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Nova Scotia</w:t>
            </w:r>
          </w:p>
        </w:tc>
      </w:tr>
    </w:tbl>
    <w:p>
      <w:pPr>
        <w:sectPr>
          <w:pgSz w:w="11900" w:h="16838" w:orient="portrait"/>
          <w:cols w:equalWidth="0" w:num="1">
            <w:col w:w="11240"/>
          </w:cols>
          <w:pgMar w:left="320" w:top="1429" w:right="339" w:bottom="1440" w:gutter="0" w:footer="0" w:header="0"/>
        </w:sectPr>
      </w:pPr>
    </w:p>
    <w:bookmarkStart w:id="326" w:name="page327"/>
    <w:bookmarkEnd w:id="3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20" w:type="dxa"/>
            <w:vAlign w:val="bottom"/>
          </w:tcPr>
          <w:p>
            <w:pPr>
              <w:ind w:left="20"/>
              <w:spacing w:after="0"/>
              <w:rPr>
                <w:sz w:val="20"/>
                <w:szCs w:val="20"/>
                <w:color w:val="auto"/>
              </w:rPr>
            </w:pPr>
            <w:r>
              <w:rPr>
                <w:rFonts w:ascii="Arial" w:cs="Arial" w:eastAsia="Arial" w:hAnsi="Arial"/>
                <w:sz w:val="18"/>
                <w:szCs w:val="18"/>
                <w:color w:val="auto"/>
              </w:rPr>
              <w:t>XOOM Energy Connecticut, LLC</w:t>
            </w:r>
          </w:p>
        </w:tc>
        <w:tc>
          <w:tcPr>
            <w:tcW w:w="5420" w:type="dxa"/>
            <w:vAlign w:val="bottom"/>
          </w:tcPr>
          <w:p>
            <w:pPr>
              <w:ind w:left="2860"/>
              <w:spacing w:after="0"/>
              <w:rPr>
                <w:sz w:val="20"/>
                <w:szCs w:val="20"/>
                <w:color w:val="auto"/>
              </w:rPr>
            </w:pPr>
            <w:r>
              <w:rPr>
                <w:rFonts w:ascii="Arial" w:cs="Arial" w:eastAsia="Arial" w:hAnsi="Arial"/>
                <w:sz w:val="18"/>
                <w:szCs w:val="18"/>
                <w:color w:val="auto"/>
              </w:rPr>
              <w:t>Connecticut</w:t>
            </w:r>
          </w:p>
        </w:tc>
      </w:tr>
      <w:tr>
        <w:trPr>
          <w:trHeight w:val="224"/>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XOOM Energy Delaware, LLC</w:t>
            </w:r>
          </w:p>
        </w:tc>
        <w:tc>
          <w:tcPr>
            <w:tcW w:w="54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Delaware</w:t>
            </w:r>
          </w:p>
        </w:tc>
      </w:tr>
      <w:tr>
        <w:trPr>
          <w:trHeight w:val="224"/>
        </w:trPr>
        <w:tc>
          <w:tcPr>
            <w:tcW w:w="5820" w:type="dxa"/>
            <w:vAlign w:val="bottom"/>
          </w:tcPr>
          <w:p>
            <w:pPr>
              <w:ind w:left="20"/>
              <w:spacing w:after="0"/>
              <w:rPr>
                <w:sz w:val="20"/>
                <w:szCs w:val="20"/>
                <w:color w:val="auto"/>
              </w:rPr>
            </w:pPr>
            <w:r>
              <w:rPr>
                <w:rFonts w:ascii="Arial" w:cs="Arial" w:eastAsia="Arial" w:hAnsi="Arial"/>
                <w:sz w:val="18"/>
                <w:szCs w:val="18"/>
                <w:color w:val="auto"/>
              </w:rPr>
              <w:t>XOOM Energy Georgia, LLC</w:t>
            </w:r>
          </w:p>
        </w:tc>
        <w:tc>
          <w:tcPr>
            <w:tcW w:w="5420" w:type="dxa"/>
            <w:vAlign w:val="bottom"/>
          </w:tcPr>
          <w:p>
            <w:pPr>
              <w:ind w:left="2860"/>
              <w:spacing w:after="0"/>
              <w:rPr>
                <w:sz w:val="20"/>
                <w:szCs w:val="20"/>
                <w:color w:val="auto"/>
              </w:rPr>
            </w:pPr>
            <w:r>
              <w:rPr>
                <w:rFonts w:ascii="Arial" w:cs="Arial" w:eastAsia="Arial" w:hAnsi="Arial"/>
                <w:sz w:val="18"/>
                <w:szCs w:val="18"/>
                <w:color w:val="auto"/>
              </w:rPr>
              <w:t>Georgia</w:t>
            </w:r>
          </w:p>
        </w:tc>
      </w:tr>
      <w:tr>
        <w:trPr>
          <w:trHeight w:val="224"/>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XOOM Energy Global Holdings, LLC</w:t>
            </w:r>
          </w:p>
        </w:tc>
        <w:tc>
          <w:tcPr>
            <w:tcW w:w="54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Delaware</w:t>
            </w:r>
          </w:p>
        </w:tc>
      </w:tr>
      <w:tr>
        <w:trPr>
          <w:trHeight w:val="224"/>
        </w:trPr>
        <w:tc>
          <w:tcPr>
            <w:tcW w:w="5820" w:type="dxa"/>
            <w:vAlign w:val="bottom"/>
          </w:tcPr>
          <w:p>
            <w:pPr>
              <w:ind w:left="20"/>
              <w:spacing w:after="0"/>
              <w:rPr>
                <w:sz w:val="20"/>
                <w:szCs w:val="20"/>
                <w:color w:val="auto"/>
              </w:rPr>
            </w:pPr>
            <w:r>
              <w:rPr>
                <w:rFonts w:ascii="Arial" w:cs="Arial" w:eastAsia="Arial" w:hAnsi="Arial"/>
                <w:sz w:val="18"/>
                <w:szCs w:val="18"/>
                <w:color w:val="auto"/>
              </w:rPr>
              <w:t>XOOM Energy Illinois LLC</w:t>
            </w:r>
          </w:p>
        </w:tc>
        <w:tc>
          <w:tcPr>
            <w:tcW w:w="5420" w:type="dxa"/>
            <w:vAlign w:val="bottom"/>
          </w:tcPr>
          <w:p>
            <w:pPr>
              <w:ind w:left="2860"/>
              <w:spacing w:after="0"/>
              <w:rPr>
                <w:sz w:val="20"/>
                <w:szCs w:val="20"/>
                <w:color w:val="auto"/>
              </w:rPr>
            </w:pPr>
            <w:r>
              <w:rPr>
                <w:rFonts w:ascii="Arial" w:cs="Arial" w:eastAsia="Arial" w:hAnsi="Arial"/>
                <w:sz w:val="18"/>
                <w:szCs w:val="18"/>
                <w:color w:val="auto"/>
              </w:rPr>
              <w:t>Illinois</w:t>
            </w:r>
          </w:p>
        </w:tc>
      </w:tr>
      <w:tr>
        <w:trPr>
          <w:trHeight w:val="224"/>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XOOM Energy Indiana, LLC</w:t>
            </w:r>
          </w:p>
        </w:tc>
        <w:tc>
          <w:tcPr>
            <w:tcW w:w="54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Indiana</w:t>
            </w:r>
          </w:p>
        </w:tc>
      </w:tr>
      <w:tr>
        <w:trPr>
          <w:trHeight w:val="224"/>
        </w:trPr>
        <w:tc>
          <w:tcPr>
            <w:tcW w:w="5820" w:type="dxa"/>
            <w:vAlign w:val="bottom"/>
          </w:tcPr>
          <w:p>
            <w:pPr>
              <w:ind w:left="20"/>
              <w:spacing w:after="0"/>
              <w:rPr>
                <w:sz w:val="20"/>
                <w:szCs w:val="20"/>
                <w:color w:val="auto"/>
              </w:rPr>
            </w:pPr>
            <w:r>
              <w:rPr>
                <w:rFonts w:ascii="Arial" w:cs="Arial" w:eastAsia="Arial" w:hAnsi="Arial"/>
                <w:sz w:val="18"/>
                <w:szCs w:val="18"/>
                <w:color w:val="auto"/>
              </w:rPr>
              <w:t>XOOM Energy Kentucky, LLC</w:t>
            </w:r>
          </w:p>
        </w:tc>
        <w:tc>
          <w:tcPr>
            <w:tcW w:w="5420" w:type="dxa"/>
            <w:vAlign w:val="bottom"/>
          </w:tcPr>
          <w:p>
            <w:pPr>
              <w:ind w:left="2860"/>
              <w:spacing w:after="0"/>
              <w:rPr>
                <w:sz w:val="20"/>
                <w:szCs w:val="20"/>
                <w:color w:val="auto"/>
              </w:rPr>
            </w:pPr>
            <w:r>
              <w:rPr>
                <w:rFonts w:ascii="Arial" w:cs="Arial" w:eastAsia="Arial" w:hAnsi="Arial"/>
                <w:sz w:val="18"/>
                <w:szCs w:val="18"/>
                <w:color w:val="auto"/>
              </w:rPr>
              <w:t>Kentucky</w:t>
            </w:r>
          </w:p>
        </w:tc>
      </w:tr>
      <w:tr>
        <w:trPr>
          <w:trHeight w:val="224"/>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XOOM Energy Maine, LLC</w:t>
            </w:r>
          </w:p>
        </w:tc>
        <w:tc>
          <w:tcPr>
            <w:tcW w:w="54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Maine</w:t>
            </w:r>
          </w:p>
        </w:tc>
      </w:tr>
      <w:tr>
        <w:trPr>
          <w:trHeight w:val="224"/>
        </w:trPr>
        <w:tc>
          <w:tcPr>
            <w:tcW w:w="5820" w:type="dxa"/>
            <w:vAlign w:val="bottom"/>
          </w:tcPr>
          <w:p>
            <w:pPr>
              <w:ind w:left="20"/>
              <w:spacing w:after="0"/>
              <w:rPr>
                <w:sz w:val="20"/>
                <w:szCs w:val="20"/>
                <w:color w:val="auto"/>
              </w:rPr>
            </w:pPr>
            <w:r>
              <w:rPr>
                <w:rFonts w:ascii="Arial" w:cs="Arial" w:eastAsia="Arial" w:hAnsi="Arial"/>
                <w:sz w:val="18"/>
                <w:szCs w:val="18"/>
                <w:color w:val="auto"/>
              </w:rPr>
              <w:t>XOOM Energy Maryland, LLC</w:t>
            </w:r>
          </w:p>
        </w:tc>
        <w:tc>
          <w:tcPr>
            <w:tcW w:w="5420" w:type="dxa"/>
            <w:vAlign w:val="bottom"/>
          </w:tcPr>
          <w:p>
            <w:pPr>
              <w:ind w:left="2860"/>
              <w:spacing w:after="0"/>
              <w:rPr>
                <w:sz w:val="20"/>
                <w:szCs w:val="20"/>
                <w:color w:val="auto"/>
              </w:rPr>
            </w:pPr>
            <w:r>
              <w:rPr>
                <w:rFonts w:ascii="Arial" w:cs="Arial" w:eastAsia="Arial" w:hAnsi="Arial"/>
                <w:sz w:val="18"/>
                <w:szCs w:val="18"/>
                <w:color w:val="auto"/>
              </w:rPr>
              <w:t>Maryland</w:t>
            </w:r>
          </w:p>
        </w:tc>
      </w:tr>
      <w:tr>
        <w:trPr>
          <w:trHeight w:val="224"/>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XOOM Energy Massachusetts, LLC</w:t>
            </w:r>
          </w:p>
        </w:tc>
        <w:tc>
          <w:tcPr>
            <w:tcW w:w="54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Massachusetts</w:t>
            </w:r>
          </w:p>
        </w:tc>
      </w:tr>
      <w:tr>
        <w:trPr>
          <w:trHeight w:val="224"/>
        </w:trPr>
        <w:tc>
          <w:tcPr>
            <w:tcW w:w="5820" w:type="dxa"/>
            <w:vAlign w:val="bottom"/>
          </w:tcPr>
          <w:p>
            <w:pPr>
              <w:ind w:left="20"/>
              <w:spacing w:after="0"/>
              <w:rPr>
                <w:sz w:val="20"/>
                <w:szCs w:val="20"/>
                <w:color w:val="auto"/>
              </w:rPr>
            </w:pPr>
            <w:r>
              <w:rPr>
                <w:rFonts w:ascii="Arial" w:cs="Arial" w:eastAsia="Arial" w:hAnsi="Arial"/>
                <w:sz w:val="18"/>
                <w:szCs w:val="18"/>
                <w:color w:val="auto"/>
              </w:rPr>
              <w:t>XOOM Energy Michigan, LLC</w:t>
            </w:r>
          </w:p>
        </w:tc>
        <w:tc>
          <w:tcPr>
            <w:tcW w:w="5420" w:type="dxa"/>
            <w:vAlign w:val="bottom"/>
          </w:tcPr>
          <w:p>
            <w:pPr>
              <w:ind w:left="2860"/>
              <w:spacing w:after="0"/>
              <w:rPr>
                <w:sz w:val="20"/>
                <w:szCs w:val="20"/>
                <w:color w:val="auto"/>
              </w:rPr>
            </w:pPr>
            <w:r>
              <w:rPr>
                <w:rFonts w:ascii="Arial" w:cs="Arial" w:eastAsia="Arial" w:hAnsi="Arial"/>
                <w:sz w:val="18"/>
                <w:szCs w:val="18"/>
                <w:color w:val="auto"/>
              </w:rPr>
              <w:t>Michigan</w:t>
            </w:r>
          </w:p>
        </w:tc>
      </w:tr>
      <w:tr>
        <w:trPr>
          <w:trHeight w:val="224"/>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XOOM Energy New Hampshire, LLC</w:t>
            </w:r>
          </w:p>
        </w:tc>
        <w:tc>
          <w:tcPr>
            <w:tcW w:w="54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New Hampshire</w:t>
            </w:r>
          </w:p>
        </w:tc>
      </w:tr>
      <w:tr>
        <w:trPr>
          <w:trHeight w:val="224"/>
        </w:trPr>
        <w:tc>
          <w:tcPr>
            <w:tcW w:w="5820" w:type="dxa"/>
            <w:vAlign w:val="bottom"/>
          </w:tcPr>
          <w:p>
            <w:pPr>
              <w:ind w:left="20"/>
              <w:spacing w:after="0"/>
              <w:rPr>
                <w:sz w:val="20"/>
                <w:szCs w:val="20"/>
                <w:color w:val="auto"/>
              </w:rPr>
            </w:pPr>
            <w:r>
              <w:rPr>
                <w:rFonts w:ascii="Arial" w:cs="Arial" w:eastAsia="Arial" w:hAnsi="Arial"/>
                <w:sz w:val="18"/>
                <w:szCs w:val="18"/>
                <w:color w:val="auto"/>
              </w:rPr>
              <w:t>XOOM Energy New Jersey, LLC</w:t>
            </w:r>
          </w:p>
        </w:tc>
        <w:tc>
          <w:tcPr>
            <w:tcW w:w="5420" w:type="dxa"/>
            <w:vAlign w:val="bottom"/>
          </w:tcPr>
          <w:p>
            <w:pPr>
              <w:ind w:left="2860"/>
              <w:spacing w:after="0"/>
              <w:rPr>
                <w:sz w:val="20"/>
                <w:szCs w:val="20"/>
                <w:color w:val="auto"/>
              </w:rPr>
            </w:pPr>
            <w:r>
              <w:rPr>
                <w:rFonts w:ascii="Arial" w:cs="Arial" w:eastAsia="Arial" w:hAnsi="Arial"/>
                <w:sz w:val="18"/>
                <w:szCs w:val="18"/>
                <w:color w:val="auto"/>
              </w:rPr>
              <w:t>New Jersey</w:t>
            </w:r>
          </w:p>
        </w:tc>
      </w:tr>
      <w:tr>
        <w:trPr>
          <w:trHeight w:val="224"/>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XOOM Energy New York, LLC</w:t>
            </w:r>
          </w:p>
        </w:tc>
        <w:tc>
          <w:tcPr>
            <w:tcW w:w="54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New York</w:t>
            </w:r>
          </w:p>
        </w:tc>
      </w:tr>
      <w:tr>
        <w:trPr>
          <w:trHeight w:val="224"/>
        </w:trPr>
        <w:tc>
          <w:tcPr>
            <w:tcW w:w="5820" w:type="dxa"/>
            <w:vAlign w:val="bottom"/>
          </w:tcPr>
          <w:p>
            <w:pPr>
              <w:ind w:left="20"/>
              <w:spacing w:after="0"/>
              <w:rPr>
                <w:sz w:val="20"/>
                <w:szCs w:val="20"/>
                <w:color w:val="auto"/>
              </w:rPr>
            </w:pPr>
            <w:r>
              <w:rPr>
                <w:rFonts w:ascii="Arial" w:cs="Arial" w:eastAsia="Arial" w:hAnsi="Arial"/>
                <w:sz w:val="18"/>
                <w:szCs w:val="18"/>
                <w:color w:val="auto"/>
              </w:rPr>
              <w:t>XOOM Energy Ohio, LLC</w:t>
            </w:r>
          </w:p>
        </w:tc>
        <w:tc>
          <w:tcPr>
            <w:tcW w:w="5420" w:type="dxa"/>
            <w:vAlign w:val="bottom"/>
          </w:tcPr>
          <w:p>
            <w:pPr>
              <w:ind w:left="2860"/>
              <w:spacing w:after="0"/>
              <w:rPr>
                <w:sz w:val="20"/>
                <w:szCs w:val="20"/>
                <w:color w:val="auto"/>
              </w:rPr>
            </w:pPr>
            <w:r>
              <w:rPr>
                <w:rFonts w:ascii="Arial" w:cs="Arial" w:eastAsia="Arial" w:hAnsi="Arial"/>
                <w:sz w:val="18"/>
                <w:szCs w:val="18"/>
                <w:color w:val="auto"/>
              </w:rPr>
              <w:t>Ohio</w:t>
            </w:r>
          </w:p>
        </w:tc>
      </w:tr>
      <w:tr>
        <w:trPr>
          <w:trHeight w:val="224"/>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XOOM Energy Pennsylvania, LLC</w:t>
            </w:r>
          </w:p>
        </w:tc>
        <w:tc>
          <w:tcPr>
            <w:tcW w:w="54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Pennsylvania</w:t>
            </w:r>
          </w:p>
        </w:tc>
      </w:tr>
      <w:tr>
        <w:trPr>
          <w:trHeight w:val="224"/>
        </w:trPr>
        <w:tc>
          <w:tcPr>
            <w:tcW w:w="5820" w:type="dxa"/>
            <w:vAlign w:val="bottom"/>
          </w:tcPr>
          <w:p>
            <w:pPr>
              <w:ind w:left="20"/>
              <w:spacing w:after="0"/>
              <w:rPr>
                <w:sz w:val="20"/>
                <w:szCs w:val="20"/>
                <w:color w:val="auto"/>
              </w:rPr>
            </w:pPr>
            <w:r>
              <w:rPr>
                <w:rFonts w:ascii="Arial" w:cs="Arial" w:eastAsia="Arial" w:hAnsi="Arial"/>
                <w:sz w:val="18"/>
                <w:szCs w:val="18"/>
                <w:color w:val="auto"/>
              </w:rPr>
              <w:t>XOOM Energy Rhode Island, LLC</w:t>
            </w:r>
          </w:p>
        </w:tc>
        <w:tc>
          <w:tcPr>
            <w:tcW w:w="5420" w:type="dxa"/>
            <w:vAlign w:val="bottom"/>
          </w:tcPr>
          <w:p>
            <w:pPr>
              <w:ind w:left="2860"/>
              <w:spacing w:after="0"/>
              <w:rPr>
                <w:sz w:val="20"/>
                <w:szCs w:val="20"/>
                <w:color w:val="auto"/>
              </w:rPr>
            </w:pPr>
            <w:r>
              <w:rPr>
                <w:rFonts w:ascii="Arial" w:cs="Arial" w:eastAsia="Arial" w:hAnsi="Arial"/>
                <w:sz w:val="18"/>
                <w:szCs w:val="18"/>
                <w:color w:val="auto"/>
              </w:rPr>
              <w:t>Rhode Island</w:t>
            </w:r>
          </w:p>
        </w:tc>
      </w:tr>
      <w:tr>
        <w:trPr>
          <w:trHeight w:val="224"/>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XOOM Energy Texas, LLC</w:t>
            </w:r>
          </w:p>
        </w:tc>
        <w:tc>
          <w:tcPr>
            <w:tcW w:w="54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Texas</w:t>
            </w:r>
          </w:p>
        </w:tc>
      </w:tr>
      <w:tr>
        <w:trPr>
          <w:trHeight w:val="224"/>
        </w:trPr>
        <w:tc>
          <w:tcPr>
            <w:tcW w:w="5820" w:type="dxa"/>
            <w:vAlign w:val="bottom"/>
          </w:tcPr>
          <w:p>
            <w:pPr>
              <w:ind w:left="20"/>
              <w:spacing w:after="0"/>
              <w:rPr>
                <w:sz w:val="20"/>
                <w:szCs w:val="20"/>
                <w:color w:val="auto"/>
              </w:rPr>
            </w:pPr>
            <w:r>
              <w:rPr>
                <w:rFonts w:ascii="Arial" w:cs="Arial" w:eastAsia="Arial" w:hAnsi="Arial"/>
                <w:sz w:val="18"/>
                <w:szCs w:val="18"/>
                <w:color w:val="auto"/>
              </w:rPr>
              <w:t>XOOM Energy Virginia, LLC</w:t>
            </w:r>
          </w:p>
        </w:tc>
        <w:tc>
          <w:tcPr>
            <w:tcW w:w="5420" w:type="dxa"/>
            <w:vAlign w:val="bottom"/>
          </w:tcPr>
          <w:p>
            <w:pPr>
              <w:ind w:left="2860"/>
              <w:spacing w:after="0"/>
              <w:rPr>
                <w:sz w:val="20"/>
                <w:szCs w:val="20"/>
                <w:color w:val="auto"/>
              </w:rPr>
            </w:pPr>
            <w:r>
              <w:rPr>
                <w:rFonts w:ascii="Arial" w:cs="Arial" w:eastAsia="Arial" w:hAnsi="Arial"/>
                <w:sz w:val="18"/>
                <w:szCs w:val="18"/>
                <w:color w:val="auto"/>
              </w:rPr>
              <w:t>Virginia</w:t>
            </w:r>
          </w:p>
        </w:tc>
      </w:tr>
      <w:tr>
        <w:trPr>
          <w:trHeight w:val="224"/>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XOOM Energy Washington D.C., LLC</w:t>
            </w:r>
          </w:p>
        </w:tc>
        <w:tc>
          <w:tcPr>
            <w:tcW w:w="54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District of Columbia</w:t>
            </w:r>
          </w:p>
        </w:tc>
      </w:tr>
      <w:tr>
        <w:trPr>
          <w:trHeight w:val="224"/>
        </w:trPr>
        <w:tc>
          <w:tcPr>
            <w:tcW w:w="5820" w:type="dxa"/>
            <w:vAlign w:val="bottom"/>
          </w:tcPr>
          <w:p>
            <w:pPr>
              <w:ind w:left="20"/>
              <w:spacing w:after="0"/>
              <w:rPr>
                <w:sz w:val="20"/>
                <w:szCs w:val="20"/>
                <w:color w:val="auto"/>
              </w:rPr>
            </w:pPr>
            <w:r>
              <w:rPr>
                <w:rFonts w:ascii="Arial" w:cs="Arial" w:eastAsia="Arial" w:hAnsi="Arial"/>
                <w:sz w:val="18"/>
                <w:szCs w:val="18"/>
                <w:color w:val="auto"/>
              </w:rPr>
              <w:t>XOOM Energy, LLC</w:t>
            </w:r>
          </w:p>
        </w:tc>
        <w:tc>
          <w:tcPr>
            <w:tcW w:w="5420" w:type="dxa"/>
            <w:vAlign w:val="bottom"/>
          </w:tcPr>
          <w:p>
            <w:pPr>
              <w:ind w:left="2860"/>
              <w:spacing w:after="0"/>
              <w:rPr>
                <w:sz w:val="20"/>
                <w:szCs w:val="20"/>
                <w:color w:val="auto"/>
              </w:rPr>
            </w:pPr>
            <w:r>
              <w:rPr>
                <w:rFonts w:ascii="Arial" w:cs="Arial" w:eastAsia="Arial" w:hAnsi="Arial"/>
                <w:sz w:val="18"/>
                <w:szCs w:val="18"/>
                <w:color w:val="auto"/>
              </w:rPr>
              <w:t>Delaware</w:t>
            </w:r>
          </w:p>
        </w:tc>
      </w:tr>
      <w:tr>
        <w:trPr>
          <w:trHeight w:val="224"/>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XOOM Solar, LLC</w:t>
            </w:r>
          </w:p>
        </w:tc>
        <w:tc>
          <w:tcPr>
            <w:tcW w:w="54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425" w:right="339" w:bottom="1440" w:gutter="0" w:footer="0" w:header="0"/>
        </w:sectPr>
      </w:pPr>
    </w:p>
    <w:bookmarkStart w:id="327" w:name="page328"/>
    <w:bookmarkEnd w:id="327"/>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GUARANTOR SUBSIDIARIES</w:t>
      </w:r>
    </w:p>
    <w:p>
      <w:pPr>
        <w:spacing w:after="0" w:line="26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As of December 31, 2025, the following subsidiaries of NRG Energy, Inc. were guarantors of the Company's outstanding registered senior notes of $821 million of the 2028 Senior Notes: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60" w:type="dxa"/>
            <w:vAlign w:val="bottom"/>
            <w:gridSpan w:val="2"/>
          </w:tcPr>
          <w:p>
            <w:pPr>
              <w:ind w:left="20"/>
              <w:spacing w:after="0"/>
              <w:rPr>
                <w:sz w:val="20"/>
                <w:szCs w:val="20"/>
                <w:color w:val="auto"/>
              </w:rPr>
            </w:pPr>
            <w:r>
              <w:rPr>
                <w:rFonts w:ascii="Arial" w:cs="Arial" w:eastAsia="Arial" w:hAnsi="Arial"/>
                <w:sz w:val="18"/>
                <w:szCs w:val="18"/>
                <w:b w:val="1"/>
                <w:bCs w:val="1"/>
                <w:color w:val="auto"/>
              </w:rPr>
              <w:t>ENTITY NAME</w:t>
            </w:r>
          </w:p>
        </w:tc>
        <w:tc>
          <w:tcPr>
            <w:tcW w:w="2580" w:type="dxa"/>
            <w:vAlign w:val="bottom"/>
          </w:tcPr>
          <w:p>
            <w:pPr>
              <w:ind w:left="20"/>
              <w:spacing w:after="0"/>
              <w:rPr>
                <w:sz w:val="20"/>
                <w:szCs w:val="20"/>
                <w:color w:val="auto"/>
              </w:rPr>
            </w:pPr>
            <w:r>
              <w:rPr>
                <w:rFonts w:ascii="Arial" w:cs="Arial" w:eastAsia="Arial" w:hAnsi="Arial"/>
                <w:sz w:val="18"/>
                <w:szCs w:val="18"/>
                <w:b w:val="1"/>
                <w:bCs w:val="1"/>
                <w:color w:val="auto"/>
              </w:rPr>
              <w:t>JURISDICTION</w:t>
            </w:r>
          </w:p>
        </w:tc>
      </w:tr>
      <w:tr>
        <w:trPr>
          <w:trHeight w:val="217"/>
        </w:trPr>
        <w:tc>
          <w:tcPr>
            <w:tcW w:w="8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Ace Energy, Inc.</w:t>
            </w:r>
          </w:p>
        </w:tc>
        <w:tc>
          <w:tcPr>
            <w:tcW w:w="16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New York</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Allied Home Warranty GP LLC</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Allied Warranty LLC</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APX Group LLC</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Astoria Gas Turbine Power LLC</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AWHR America's Water Heater Rentals, L.L.C.</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Bounce Energy, Inc.</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Cabrillo Power I LLC</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Cabrillo Power II LLC</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Cirro Energy Services, Inc.</w:t>
            </w:r>
          </w:p>
        </w:tc>
        <w:tc>
          <w:tcPr>
            <w:tcW w:w="258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24"/>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Cirro Group, Inc.</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CPL Retail Energy L.P.</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 Energy Business, LLC</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Direct Energy Connected Home US Inc.</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 Energy GP, LLC</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Direct Energy HoldCo GP LLC</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 Energy Leasing, LLC</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Direct Energy Marketing LLC</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 Energy Operations, LLC</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Direct Energy Services, LLC</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 Energy US Holdings LLC</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Direct Energy, LP</w:t>
            </w:r>
          </w:p>
        </w:tc>
        <w:tc>
          <w:tcPr>
            <w:tcW w:w="258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24"/>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Dunkirk Power LLC</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Eastern Sierra Energy Company LLC</w:t>
            </w:r>
          </w:p>
        </w:tc>
        <w:tc>
          <w:tcPr>
            <w:tcW w:w="258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24"/>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 Segundo Power II LLC</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El Segundo Power, LLC</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Energy Alternatives Wholesale, LLC</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Energy Choice Solutions LLC</w:t>
            </w:r>
          </w:p>
        </w:tc>
        <w:tc>
          <w:tcPr>
            <w:tcW w:w="258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24"/>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Energy Plus Holdings LLC</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Energy Plus Natural Gas LLC</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Everything Energy LLC</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First Choice Power, LLC</w:t>
            </w:r>
          </w:p>
        </w:tc>
        <w:tc>
          <w:tcPr>
            <w:tcW w:w="258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24"/>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Forward Home Security, LLC</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Gateway Energy Services Corporation</w:t>
            </w:r>
          </w:p>
        </w:tc>
        <w:tc>
          <w:tcPr>
            <w:tcW w:w="258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24"/>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GCP Funding Company, LLC</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Green Mountain Energy Company</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Home Warranty Holdings Corp.</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382" w:right="339" w:bottom="1440" w:gutter="0" w:footer="0" w:header="0"/>
        </w:sectPr>
      </w:pPr>
    </w:p>
    <w:bookmarkStart w:id="328" w:name="page329"/>
    <w:bookmarkEnd w:id="3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280" w:type="dxa"/>
            <w:vAlign w:val="bottom"/>
          </w:tcPr>
          <w:p>
            <w:pPr>
              <w:ind w:left="20"/>
              <w:spacing w:after="0"/>
              <w:rPr>
                <w:sz w:val="20"/>
                <w:szCs w:val="20"/>
                <w:color w:val="auto"/>
              </w:rPr>
            </w:pPr>
            <w:r>
              <w:rPr>
                <w:rFonts w:ascii="Arial" w:cs="Arial" w:eastAsia="Arial" w:hAnsi="Arial"/>
                <w:sz w:val="18"/>
                <w:szCs w:val="18"/>
                <w:color w:val="auto"/>
              </w:rPr>
              <w:t>Huntley Power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Independence Energy Alliance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Independence Energy Group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Independence Energy Natural Gas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Indian River Operations Inc.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Indian River Power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Meriden Gas Turbines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NEO Corporation</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Minnesota</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New Genco GP,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Norwalk Power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Affiliate Services Inc.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Arthur Kill Operations Inc.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Business Marketing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Cabrillo Power Operations Inc.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California Peaker Operations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Cedar Bayou Development Company,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Construction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Controllable Load Services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Curtailment Solutions, Inc.</w:t>
            </w:r>
          </w:p>
        </w:tc>
        <w:tc>
          <w:tcPr>
            <w:tcW w:w="4960" w:type="dxa"/>
            <w:vAlign w:val="bottom"/>
          </w:tcPr>
          <w:p>
            <w:pPr>
              <w:ind w:left="2400"/>
              <w:spacing w:after="0"/>
              <w:rPr>
                <w:sz w:val="20"/>
                <w:szCs w:val="20"/>
                <w:color w:val="auto"/>
              </w:rPr>
            </w:pPr>
            <w:r>
              <w:rPr>
                <w:rFonts w:ascii="Arial" w:cs="Arial" w:eastAsia="Arial" w:hAnsi="Arial"/>
                <w:sz w:val="18"/>
                <w:szCs w:val="18"/>
                <w:color w:val="auto"/>
              </w:rPr>
              <w:t>New York</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Dispatch Services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Distributed Energy Resources Holdings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Distributed Generation PR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Dunkirk Operations Inc.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ECOKAP Holdings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El Segundo Operations Inc.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Energy Services Group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Energy Services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Generation Holdings Inc.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Home &amp; Business Solutions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Home Services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Texas</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Home Solutions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Home Solutions Product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Homer City Services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HQ DG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Huntley Operations Inc.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Identity Protect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International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Maintenance Services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Mextrans Inc.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Norwalk Harbor Operations Inc.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Operating Services, Inc.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Portable Power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31"/>
        </w:trPr>
        <w:tc>
          <w:tcPr>
            <w:tcW w:w="6280" w:type="dxa"/>
            <w:vAlign w:val="bottom"/>
          </w:tcPr>
          <w:p>
            <w:pPr>
              <w:ind w:left="20"/>
              <w:spacing w:after="0"/>
              <w:rPr>
                <w:sz w:val="20"/>
                <w:szCs w:val="20"/>
                <w:color w:val="auto"/>
              </w:rPr>
            </w:pPr>
            <w:r>
              <w:rPr>
                <w:rFonts w:ascii="Arial" w:cs="Arial" w:eastAsia="Arial" w:hAnsi="Arial"/>
                <w:sz w:val="18"/>
                <w:szCs w:val="18"/>
                <w:color w:val="auto"/>
              </w:rPr>
              <w:t>NRG Protects Inc. (IL)</w:t>
            </w:r>
          </w:p>
        </w:tc>
        <w:tc>
          <w:tcPr>
            <w:tcW w:w="4960" w:type="dxa"/>
            <w:vAlign w:val="bottom"/>
          </w:tcPr>
          <w:p>
            <w:pPr>
              <w:ind w:left="2400"/>
              <w:spacing w:after="0"/>
              <w:rPr>
                <w:sz w:val="20"/>
                <w:szCs w:val="20"/>
                <w:color w:val="auto"/>
              </w:rPr>
            </w:pPr>
            <w:r>
              <w:rPr>
                <w:rFonts w:ascii="Arial" w:cs="Arial" w:eastAsia="Arial" w:hAnsi="Arial"/>
                <w:sz w:val="18"/>
                <w:szCs w:val="18"/>
                <w:color w:val="auto"/>
              </w:rPr>
              <w:t>Illinois</w:t>
            </w:r>
          </w:p>
        </w:tc>
      </w:tr>
    </w:tbl>
    <w:p>
      <w:pPr>
        <w:sectPr>
          <w:pgSz w:w="11900" w:h="16838" w:orient="portrait"/>
          <w:cols w:equalWidth="0" w:num="1">
            <w:col w:w="11240"/>
          </w:cols>
          <w:pgMar w:left="320" w:top="1425" w:right="339" w:bottom="1440" w:gutter="0" w:footer="0" w:header="0"/>
        </w:sectPr>
      </w:pPr>
    </w:p>
    <w:bookmarkStart w:id="329" w:name="page330"/>
    <w:bookmarkEnd w:id="3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Reliability Solutions LLC</w:t>
            </w:r>
          </w:p>
        </w:tc>
        <w:tc>
          <w:tcPr>
            <w:tcW w:w="54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Delaware</w:t>
            </w:r>
          </w:p>
        </w:tc>
      </w:tr>
      <w:tr>
        <w:trPr>
          <w:trHeight w:val="224"/>
        </w:trPr>
        <w:tc>
          <w:tcPr>
            <w:tcW w:w="5760" w:type="dxa"/>
            <w:vAlign w:val="bottom"/>
          </w:tcPr>
          <w:p>
            <w:pPr>
              <w:ind w:left="20"/>
              <w:spacing w:after="0"/>
              <w:rPr>
                <w:sz w:val="20"/>
                <w:szCs w:val="20"/>
                <w:color w:val="auto"/>
              </w:rPr>
            </w:pPr>
            <w:r>
              <w:rPr>
                <w:rFonts w:ascii="Arial" w:cs="Arial" w:eastAsia="Arial" w:hAnsi="Arial"/>
                <w:sz w:val="18"/>
                <w:szCs w:val="18"/>
                <w:color w:val="auto"/>
              </w:rPr>
              <w:t>NRG Retail LLC</w:t>
            </w:r>
          </w:p>
        </w:tc>
        <w:tc>
          <w:tcPr>
            <w:tcW w:w="5480" w:type="dxa"/>
            <w:vAlign w:val="bottom"/>
          </w:tcPr>
          <w:p>
            <w:pPr>
              <w:ind w:left="2920"/>
              <w:spacing w:after="0"/>
              <w:rPr>
                <w:sz w:val="20"/>
                <w:szCs w:val="20"/>
                <w:color w:val="auto"/>
              </w:rPr>
            </w:pPr>
            <w:r>
              <w:rPr>
                <w:rFonts w:ascii="Arial" w:cs="Arial" w:eastAsia="Arial" w:hAnsi="Arial"/>
                <w:sz w:val="18"/>
                <w:szCs w:val="18"/>
                <w:color w:val="auto"/>
              </w:rPr>
              <w:t>Delaware</w:t>
            </w:r>
          </w:p>
        </w:tc>
      </w:tr>
      <w:tr>
        <w:trPr>
          <w:trHeight w:val="224"/>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Rockford Acquisition LLC</w:t>
            </w:r>
          </w:p>
        </w:tc>
        <w:tc>
          <w:tcPr>
            <w:tcW w:w="54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Delaware</w:t>
            </w:r>
          </w:p>
        </w:tc>
      </w:tr>
      <w:tr>
        <w:trPr>
          <w:trHeight w:val="224"/>
        </w:trPr>
        <w:tc>
          <w:tcPr>
            <w:tcW w:w="5760" w:type="dxa"/>
            <w:vAlign w:val="bottom"/>
          </w:tcPr>
          <w:p>
            <w:pPr>
              <w:ind w:left="20"/>
              <w:spacing w:after="0"/>
              <w:rPr>
                <w:sz w:val="20"/>
                <w:szCs w:val="20"/>
                <w:color w:val="auto"/>
              </w:rPr>
            </w:pPr>
            <w:r>
              <w:rPr>
                <w:rFonts w:ascii="Arial" w:cs="Arial" w:eastAsia="Arial" w:hAnsi="Arial"/>
                <w:sz w:val="18"/>
                <w:szCs w:val="18"/>
                <w:color w:val="auto"/>
              </w:rPr>
              <w:t>NRG Saguaro Operations Inc.</w:t>
            </w:r>
          </w:p>
        </w:tc>
        <w:tc>
          <w:tcPr>
            <w:tcW w:w="5480" w:type="dxa"/>
            <w:vAlign w:val="bottom"/>
          </w:tcPr>
          <w:p>
            <w:pPr>
              <w:ind w:left="2920"/>
              <w:spacing w:after="0"/>
              <w:rPr>
                <w:sz w:val="20"/>
                <w:szCs w:val="20"/>
                <w:color w:val="auto"/>
              </w:rPr>
            </w:pPr>
            <w:r>
              <w:rPr>
                <w:rFonts w:ascii="Arial" w:cs="Arial" w:eastAsia="Arial" w:hAnsi="Arial"/>
                <w:sz w:val="18"/>
                <w:szCs w:val="18"/>
                <w:color w:val="auto"/>
              </w:rPr>
              <w:t>Delaware</w:t>
            </w:r>
          </w:p>
        </w:tc>
      </w:tr>
      <w:tr>
        <w:trPr>
          <w:trHeight w:val="224"/>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Security LLC</w:t>
            </w:r>
          </w:p>
        </w:tc>
        <w:tc>
          <w:tcPr>
            <w:tcW w:w="54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Delaware</w:t>
            </w:r>
          </w:p>
        </w:tc>
      </w:tr>
      <w:tr>
        <w:trPr>
          <w:trHeight w:val="224"/>
        </w:trPr>
        <w:tc>
          <w:tcPr>
            <w:tcW w:w="5760" w:type="dxa"/>
            <w:vAlign w:val="bottom"/>
          </w:tcPr>
          <w:p>
            <w:pPr>
              <w:ind w:left="20"/>
              <w:spacing w:after="0"/>
              <w:rPr>
                <w:sz w:val="20"/>
                <w:szCs w:val="20"/>
                <w:color w:val="auto"/>
              </w:rPr>
            </w:pPr>
            <w:r>
              <w:rPr>
                <w:rFonts w:ascii="Arial" w:cs="Arial" w:eastAsia="Arial" w:hAnsi="Arial"/>
                <w:sz w:val="18"/>
                <w:szCs w:val="18"/>
                <w:color w:val="auto"/>
              </w:rPr>
              <w:t>NRG SimplySmart Solutions LLC</w:t>
            </w:r>
          </w:p>
        </w:tc>
        <w:tc>
          <w:tcPr>
            <w:tcW w:w="5480" w:type="dxa"/>
            <w:vAlign w:val="bottom"/>
          </w:tcPr>
          <w:p>
            <w:pPr>
              <w:ind w:left="2920"/>
              <w:spacing w:after="0"/>
              <w:rPr>
                <w:sz w:val="20"/>
                <w:szCs w:val="20"/>
                <w:color w:val="auto"/>
              </w:rPr>
            </w:pPr>
            <w:r>
              <w:rPr>
                <w:rFonts w:ascii="Arial" w:cs="Arial" w:eastAsia="Arial" w:hAnsi="Arial"/>
                <w:sz w:val="18"/>
                <w:szCs w:val="18"/>
                <w:color w:val="auto"/>
              </w:rPr>
              <w:t>Delaware</w:t>
            </w:r>
          </w:p>
        </w:tc>
      </w:tr>
      <w:tr>
        <w:trPr>
          <w:trHeight w:val="224"/>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Texas Gregory LLC</w:t>
            </w:r>
          </w:p>
        </w:tc>
        <w:tc>
          <w:tcPr>
            <w:tcW w:w="54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Delaware</w:t>
            </w:r>
          </w:p>
        </w:tc>
      </w:tr>
      <w:tr>
        <w:trPr>
          <w:trHeight w:val="224"/>
        </w:trPr>
        <w:tc>
          <w:tcPr>
            <w:tcW w:w="5760" w:type="dxa"/>
            <w:vAlign w:val="bottom"/>
          </w:tcPr>
          <w:p>
            <w:pPr>
              <w:ind w:left="20"/>
              <w:spacing w:after="0"/>
              <w:rPr>
                <w:sz w:val="20"/>
                <w:szCs w:val="20"/>
                <w:color w:val="auto"/>
              </w:rPr>
            </w:pPr>
            <w:r>
              <w:rPr>
                <w:rFonts w:ascii="Arial" w:cs="Arial" w:eastAsia="Arial" w:hAnsi="Arial"/>
                <w:sz w:val="18"/>
                <w:szCs w:val="18"/>
                <w:color w:val="auto"/>
              </w:rPr>
              <w:t>NRG Texas Holding Inc.</w:t>
            </w:r>
          </w:p>
        </w:tc>
        <w:tc>
          <w:tcPr>
            <w:tcW w:w="5480" w:type="dxa"/>
            <w:vAlign w:val="bottom"/>
          </w:tcPr>
          <w:p>
            <w:pPr>
              <w:ind w:left="2920"/>
              <w:spacing w:after="0"/>
              <w:rPr>
                <w:sz w:val="20"/>
                <w:szCs w:val="20"/>
                <w:color w:val="auto"/>
              </w:rPr>
            </w:pPr>
            <w:r>
              <w:rPr>
                <w:rFonts w:ascii="Arial" w:cs="Arial" w:eastAsia="Arial" w:hAnsi="Arial"/>
                <w:sz w:val="18"/>
                <w:szCs w:val="18"/>
                <w:color w:val="auto"/>
              </w:rPr>
              <w:t>Delaware</w:t>
            </w:r>
          </w:p>
        </w:tc>
      </w:tr>
      <w:tr>
        <w:trPr>
          <w:trHeight w:val="224"/>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Texas LLC</w:t>
            </w:r>
          </w:p>
        </w:tc>
        <w:tc>
          <w:tcPr>
            <w:tcW w:w="54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Delaware</w:t>
            </w:r>
          </w:p>
        </w:tc>
      </w:tr>
      <w:tr>
        <w:trPr>
          <w:trHeight w:val="224"/>
        </w:trPr>
        <w:tc>
          <w:tcPr>
            <w:tcW w:w="5760" w:type="dxa"/>
            <w:vAlign w:val="bottom"/>
          </w:tcPr>
          <w:p>
            <w:pPr>
              <w:ind w:left="20"/>
              <w:spacing w:after="0"/>
              <w:rPr>
                <w:sz w:val="20"/>
                <w:szCs w:val="20"/>
                <w:color w:val="auto"/>
              </w:rPr>
            </w:pPr>
            <w:r>
              <w:rPr>
                <w:rFonts w:ascii="Arial" w:cs="Arial" w:eastAsia="Arial" w:hAnsi="Arial"/>
                <w:sz w:val="18"/>
                <w:szCs w:val="18"/>
                <w:color w:val="auto"/>
              </w:rPr>
              <w:t>NRG Texas Power LLC</w:t>
            </w:r>
          </w:p>
        </w:tc>
        <w:tc>
          <w:tcPr>
            <w:tcW w:w="5480" w:type="dxa"/>
            <w:vAlign w:val="bottom"/>
          </w:tcPr>
          <w:p>
            <w:pPr>
              <w:ind w:left="2920"/>
              <w:spacing w:after="0"/>
              <w:rPr>
                <w:sz w:val="20"/>
                <w:szCs w:val="20"/>
                <w:color w:val="auto"/>
              </w:rPr>
            </w:pPr>
            <w:r>
              <w:rPr>
                <w:rFonts w:ascii="Arial" w:cs="Arial" w:eastAsia="Arial" w:hAnsi="Arial"/>
                <w:sz w:val="18"/>
                <w:szCs w:val="18"/>
                <w:color w:val="auto"/>
              </w:rPr>
              <w:t>Delaware</w:t>
            </w:r>
          </w:p>
        </w:tc>
      </w:tr>
      <w:tr>
        <w:trPr>
          <w:trHeight w:val="224"/>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VPP LLC</w:t>
            </w:r>
          </w:p>
        </w:tc>
        <w:tc>
          <w:tcPr>
            <w:tcW w:w="54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Delaware</w:t>
            </w:r>
          </w:p>
        </w:tc>
      </w:tr>
      <w:tr>
        <w:trPr>
          <w:trHeight w:val="224"/>
        </w:trPr>
        <w:tc>
          <w:tcPr>
            <w:tcW w:w="5760" w:type="dxa"/>
            <w:vAlign w:val="bottom"/>
          </w:tcPr>
          <w:p>
            <w:pPr>
              <w:ind w:left="20"/>
              <w:spacing w:after="0"/>
              <w:rPr>
                <w:sz w:val="20"/>
                <w:szCs w:val="20"/>
                <w:color w:val="auto"/>
              </w:rPr>
            </w:pPr>
            <w:r>
              <w:rPr>
                <w:rFonts w:ascii="Arial" w:cs="Arial" w:eastAsia="Arial" w:hAnsi="Arial"/>
                <w:sz w:val="18"/>
                <w:szCs w:val="18"/>
                <w:color w:val="auto"/>
              </w:rPr>
              <w:t>NRG VPP Solutions LLC</w:t>
            </w:r>
          </w:p>
        </w:tc>
        <w:tc>
          <w:tcPr>
            <w:tcW w:w="5480" w:type="dxa"/>
            <w:vAlign w:val="bottom"/>
          </w:tcPr>
          <w:p>
            <w:pPr>
              <w:ind w:left="2920"/>
              <w:spacing w:after="0"/>
              <w:rPr>
                <w:sz w:val="20"/>
                <w:szCs w:val="20"/>
                <w:color w:val="auto"/>
              </w:rPr>
            </w:pPr>
            <w:r>
              <w:rPr>
                <w:rFonts w:ascii="Arial" w:cs="Arial" w:eastAsia="Arial" w:hAnsi="Arial"/>
                <w:sz w:val="18"/>
                <w:szCs w:val="18"/>
                <w:color w:val="auto"/>
              </w:rPr>
              <w:t>Delaware</w:t>
            </w:r>
          </w:p>
        </w:tc>
      </w:tr>
      <w:tr>
        <w:trPr>
          <w:trHeight w:val="224"/>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Warranty Services LLC</w:t>
            </w:r>
          </w:p>
        </w:tc>
        <w:tc>
          <w:tcPr>
            <w:tcW w:w="54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Delaware</w:t>
            </w:r>
          </w:p>
        </w:tc>
      </w:tr>
      <w:tr>
        <w:trPr>
          <w:trHeight w:val="224"/>
        </w:trPr>
        <w:tc>
          <w:tcPr>
            <w:tcW w:w="5760" w:type="dxa"/>
            <w:vAlign w:val="bottom"/>
          </w:tcPr>
          <w:p>
            <w:pPr>
              <w:ind w:left="20"/>
              <w:spacing w:after="0"/>
              <w:rPr>
                <w:sz w:val="20"/>
                <w:szCs w:val="20"/>
                <w:color w:val="auto"/>
              </w:rPr>
            </w:pPr>
            <w:r>
              <w:rPr>
                <w:rFonts w:ascii="Arial" w:cs="Arial" w:eastAsia="Arial" w:hAnsi="Arial"/>
                <w:sz w:val="18"/>
                <w:szCs w:val="18"/>
                <w:color w:val="auto"/>
              </w:rPr>
              <w:t>NRG West Coast LLC</w:t>
            </w:r>
          </w:p>
        </w:tc>
        <w:tc>
          <w:tcPr>
            <w:tcW w:w="5480" w:type="dxa"/>
            <w:vAlign w:val="bottom"/>
          </w:tcPr>
          <w:p>
            <w:pPr>
              <w:ind w:left="2920"/>
              <w:spacing w:after="0"/>
              <w:rPr>
                <w:sz w:val="20"/>
                <w:szCs w:val="20"/>
                <w:color w:val="auto"/>
              </w:rPr>
            </w:pPr>
            <w:r>
              <w:rPr>
                <w:rFonts w:ascii="Arial" w:cs="Arial" w:eastAsia="Arial" w:hAnsi="Arial"/>
                <w:sz w:val="18"/>
                <w:szCs w:val="18"/>
                <w:color w:val="auto"/>
              </w:rPr>
              <w:t>Delaware</w:t>
            </w:r>
          </w:p>
        </w:tc>
      </w:tr>
      <w:tr>
        <w:trPr>
          <w:trHeight w:val="224"/>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Western Affiliate Services Inc.</w:t>
            </w:r>
          </w:p>
        </w:tc>
        <w:tc>
          <w:tcPr>
            <w:tcW w:w="54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Delaware</w:t>
            </w:r>
          </w:p>
        </w:tc>
      </w:tr>
      <w:tr>
        <w:trPr>
          <w:trHeight w:val="224"/>
        </w:trPr>
        <w:tc>
          <w:tcPr>
            <w:tcW w:w="5760" w:type="dxa"/>
            <w:vAlign w:val="bottom"/>
          </w:tcPr>
          <w:p>
            <w:pPr>
              <w:ind w:left="20"/>
              <w:spacing w:after="0"/>
              <w:rPr>
                <w:sz w:val="20"/>
                <w:szCs w:val="20"/>
                <w:color w:val="auto"/>
              </w:rPr>
            </w:pPr>
            <w:r>
              <w:rPr>
                <w:rFonts w:ascii="Arial" w:cs="Arial" w:eastAsia="Arial" w:hAnsi="Arial"/>
                <w:sz w:val="18"/>
                <w:szCs w:val="18"/>
                <w:color w:val="auto"/>
              </w:rPr>
              <w:t>Reliant Energy Northeast LLC</w:t>
            </w:r>
          </w:p>
        </w:tc>
        <w:tc>
          <w:tcPr>
            <w:tcW w:w="5480" w:type="dxa"/>
            <w:vAlign w:val="bottom"/>
          </w:tcPr>
          <w:p>
            <w:pPr>
              <w:ind w:left="2920"/>
              <w:spacing w:after="0"/>
              <w:rPr>
                <w:sz w:val="20"/>
                <w:szCs w:val="20"/>
                <w:color w:val="auto"/>
              </w:rPr>
            </w:pPr>
            <w:r>
              <w:rPr>
                <w:rFonts w:ascii="Arial" w:cs="Arial" w:eastAsia="Arial" w:hAnsi="Arial"/>
                <w:sz w:val="18"/>
                <w:szCs w:val="18"/>
                <w:color w:val="auto"/>
              </w:rPr>
              <w:t>Delaware</w:t>
            </w:r>
          </w:p>
        </w:tc>
      </w:tr>
      <w:tr>
        <w:trPr>
          <w:trHeight w:val="224"/>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Reliant Energy Power Supply, LLC</w:t>
            </w:r>
          </w:p>
        </w:tc>
        <w:tc>
          <w:tcPr>
            <w:tcW w:w="54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Delaware</w:t>
            </w:r>
          </w:p>
        </w:tc>
      </w:tr>
      <w:tr>
        <w:trPr>
          <w:trHeight w:val="224"/>
        </w:trPr>
        <w:tc>
          <w:tcPr>
            <w:tcW w:w="5760" w:type="dxa"/>
            <w:vAlign w:val="bottom"/>
          </w:tcPr>
          <w:p>
            <w:pPr>
              <w:ind w:left="20"/>
              <w:spacing w:after="0"/>
              <w:rPr>
                <w:sz w:val="20"/>
                <w:szCs w:val="20"/>
                <w:color w:val="auto"/>
              </w:rPr>
            </w:pPr>
            <w:r>
              <w:rPr>
                <w:rFonts w:ascii="Arial" w:cs="Arial" w:eastAsia="Arial" w:hAnsi="Arial"/>
                <w:sz w:val="18"/>
                <w:szCs w:val="18"/>
                <w:color w:val="auto"/>
              </w:rPr>
              <w:t>Reliant Energy Retail Holdings, LLC</w:t>
            </w:r>
          </w:p>
        </w:tc>
        <w:tc>
          <w:tcPr>
            <w:tcW w:w="5480" w:type="dxa"/>
            <w:vAlign w:val="bottom"/>
          </w:tcPr>
          <w:p>
            <w:pPr>
              <w:ind w:left="2920"/>
              <w:spacing w:after="0"/>
              <w:rPr>
                <w:sz w:val="20"/>
                <w:szCs w:val="20"/>
                <w:color w:val="auto"/>
              </w:rPr>
            </w:pPr>
            <w:r>
              <w:rPr>
                <w:rFonts w:ascii="Arial" w:cs="Arial" w:eastAsia="Arial" w:hAnsi="Arial"/>
                <w:sz w:val="18"/>
                <w:szCs w:val="18"/>
                <w:color w:val="auto"/>
              </w:rPr>
              <w:t>Delaware</w:t>
            </w:r>
          </w:p>
        </w:tc>
      </w:tr>
      <w:tr>
        <w:trPr>
          <w:trHeight w:val="224"/>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Reliant Energy Retail Services, LLC</w:t>
            </w:r>
          </w:p>
        </w:tc>
        <w:tc>
          <w:tcPr>
            <w:tcW w:w="54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Delaware</w:t>
            </w:r>
          </w:p>
        </w:tc>
      </w:tr>
      <w:tr>
        <w:trPr>
          <w:trHeight w:val="224"/>
        </w:trPr>
        <w:tc>
          <w:tcPr>
            <w:tcW w:w="5760" w:type="dxa"/>
            <w:vAlign w:val="bottom"/>
          </w:tcPr>
          <w:p>
            <w:pPr>
              <w:ind w:left="20"/>
              <w:spacing w:after="0"/>
              <w:rPr>
                <w:sz w:val="20"/>
                <w:szCs w:val="20"/>
                <w:color w:val="auto"/>
              </w:rPr>
            </w:pPr>
            <w:r>
              <w:rPr>
                <w:rFonts w:ascii="Arial" w:cs="Arial" w:eastAsia="Arial" w:hAnsi="Arial"/>
                <w:sz w:val="18"/>
                <w:szCs w:val="18"/>
                <w:color w:val="auto"/>
              </w:rPr>
              <w:t>RERH Holdings, LLC</w:t>
            </w:r>
          </w:p>
        </w:tc>
        <w:tc>
          <w:tcPr>
            <w:tcW w:w="5480" w:type="dxa"/>
            <w:vAlign w:val="bottom"/>
          </w:tcPr>
          <w:p>
            <w:pPr>
              <w:ind w:left="2920"/>
              <w:spacing w:after="0"/>
              <w:rPr>
                <w:sz w:val="20"/>
                <w:szCs w:val="20"/>
                <w:color w:val="auto"/>
              </w:rPr>
            </w:pPr>
            <w:r>
              <w:rPr>
                <w:rFonts w:ascii="Arial" w:cs="Arial" w:eastAsia="Arial" w:hAnsi="Arial"/>
                <w:sz w:val="18"/>
                <w:szCs w:val="18"/>
                <w:color w:val="auto"/>
              </w:rPr>
              <w:t>Delaware</w:t>
            </w:r>
          </w:p>
        </w:tc>
      </w:tr>
      <w:tr>
        <w:trPr>
          <w:trHeight w:val="224"/>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RSG Holding Corp.</w:t>
            </w:r>
          </w:p>
        </w:tc>
        <w:tc>
          <w:tcPr>
            <w:tcW w:w="54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Delaware</w:t>
            </w:r>
          </w:p>
        </w:tc>
      </w:tr>
      <w:tr>
        <w:trPr>
          <w:trHeight w:val="224"/>
        </w:trPr>
        <w:tc>
          <w:tcPr>
            <w:tcW w:w="5760" w:type="dxa"/>
            <w:vAlign w:val="bottom"/>
          </w:tcPr>
          <w:p>
            <w:pPr>
              <w:ind w:left="20"/>
              <w:spacing w:after="0"/>
              <w:rPr>
                <w:sz w:val="20"/>
                <w:szCs w:val="20"/>
                <w:color w:val="auto"/>
              </w:rPr>
            </w:pPr>
            <w:r>
              <w:rPr>
                <w:rFonts w:ascii="Arial" w:cs="Arial" w:eastAsia="Arial" w:hAnsi="Arial"/>
                <w:sz w:val="18"/>
                <w:szCs w:val="18"/>
                <w:color w:val="auto"/>
              </w:rPr>
              <w:t>Saguaro Power LLC</w:t>
            </w:r>
          </w:p>
        </w:tc>
        <w:tc>
          <w:tcPr>
            <w:tcW w:w="5480" w:type="dxa"/>
            <w:vAlign w:val="bottom"/>
          </w:tcPr>
          <w:p>
            <w:pPr>
              <w:ind w:left="2920"/>
              <w:spacing w:after="0"/>
              <w:rPr>
                <w:sz w:val="20"/>
                <w:szCs w:val="20"/>
                <w:color w:val="auto"/>
              </w:rPr>
            </w:pPr>
            <w:r>
              <w:rPr>
                <w:rFonts w:ascii="Arial" w:cs="Arial" w:eastAsia="Arial" w:hAnsi="Arial"/>
                <w:sz w:val="18"/>
                <w:szCs w:val="18"/>
                <w:color w:val="auto"/>
              </w:rPr>
              <w:t>Delaware</w:t>
            </w:r>
          </w:p>
        </w:tc>
      </w:tr>
      <w:tr>
        <w:trPr>
          <w:trHeight w:val="224"/>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SGE Energy Sourcing, LLC</w:t>
            </w:r>
          </w:p>
        </w:tc>
        <w:tc>
          <w:tcPr>
            <w:tcW w:w="54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Delaware</w:t>
            </w:r>
          </w:p>
        </w:tc>
      </w:tr>
      <w:tr>
        <w:trPr>
          <w:trHeight w:val="224"/>
        </w:trPr>
        <w:tc>
          <w:tcPr>
            <w:tcW w:w="5760" w:type="dxa"/>
            <w:vAlign w:val="bottom"/>
          </w:tcPr>
          <w:p>
            <w:pPr>
              <w:ind w:left="20"/>
              <w:spacing w:after="0"/>
              <w:rPr>
                <w:sz w:val="20"/>
                <w:szCs w:val="20"/>
                <w:color w:val="auto"/>
              </w:rPr>
            </w:pPr>
            <w:r>
              <w:rPr>
                <w:rFonts w:ascii="Arial" w:cs="Arial" w:eastAsia="Arial" w:hAnsi="Arial"/>
                <w:sz w:val="18"/>
                <w:szCs w:val="18"/>
                <w:color w:val="auto"/>
              </w:rPr>
              <w:t>SGE Texas Holdco, LLC</w:t>
            </w:r>
          </w:p>
        </w:tc>
        <w:tc>
          <w:tcPr>
            <w:tcW w:w="5480" w:type="dxa"/>
            <w:vAlign w:val="bottom"/>
          </w:tcPr>
          <w:p>
            <w:pPr>
              <w:ind w:left="2920"/>
              <w:spacing w:after="0"/>
              <w:rPr>
                <w:sz w:val="20"/>
                <w:szCs w:val="20"/>
                <w:color w:val="auto"/>
              </w:rPr>
            </w:pPr>
            <w:r>
              <w:rPr>
                <w:rFonts w:ascii="Arial" w:cs="Arial" w:eastAsia="Arial" w:hAnsi="Arial"/>
                <w:sz w:val="18"/>
                <w:szCs w:val="18"/>
                <w:color w:val="auto"/>
              </w:rPr>
              <w:t>Texas</w:t>
            </w:r>
          </w:p>
        </w:tc>
      </w:tr>
      <w:tr>
        <w:trPr>
          <w:trHeight w:val="224"/>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Smart Home Pros, Inc.</w:t>
            </w:r>
          </w:p>
        </w:tc>
        <w:tc>
          <w:tcPr>
            <w:tcW w:w="54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Utah</w:t>
            </w:r>
          </w:p>
        </w:tc>
      </w:tr>
      <w:tr>
        <w:trPr>
          <w:trHeight w:val="224"/>
        </w:trPr>
        <w:tc>
          <w:tcPr>
            <w:tcW w:w="5760" w:type="dxa"/>
            <w:vAlign w:val="bottom"/>
          </w:tcPr>
          <w:p>
            <w:pPr>
              <w:ind w:left="20"/>
              <w:spacing w:after="0"/>
              <w:rPr>
                <w:sz w:val="20"/>
                <w:szCs w:val="20"/>
                <w:color w:val="auto"/>
              </w:rPr>
            </w:pPr>
            <w:r>
              <w:rPr>
                <w:rFonts w:ascii="Arial" w:cs="Arial" w:eastAsia="Arial" w:hAnsi="Arial"/>
                <w:sz w:val="18"/>
                <w:szCs w:val="18"/>
                <w:color w:val="auto"/>
              </w:rPr>
              <w:t>Somerset Operations Inc.</w:t>
            </w:r>
          </w:p>
        </w:tc>
        <w:tc>
          <w:tcPr>
            <w:tcW w:w="5480" w:type="dxa"/>
            <w:vAlign w:val="bottom"/>
          </w:tcPr>
          <w:p>
            <w:pPr>
              <w:ind w:left="2920"/>
              <w:spacing w:after="0"/>
              <w:rPr>
                <w:sz w:val="20"/>
                <w:szCs w:val="20"/>
                <w:color w:val="auto"/>
              </w:rPr>
            </w:pPr>
            <w:r>
              <w:rPr>
                <w:rFonts w:ascii="Arial" w:cs="Arial" w:eastAsia="Arial" w:hAnsi="Arial"/>
                <w:sz w:val="18"/>
                <w:szCs w:val="18"/>
                <w:color w:val="auto"/>
              </w:rPr>
              <w:t>Delaware</w:t>
            </w:r>
          </w:p>
        </w:tc>
      </w:tr>
      <w:tr>
        <w:trPr>
          <w:trHeight w:val="224"/>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Somerset Power LLC</w:t>
            </w:r>
          </w:p>
        </w:tc>
        <w:tc>
          <w:tcPr>
            <w:tcW w:w="54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Delaware</w:t>
            </w:r>
          </w:p>
        </w:tc>
      </w:tr>
      <w:tr>
        <w:trPr>
          <w:trHeight w:val="224"/>
        </w:trPr>
        <w:tc>
          <w:tcPr>
            <w:tcW w:w="5760" w:type="dxa"/>
            <w:vAlign w:val="bottom"/>
          </w:tcPr>
          <w:p>
            <w:pPr>
              <w:ind w:left="20"/>
              <w:spacing w:after="0"/>
              <w:rPr>
                <w:sz w:val="20"/>
                <w:szCs w:val="20"/>
                <w:color w:val="auto"/>
              </w:rPr>
            </w:pPr>
            <w:r>
              <w:rPr>
                <w:rFonts w:ascii="Arial" w:cs="Arial" w:eastAsia="Arial" w:hAnsi="Arial"/>
                <w:sz w:val="18"/>
                <w:szCs w:val="18"/>
                <w:color w:val="auto"/>
              </w:rPr>
              <w:t>Stream Energy Columbia, LLC</w:t>
            </w:r>
          </w:p>
        </w:tc>
        <w:tc>
          <w:tcPr>
            <w:tcW w:w="5480" w:type="dxa"/>
            <w:vAlign w:val="bottom"/>
          </w:tcPr>
          <w:p>
            <w:pPr>
              <w:ind w:left="2920"/>
              <w:spacing w:after="0"/>
              <w:rPr>
                <w:sz w:val="20"/>
                <w:szCs w:val="20"/>
                <w:color w:val="auto"/>
              </w:rPr>
            </w:pPr>
            <w:r>
              <w:rPr>
                <w:rFonts w:ascii="Arial" w:cs="Arial" w:eastAsia="Arial" w:hAnsi="Arial"/>
                <w:sz w:val="18"/>
                <w:szCs w:val="18"/>
                <w:color w:val="auto"/>
              </w:rPr>
              <w:t>Delaware</w:t>
            </w:r>
          </w:p>
        </w:tc>
      </w:tr>
      <w:tr>
        <w:trPr>
          <w:trHeight w:val="224"/>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Stream Energy Delaware, LLC</w:t>
            </w:r>
          </w:p>
        </w:tc>
        <w:tc>
          <w:tcPr>
            <w:tcW w:w="54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Delaware</w:t>
            </w:r>
          </w:p>
        </w:tc>
      </w:tr>
      <w:tr>
        <w:trPr>
          <w:trHeight w:val="224"/>
        </w:trPr>
        <w:tc>
          <w:tcPr>
            <w:tcW w:w="5760" w:type="dxa"/>
            <w:vAlign w:val="bottom"/>
          </w:tcPr>
          <w:p>
            <w:pPr>
              <w:ind w:left="20"/>
              <w:spacing w:after="0"/>
              <w:rPr>
                <w:sz w:val="20"/>
                <w:szCs w:val="20"/>
                <w:color w:val="auto"/>
              </w:rPr>
            </w:pPr>
            <w:r>
              <w:rPr>
                <w:rFonts w:ascii="Arial" w:cs="Arial" w:eastAsia="Arial" w:hAnsi="Arial"/>
                <w:sz w:val="18"/>
                <w:szCs w:val="18"/>
                <w:color w:val="auto"/>
              </w:rPr>
              <w:t>Stream Energy Illinois, LLC</w:t>
            </w:r>
          </w:p>
        </w:tc>
        <w:tc>
          <w:tcPr>
            <w:tcW w:w="5480" w:type="dxa"/>
            <w:vAlign w:val="bottom"/>
          </w:tcPr>
          <w:p>
            <w:pPr>
              <w:ind w:left="2920"/>
              <w:spacing w:after="0"/>
              <w:rPr>
                <w:sz w:val="20"/>
                <w:szCs w:val="20"/>
                <w:color w:val="auto"/>
              </w:rPr>
            </w:pPr>
            <w:r>
              <w:rPr>
                <w:rFonts w:ascii="Arial" w:cs="Arial" w:eastAsia="Arial" w:hAnsi="Arial"/>
                <w:sz w:val="18"/>
                <w:szCs w:val="18"/>
                <w:color w:val="auto"/>
              </w:rPr>
              <w:t>Delaware</w:t>
            </w:r>
          </w:p>
        </w:tc>
      </w:tr>
      <w:tr>
        <w:trPr>
          <w:trHeight w:val="224"/>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Stream Energy Maryland, LLC</w:t>
            </w:r>
          </w:p>
        </w:tc>
        <w:tc>
          <w:tcPr>
            <w:tcW w:w="54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Delaware</w:t>
            </w:r>
          </w:p>
        </w:tc>
      </w:tr>
      <w:tr>
        <w:trPr>
          <w:trHeight w:val="224"/>
        </w:trPr>
        <w:tc>
          <w:tcPr>
            <w:tcW w:w="5760" w:type="dxa"/>
            <w:vAlign w:val="bottom"/>
          </w:tcPr>
          <w:p>
            <w:pPr>
              <w:ind w:left="20"/>
              <w:spacing w:after="0"/>
              <w:rPr>
                <w:sz w:val="20"/>
                <w:szCs w:val="20"/>
                <w:color w:val="auto"/>
              </w:rPr>
            </w:pPr>
            <w:r>
              <w:rPr>
                <w:rFonts w:ascii="Arial" w:cs="Arial" w:eastAsia="Arial" w:hAnsi="Arial"/>
                <w:sz w:val="18"/>
                <w:szCs w:val="18"/>
                <w:color w:val="auto"/>
              </w:rPr>
              <w:t>Stream Energy New Jersey, LLC</w:t>
            </w:r>
          </w:p>
        </w:tc>
        <w:tc>
          <w:tcPr>
            <w:tcW w:w="5480" w:type="dxa"/>
            <w:vAlign w:val="bottom"/>
          </w:tcPr>
          <w:p>
            <w:pPr>
              <w:ind w:left="2920"/>
              <w:spacing w:after="0"/>
              <w:rPr>
                <w:sz w:val="20"/>
                <w:szCs w:val="20"/>
                <w:color w:val="auto"/>
              </w:rPr>
            </w:pPr>
            <w:r>
              <w:rPr>
                <w:rFonts w:ascii="Arial" w:cs="Arial" w:eastAsia="Arial" w:hAnsi="Arial"/>
                <w:sz w:val="18"/>
                <w:szCs w:val="18"/>
                <w:color w:val="auto"/>
              </w:rPr>
              <w:t>Delaware</w:t>
            </w:r>
          </w:p>
        </w:tc>
      </w:tr>
      <w:tr>
        <w:trPr>
          <w:trHeight w:val="224"/>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Stream Energy New York, LLC</w:t>
            </w:r>
          </w:p>
        </w:tc>
        <w:tc>
          <w:tcPr>
            <w:tcW w:w="54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Delaware</w:t>
            </w:r>
          </w:p>
        </w:tc>
      </w:tr>
      <w:tr>
        <w:trPr>
          <w:trHeight w:val="224"/>
        </w:trPr>
        <w:tc>
          <w:tcPr>
            <w:tcW w:w="5760" w:type="dxa"/>
            <w:vAlign w:val="bottom"/>
          </w:tcPr>
          <w:p>
            <w:pPr>
              <w:ind w:left="20"/>
              <w:spacing w:after="0"/>
              <w:rPr>
                <w:sz w:val="20"/>
                <w:szCs w:val="20"/>
                <w:color w:val="auto"/>
              </w:rPr>
            </w:pPr>
            <w:r>
              <w:rPr>
                <w:rFonts w:ascii="Arial" w:cs="Arial" w:eastAsia="Arial" w:hAnsi="Arial"/>
                <w:sz w:val="18"/>
                <w:szCs w:val="18"/>
                <w:color w:val="auto"/>
              </w:rPr>
              <w:t>Stream Energy Pennsylvania, LLC</w:t>
            </w:r>
          </w:p>
        </w:tc>
        <w:tc>
          <w:tcPr>
            <w:tcW w:w="5480" w:type="dxa"/>
            <w:vAlign w:val="bottom"/>
          </w:tcPr>
          <w:p>
            <w:pPr>
              <w:ind w:left="2920"/>
              <w:spacing w:after="0"/>
              <w:rPr>
                <w:sz w:val="20"/>
                <w:szCs w:val="20"/>
                <w:color w:val="auto"/>
              </w:rPr>
            </w:pPr>
            <w:r>
              <w:rPr>
                <w:rFonts w:ascii="Arial" w:cs="Arial" w:eastAsia="Arial" w:hAnsi="Arial"/>
                <w:sz w:val="18"/>
                <w:szCs w:val="18"/>
                <w:color w:val="auto"/>
              </w:rPr>
              <w:t>Delaware</w:t>
            </w:r>
          </w:p>
        </w:tc>
      </w:tr>
      <w:tr>
        <w:trPr>
          <w:trHeight w:val="224"/>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Stream Georgia Gas SPE, LLC</w:t>
            </w:r>
          </w:p>
        </w:tc>
        <w:tc>
          <w:tcPr>
            <w:tcW w:w="54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Georgia</w:t>
            </w:r>
          </w:p>
        </w:tc>
      </w:tr>
      <w:tr>
        <w:trPr>
          <w:trHeight w:val="224"/>
        </w:trPr>
        <w:tc>
          <w:tcPr>
            <w:tcW w:w="5760" w:type="dxa"/>
            <w:vAlign w:val="bottom"/>
          </w:tcPr>
          <w:p>
            <w:pPr>
              <w:ind w:left="20"/>
              <w:spacing w:after="0"/>
              <w:rPr>
                <w:sz w:val="20"/>
                <w:szCs w:val="20"/>
                <w:color w:val="auto"/>
              </w:rPr>
            </w:pPr>
            <w:r>
              <w:rPr>
                <w:rFonts w:ascii="Arial" w:cs="Arial" w:eastAsia="Arial" w:hAnsi="Arial"/>
                <w:sz w:val="18"/>
                <w:szCs w:val="18"/>
                <w:color w:val="auto"/>
              </w:rPr>
              <w:t>Stream Ohio Gas &amp; Electric, LLC</w:t>
            </w:r>
          </w:p>
        </w:tc>
        <w:tc>
          <w:tcPr>
            <w:tcW w:w="5480" w:type="dxa"/>
            <w:vAlign w:val="bottom"/>
          </w:tcPr>
          <w:p>
            <w:pPr>
              <w:ind w:left="2920"/>
              <w:spacing w:after="0"/>
              <w:rPr>
                <w:sz w:val="20"/>
                <w:szCs w:val="20"/>
                <w:color w:val="auto"/>
              </w:rPr>
            </w:pPr>
            <w:r>
              <w:rPr>
                <w:rFonts w:ascii="Arial" w:cs="Arial" w:eastAsia="Arial" w:hAnsi="Arial"/>
                <w:sz w:val="18"/>
                <w:szCs w:val="18"/>
                <w:color w:val="auto"/>
              </w:rPr>
              <w:t>Ohio</w:t>
            </w:r>
          </w:p>
        </w:tc>
      </w:tr>
      <w:tr>
        <w:trPr>
          <w:trHeight w:val="224"/>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Stream SPE GP, LLC</w:t>
            </w:r>
          </w:p>
        </w:tc>
        <w:tc>
          <w:tcPr>
            <w:tcW w:w="54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Texas</w:t>
            </w:r>
          </w:p>
        </w:tc>
      </w:tr>
      <w:tr>
        <w:trPr>
          <w:trHeight w:val="224"/>
        </w:trPr>
        <w:tc>
          <w:tcPr>
            <w:tcW w:w="5760" w:type="dxa"/>
            <w:vAlign w:val="bottom"/>
          </w:tcPr>
          <w:p>
            <w:pPr>
              <w:ind w:left="20"/>
              <w:spacing w:after="0"/>
              <w:rPr>
                <w:sz w:val="20"/>
                <w:szCs w:val="20"/>
                <w:color w:val="auto"/>
              </w:rPr>
            </w:pPr>
            <w:r>
              <w:rPr>
                <w:rFonts w:ascii="Arial" w:cs="Arial" w:eastAsia="Arial" w:hAnsi="Arial"/>
                <w:sz w:val="18"/>
                <w:szCs w:val="18"/>
                <w:color w:val="auto"/>
              </w:rPr>
              <w:t>Stream SPE, Ltd.</w:t>
            </w:r>
          </w:p>
        </w:tc>
        <w:tc>
          <w:tcPr>
            <w:tcW w:w="5480" w:type="dxa"/>
            <w:vAlign w:val="bottom"/>
          </w:tcPr>
          <w:p>
            <w:pPr>
              <w:ind w:left="2920"/>
              <w:spacing w:after="0"/>
              <w:rPr>
                <w:sz w:val="20"/>
                <w:szCs w:val="20"/>
                <w:color w:val="auto"/>
              </w:rPr>
            </w:pPr>
            <w:r>
              <w:rPr>
                <w:rFonts w:ascii="Arial" w:cs="Arial" w:eastAsia="Arial" w:hAnsi="Arial"/>
                <w:sz w:val="18"/>
                <w:szCs w:val="18"/>
                <w:color w:val="auto"/>
              </w:rPr>
              <w:t>Texas</w:t>
            </w:r>
          </w:p>
        </w:tc>
      </w:tr>
      <w:tr>
        <w:trPr>
          <w:trHeight w:val="224"/>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 Genco GP, LLC</w:t>
            </w:r>
          </w:p>
        </w:tc>
        <w:tc>
          <w:tcPr>
            <w:tcW w:w="54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Texas</w:t>
            </w:r>
          </w:p>
        </w:tc>
      </w:tr>
      <w:tr>
        <w:trPr>
          <w:trHeight w:val="224"/>
        </w:trPr>
        <w:tc>
          <w:tcPr>
            <w:tcW w:w="5760" w:type="dxa"/>
            <w:vAlign w:val="bottom"/>
          </w:tcPr>
          <w:p>
            <w:pPr>
              <w:ind w:left="20"/>
              <w:spacing w:after="0"/>
              <w:rPr>
                <w:sz w:val="20"/>
                <w:szCs w:val="20"/>
                <w:color w:val="auto"/>
              </w:rPr>
            </w:pPr>
            <w:r>
              <w:rPr>
                <w:rFonts w:ascii="Arial" w:cs="Arial" w:eastAsia="Arial" w:hAnsi="Arial"/>
                <w:sz w:val="18"/>
                <w:szCs w:val="18"/>
                <w:color w:val="auto"/>
              </w:rPr>
              <w:t>Texas Genco Holdings, Inc.</w:t>
            </w:r>
          </w:p>
        </w:tc>
        <w:tc>
          <w:tcPr>
            <w:tcW w:w="5480" w:type="dxa"/>
            <w:vAlign w:val="bottom"/>
          </w:tcPr>
          <w:p>
            <w:pPr>
              <w:ind w:left="2920"/>
              <w:spacing w:after="0"/>
              <w:rPr>
                <w:sz w:val="20"/>
                <w:szCs w:val="20"/>
                <w:color w:val="auto"/>
              </w:rPr>
            </w:pPr>
            <w:r>
              <w:rPr>
                <w:rFonts w:ascii="Arial" w:cs="Arial" w:eastAsia="Arial" w:hAnsi="Arial"/>
                <w:sz w:val="18"/>
                <w:szCs w:val="18"/>
                <w:color w:val="auto"/>
              </w:rPr>
              <w:t>Texas</w:t>
            </w:r>
          </w:p>
        </w:tc>
      </w:tr>
      <w:tr>
        <w:trPr>
          <w:trHeight w:val="224"/>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 Genco LP, LLC</w:t>
            </w:r>
          </w:p>
        </w:tc>
        <w:tc>
          <w:tcPr>
            <w:tcW w:w="54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Delaware</w:t>
            </w:r>
          </w:p>
        </w:tc>
      </w:tr>
      <w:tr>
        <w:trPr>
          <w:trHeight w:val="224"/>
        </w:trPr>
        <w:tc>
          <w:tcPr>
            <w:tcW w:w="5760" w:type="dxa"/>
            <w:vAlign w:val="bottom"/>
          </w:tcPr>
          <w:p>
            <w:pPr>
              <w:ind w:left="20"/>
              <w:spacing w:after="0"/>
              <w:rPr>
                <w:sz w:val="20"/>
                <w:szCs w:val="20"/>
                <w:color w:val="auto"/>
              </w:rPr>
            </w:pPr>
            <w:r>
              <w:rPr>
                <w:rFonts w:ascii="Arial" w:cs="Arial" w:eastAsia="Arial" w:hAnsi="Arial"/>
                <w:sz w:val="18"/>
                <w:szCs w:val="18"/>
                <w:color w:val="auto"/>
              </w:rPr>
              <w:t>Texas Genco Services, LP</w:t>
            </w:r>
          </w:p>
        </w:tc>
        <w:tc>
          <w:tcPr>
            <w:tcW w:w="5480" w:type="dxa"/>
            <w:vAlign w:val="bottom"/>
          </w:tcPr>
          <w:p>
            <w:pPr>
              <w:ind w:left="2920"/>
              <w:spacing w:after="0"/>
              <w:rPr>
                <w:sz w:val="20"/>
                <w:szCs w:val="20"/>
                <w:color w:val="auto"/>
              </w:rPr>
            </w:pPr>
            <w:r>
              <w:rPr>
                <w:rFonts w:ascii="Arial" w:cs="Arial" w:eastAsia="Arial" w:hAnsi="Arial"/>
                <w:sz w:val="18"/>
                <w:szCs w:val="18"/>
                <w:color w:val="auto"/>
              </w:rPr>
              <w:t>Texas</w:t>
            </w:r>
          </w:p>
        </w:tc>
      </w:tr>
      <w:tr>
        <w:trPr>
          <w:trHeight w:val="224"/>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Retailers LLC</w:t>
            </w:r>
          </w:p>
        </w:tc>
        <w:tc>
          <w:tcPr>
            <w:tcW w:w="548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429" w:right="339" w:bottom="1440" w:gutter="0" w:footer="0" w:header="0"/>
        </w:sectPr>
      </w:pPr>
    </w:p>
    <w:bookmarkStart w:id="330" w:name="page331"/>
    <w:bookmarkEnd w:id="3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980" w:type="dxa"/>
            <w:vAlign w:val="bottom"/>
          </w:tcPr>
          <w:p>
            <w:pPr>
              <w:ind w:left="20"/>
              <w:spacing w:after="0"/>
              <w:rPr>
                <w:sz w:val="20"/>
                <w:szCs w:val="20"/>
                <w:color w:val="auto"/>
              </w:rPr>
            </w:pPr>
            <w:r>
              <w:rPr>
                <w:rFonts w:ascii="Arial" w:cs="Arial" w:eastAsia="Arial" w:hAnsi="Arial"/>
                <w:sz w:val="18"/>
                <w:szCs w:val="18"/>
                <w:color w:val="auto"/>
              </w:rPr>
              <w:t>Vienna Operations Inc.</w:t>
            </w:r>
          </w:p>
        </w:tc>
        <w:tc>
          <w:tcPr>
            <w:tcW w:w="526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Vienna Power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Vivint Amigo, Inc.</w:t>
            </w:r>
          </w:p>
        </w:tc>
        <w:tc>
          <w:tcPr>
            <w:tcW w:w="526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Vivint Group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Vivint LLC</w:t>
            </w:r>
          </w:p>
        </w:tc>
        <w:tc>
          <w:tcPr>
            <w:tcW w:w="5260" w:type="dxa"/>
            <w:vAlign w:val="bottom"/>
          </w:tcPr>
          <w:p>
            <w:pPr>
              <w:ind w:left="2700"/>
              <w:spacing w:after="0"/>
              <w:rPr>
                <w:sz w:val="20"/>
                <w:szCs w:val="20"/>
                <w:color w:val="auto"/>
              </w:rPr>
            </w:pPr>
            <w:r>
              <w:rPr>
                <w:rFonts w:ascii="Arial" w:cs="Arial" w:eastAsia="Arial" w:hAnsi="Arial"/>
                <w:sz w:val="18"/>
                <w:szCs w:val="18"/>
                <w:color w:val="auto"/>
              </w:rPr>
              <w:t>Utah</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Vivint Louisiana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Louisiana</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Vivint Purchasing, LLC</w:t>
            </w:r>
          </w:p>
        </w:tc>
        <w:tc>
          <w:tcPr>
            <w:tcW w:w="5260" w:type="dxa"/>
            <w:vAlign w:val="bottom"/>
          </w:tcPr>
          <w:p>
            <w:pPr>
              <w:ind w:left="2700"/>
              <w:spacing w:after="0"/>
              <w:rPr>
                <w:sz w:val="20"/>
                <w:szCs w:val="20"/>
                <w:color w:val="auto"/>
              </w:rPr>
            </w:pPr>
            <w:r>
              <w:rPr>
                <w:rFonts w:ascii="Arial" w:cs="Arial" w:eastAsia="Arial" w:hAnsi="Arial"/>
                <w:sz w:val="18"/>
                <w:szCs w:val="18"/>
                <w:color w:val="auto"/>
              </w:rPr>
              <w:t>Utah</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Vivint Smart Home, Inc.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Vivint VI Holdings, LLC</w:t>
            </w:r>
          </w:p>
        </w:tc>
        <w:tc>
          <w:tcPr>
            <w:tcW w:w="526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Vivint Warranty and Home Insurance,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WCP (Generation) Holdings LLC</w:t>
            </w:r>
          </w:p>
        </w:tc>
        <w:tc>
          <w:tcPr>
            <w:tcW w:w="526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 Coast Power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WTU Retail Energy L.P.</w:t>
            </w:r>
          </w:p>
        </w:tc>
        <w:tc>
          <w:tcPr>
            <w:tcW w:w="526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XOOM Energy California,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California</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XOOM Energy Connecticut, LLC</w:t>
            </w:r>
          </w:p>
        </w:tc>
        <w:tc>
          <w:tcPr>
            <w:tcW w:w="5260" w:type="dxa"/>
            <w:vAlign w:val="bottom"/>
          </w:tcPr>
          <w:p>
            <w:pPr>
              <w:ind w:left="2700"/>
              <w:spacing w:after="0"/>
              <w:rPr>
                <w:sz w:val="20"/>
                <w:szCs w:val="20"/>
                <w:color w:val="auto"/>
              </w:rPr>
            </w:pPr>
            <w:r>
              <w:rPr>
                <w:rFonts w:ascii="Arial" w:cs="Arial" w:eastAsia="Arial" w:hAnsi="Arial"/>
                <w:sz w:val="18"/>
                <w:szCs w:val="18"/>
                <w:color w:val="auto"/>
              </w:rPr>
              <w:t>Connecticut</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XOOM Energy Delaware,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XOOM Energy Georgia, LLC</w:t>
            </w:r>
          </w:p>
        </w:tc>
        <w:tc>
          <w:tcPr>
            <w:tcW w:w="5260" w:type="dxa"/>
            <w:vAlign w:val="bottom"/>
          </w:tcPr>
          <w:p>
            <w:pPr>
              <w:ind w:left="2700"/>
              <w:spacing w:after="0"/>
              <w:rPr>
                <w:sz w:val="20"/>
                <w:szCs w:val="20"/>
                <w:color w:val="auto"/>
              </w:rPr>
            </w:pPr>
            <w:r>
              <w:rPr>
                <w:rFonts w:ascii="Arial" w:cs="Arial" w:eastAsia="Arial" w:hAnsi="Arial"/>
                <w:sz w:val="18"/>
                <w:szCs w:val="18"/>
                <w:color w:val="auto"/>
              </w:rPr>
              <w:t>Georgia</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XOOM Energy Global Holdings,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XOOM Energy Illinois LLC</w:t>
            </w:r>
          </w:p>
        </w:tc>
        <w:tc>
          <w:tcPr>
            <w:tcW w:w="5260" w:type="dxa"/>
            <w:vAlign w:val="bottom"/>
          </w:tcPr>
          <w:p>
            <w:pPr>
              <w:ind w:left="2700"/>
              <w:spacing w:after="0"/>
              <w:rPr>
                <w:sz w:val="20"/>
                <w:szCs w:val="20"/>
                <w:color w:val="auto"/>
              </w:rPr>
            </w:pPr>
            <w:r>
              <w:rPr>
                <w:rFonts w:ascii="Arial" w:cs="Arial" w:eastAsia="Arial" w:hAnsi="Arial"/>
                <w:sz w:val="18"/>
                <w:szCs w:val="18"/>
                <w:color w:val="auto"/>
              </w:rPr>
              <w:t>Illinois</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XOOM Energy Indiana,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Indiana</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XOOM Energy Kentucky, LLC</w:t>
            </w:r>
          </w:p>
        </w:tc>
        <w:tc>
          <w:tcPr>
            <w:tcW w:w="5260" w:type="dxa"/>
            <w:vAlign w:val="bottom"/>
          </w:tcPr>
          <w:p>
            <w:pPr>
              <w:ind w:left="2700"/>
              <w:spacing w:after="0"/>
              <w:rPr>
                <w:sz w:val="20"/>
                <w:szCs w:val="20"/>
                <w:color w:val="auto"/>
              </w:rPr>
            </w:pPr>
            <w:r>
              <w:rPr>
                <w:rFonts w:ascii="Arial" w:cs="Arial" w:eastAsia="Arial" w:hAnsi="Arial"/>
                <w:sz w:val="18"/>
                <w:szCs w:val="18"/>
                <w:color w:val="auto"/>
              </w:rPr>
              <w:t>Kentucky</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XOOM Energy Maine,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Maine</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XOOM Energy Maryland, LLC</w:t>
            </w:r>
          </w:p>
        </w:tc>
        <w:tc>
          <w:tcPr>
            <w:tcW w:w="5260" w:type="dxa"/>
            <w:vAlign w:val="bottom"/>
          </w:tcPr>
          <w:p>
            <w:pPr>
              <w:ind w:left="2700"/>
              <w:spacing w:after="0"/>
              <w:rPr>
                <w:sz w:val="20"/>
                <w:szCs w:val="20"/>
                <w:color w:val="auto"/>
              </w:rPr>
            </w:pPr>
            <w:r>
              <w:rPr>
                <w:rFonts w:ascii="Arial" w:cs="Arial" w:eastAsia="Arial" w:hAnsi="Arial"/>
                <w:sz w:val="18"/>
                <w:szCs w:val="18"/>
                <w:color w:val="auto"/>
              </w:rPr>
              <w:t>Maryland</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XOOM Energy Massachusetts,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Massachusetts</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XOOM Energy Michigan, LLC</w:t>
            </w:r>
          </w:p>
        </w:tc>
        <w:tc>
          <w:tcPr>
            <w:tcW w:w="5260" w:type="dxa"/>
            <w:vAlign w:val="bottom"/>
          </w:tcPr>
          <w:p>
            <w:pPr>
              <w:ind w:left="2700"/>
              <w:spacing w:after="0"/>
              <w:rPr>
                <w:sz w:val="20"/>
                <w:szCs w:val="20"/>
                <w:color w:val="auto"/>
              </w:rPr>
            </w:pPr>
            <w:r>
              <w:rPr>
                <w:rFonts w:ascii="Arial" w:cs="Arial" w:eastAsia="Arial" w:hAnsi="Arial"/>
                <w:sz w:val="18"/>
                <w:szCs w:val="18"/>
                <w:color w:val="auto"/>
              </w:rPr>
              <w:t>Michigan</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XOOM Energy New Hampshire,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New Hampshire</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XOOM Energy New Jersey, LLC</w:t>
            </w:r>
          </w:p>
        </w:tc>
        <w:tc>
          <w:tcPr>
            <w:tcW w:w="5260" w:type="dxa"/>
            <w:vAlign w:val="bottom"/>
          </w:tcPr>
          <w:p>
            <w:pPr>
              <w:ind w:left="2700"/>
              <w:spacing w:after="0"/>
              <w:rPr>
                <w:sz w:val="20"/>
                <w:szCs w:val="20"/>
                <w:color w:val="auto"/>
              </w:rPr>
            </w:pPr>
            <w:r>
              <w:rPr>
                <w:rFonts w:ascii="Arial" w:cs="Arial" w:eastAsia="Arial" w:hAnsi="Arial"/>
                <w:sz w:val="18"/>
                <w:szCs w:val="18"/>
                <w:color w:val="auto"/>
              </w:rPr>
              <w:t>New Jersey</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XOOM Energy New York,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New York</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XOOM Energy Ohio, LLC</w:t>
            </w:r>
          </w:p>
        </w:tc>
        <w:tc>
          <w:tcPr>
            <w:tcW w:w="5260" w:type="dxa"/>
            <w:vAlign w:val="bottom"/>
          </w:tcPr>
          <w:p>
            <w:pPr>
              <w:ind w:left="2700"/>
              <w:spacing w:after="0"/>
              <w:rPr>
                <w:sz w:val="20"/>
                <w:szCs w:val="20"/>
                <w:color w:val="auto"/>
              </w:rPr>
            </w:pPr>
            <w:r>
              <w:rPr>
                <w:rFonts w:ascii="Arial" w:cs="Arial" w:eastAsia="Arial" w:hAnsi="Arial"/>
                <w:sz w:val="18"/>
                <w:szCs w:val="18"/>
                <w:color w:val="auto"/>
              </w:rPr>
              <w:t>Ohio</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XOOM Energy Pennsylvania,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Pennsylvania</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XOOM Energy Rhode Island, LLC</w:t>
            </w:r>
          </w:p>
        </w:tc>
        <w:tc>
          <w:tcPr>
            <w:tcW w:w="5260" w:type="dxa"/>
            <w:vAlign w:val="bottom"/>
          </w:tcPr>
          <w:p>
            <w:pPr>
              <w:ind w:left="2700"/>
              <w:spacing w:after="0"/>
              <w:rPr>
                <w:sz w:val="20"/>
                <w:szCs w:val="20"/>
                <w:color w:val="auto"/>
              </w:rPr>
            </w:pPr>
            <w:r>
              <w:rPr>
                <w:rFonts w:ascii="Arial" w:cs="Arial" w:eastAsia="Arial" w:hAnsi="Arial"/>
                <w:sz w:val="18"/>
                <w:szCs w:val="18"/>
                <w:color w:val="auto"/>
              </w:rPr>
              <w:t>Rhode Island</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XOOM Energy Texas,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Texas</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XOOM Energy Virginia, LLC</w:t>
            </w:r>
          </w:p>
        </w:tc>
        <w:tc>
          <w:tcPr>
            <w:tcW w:w="5260" w:type="dxa"/>
            <w:vAlign w:val="bottom"/>
          </w:tcPr>
          <w:p>
            <w:pPr>
              <w:ind w:left="2700"/>
              <w:spacing w:after="0"/>
              <w:rPr>
                <w:sz w:val="20"/>
                <w:szCs w:val="20"/>
                <w:color w:val="auto"/>
              </w:rPr>
            </w:pPr>
            <w:r>
              <w:rPr>
                <w:rFonts w:ascii="Arial" w:cs="Arial" w:eastAsia="Arial" w:hAnsi="Arial"/>
                <w:sz w:val="18"/>
                <w:szCs w:val="18"/>
                <w:color w:val="auto"/>
              </w:rPr>
              <w:t>Virginia</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XOOM Energy Washington D.C.,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District of Columbia</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XOOM Energy, LLC</w:t>
            </w:r>
          </w:p>
        </w:tc>
        <w:tc>
          <w:tcPr>
            <w:tcW w:w="526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XOOM Solar,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425" w:right="339" w:bottom="1440" w:gutter="0" w:footer="0" w:header="0"/>
        </w:sectPr>
      </w:pPr>
    </w:p>
    <w:bookmarkStart w:id="331" w:name="page332"/>
    <w:bookmarkEnd w:id="33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3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We consent to the incorporation by reference in the registration statements Numbers 333-217595, 333-197882, 333-185501, 333-182379, 333-171318, 333-151992, 333-135973, 333-114007, 333-270479 and 333-273810 on Form S-8 and Number 333-293137 on Form S-3ASR of our reports dated February 24, 2026, with respect to the consolidated financial statements of NRG Energy, Inc. and the effectiveness of internal control over financial reporting.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2026</w:t>
      </w:r>
    </w:p>
    <w:p>
      <w:pPr>
        <w:sectPr>
          <w:pgSz w:w="11900" w:h="16838" w:orient="portrait"/>
          <w:cols w:equalWidth="0" w:num="1">
            <w:col w:w="11240"/>
          </w:cols>
          <w:pgMar w:left="320" w:top="121" w:right="339" w:bottom="1440" w:gutter="0" w:footer="0" w:header="0"/>
        </w:sectPr>
      </w:pPr>
    </w:p>
    <w:bookmarkStart w:id="332" w:name="page333"/>
    <w:bookmarkEnd w:id="3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Lawrence S. Coben, certify that:</w:t>
      </w:r>
    </w:p>
    <w:p>
      <w:pPr>
        <w:spacing w:after="0" w:line="333" w:lineRule="exact"/>
        <w:rPr>
          <w:sz w:val="20"/>
          <w:szCs w:val="20"/>
          <w:color w:val="auto"/>
        </w:rPr>
      </w:pPr>
    </w:p>
    <w:p>
      <w:pPr>
        <w:ind w:left="640" w:hanging="635"/>
        <w:spacing w:after="0"/>
        <w:tabs>
          <w:tab w:leader="none" w:pos="64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NRG Energy, Inc.;</w:t>
      </w:r>
    </w:p>
    <w:p>
      <w:pPr>
        <w:spacing w:after="0" w:line="214" w:lineRule="exact"/>
        <w:rPr>
          <w:rFonts w:ascii="Times New Roman" w:cs="Times New Roman" w:eastAsia="Times New Roman" w:hAnsi="Times New Roman"/>
          <w:sz w:val="18"/>
          <w:szCs w:val="18"/>
          <w:color w:val="auto"/>
        </w:rPr>
      </w:pPr>
    </w:p>
    <w:p>
      <w:pPr>
        <w:jc w:val="both"/>
        <w:ind w:left="640" w:right="400" w:hanging="635"/>
        <w:spacing w:after="0" w:line="256" w:lineRule="auto"/>
        <w:tabs>
          <w:tab w:leader="none" w:pos="64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9" w:lineRule="exact"/>
        <w:rPr>
          <w:rFonts w:ascii="Times New Roman" w:cs="Times New Roman" w:eastAsia="Times New Roman" w:hAnsi="Times New Roman"/>
          <w:sz w:val="18"/>
          <w:szCs w:val="18"/>
          <w:color w:val="auto"/>
        </w:rPr>
      </w:pPr>
    </w:p>
    <w:p>
      <w:pPr>
        <w:ind w:left="640" w:right="360" w:hanging="635"/>
        <w:spacing w:after="0" w:line="268" w:lineRule="auto"/>
        <w:tabs>
          <w:tab w:leader="none" w:pos="64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Times New Roman" w:cs="Times New Roman" w:eastAsia="Times New Roman" w:hAnsi="Times New Roman"/>
          <w:sz w:val="18"/>
          <w:szCs w:val="18"/>
          <w:color w:val="auto"/>
        </w:rPr>
      </w:pPr>
    </w:p>
    <w:p>
      <w:pPr>
        <w:ind w:left="640" w:right="400" w:hanging="635"/>
        <w:spacing w:after="0" w:line="256" w:lineRule="auto"/>
        <w:tabs>
          <w:tab w:leader="none" w:pos="64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9" w:lineRule="exact"/>
        <w:rPr>
          <w:rFonts w:ascii="Times New Roman" w:cs="Times New Roman" w:eastAsia="Times New Roman" w:hAnsi="Times New Roman"/>
          <w:sz w:val="18"/>
          <w:szCs w:val="18"/>
          <w:color w:val="auto"/>
        </w:rPr>
      </w:pPr>
    </w:p>
    <w:p>
      <w:pPr>
        <w:ind w:left="1260" w:right="20" w:hanging="623"/>
        <w:spacing w:after="0" w:line="256" w:lineRule="auto"/>
        <w:tabs>
          <w:tab w:leader="none" w:pos="1257"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260" w:right="320" w:hanging="623"/>
        <w:spacing w:after="0" w:line="256" w:lineRule="auto"/>
        <w:tabs>
          <w:tab w:leader="none" w:pos="1254"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260" w:right="500" w:hanging="623"/>
        <w:spacing w:after="0" w:line="332" w:lineRule="auto"/>
        <w:tabs>
          <w:tab w:leader="none" w:pos="1257" w:val="left"/>
        </w:tabs>
        <w:numPr>
          <w:ilvl w:val="1"/>
          <w:numId w:val="3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6"/>
          <w:szCs w:val="16"/>
          <w:color w:val="auto"/>
        </w:rPr>
      </w:pPr>
    </w:p>
    <w:p>
      <w:pPr>
        <w:ind w:left="1260" w:right="60" w:hanging="623"/>
        <w:spacing w:after="0" w:line="256" w:lineRule="auto"/>
        <w:tabs>
          <w:tab w:leader="none" w:pos="1254"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40" w:right="240" w:hanging="635"/>
        <w:spacing w:after="0" w:line="268" w:lineRule="auto"/>
        <w:tabs>
          <w:tab w:leader="none" w:pos="64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Times New Roman" w:cs="Times New Roman" w:eastAsia="Times New Roman" w:hAnsi="Times New Roman"/>
          <w:sz w:val="18"/>
          <w:szCs w:val="18"/>
          <w:color w:val="auto"/>
        </w:rPr>
      </w:pPr>
    </w:p>
    <w:p>
      <w:pPr>
        <w:ind w:left="1260" w:right="740" w:hanging="623"/>
        <w:spacing w:after="0" w:line="332" w:lineRule="auto"/>
        <w:tabs>
          <w:tab w:leader="none" w:pos="1257" w:val="left"/>
        </w:tabs>
        <w:numPr>
          <w:ilvl w:val="1"/>
          <w:numId w:val="3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6"/>
          <w:szCs w:val="16"/>
          <w:color w:val="auto"/>
        </w:rPr>
      </w:pPr>
    </w:p>
    <w:p>
      <w:pPr>
        <w:ind w:left="1260" w:hanging="623"/>
        <w:spacing w:after="0"/>
        <w:tabs>
          <w:tab w:leader="none" w:pos="1260"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60" w:type="dxa"/>
            <w:vAlign w:val="bottom"/>
          </w:tcPr>
          <w:p>
            <w:pPr>
              <w:spacing w:after="0"/>
              <w:rPr>
                <w:sz w:val="19"/>
                <w:szCs w:val="19"/>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LAWRENCE S. COBEN</w:t>
            </w: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260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w w:val="97"/>
              </w:rPr>
              <w:t>Lawrence S. Coben</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260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i w:val="1"/>
                <w:iCs w:val="1"/>
                <w:color w:val="auto"/>
                <w:w w:val="97"/>
              </w:rPr>
              <w:t>Chief Executive Officer (Principal</w:t>
            </w:r>
          </w:p>
        </w:tc>
        <w:tc>
          <w:tcPr>
            <w:tcW w:w="0" w:type="dxa"/>
            <w:vAlign w:val="bottom"/>
          </w:tcPr>
          <w:p>
            <w:pPr>
              <w:spacing w:after="0"/>
              <w:rPr>
                <w:sz w:val="1"/>
                <w:szCs w:val="1"/>
                <w:color w:val="auto"/>
              </w:rPr>
            </w:pPr>
          </w:p>
        </w:tc>
      </w:tr>
      <w:tr>
        <w:trPr>
          <w:trHeight w:val="230"/>
        </w:trPr>
        <w:tc>
          <w:tcPr>
            <w:tcW w:w="3560" w:type="dxa"/>
            <w:vAlign w:val="bottom"/>
            <w:vMerge w:val="restart"/>
          </w:tcPr>
          <w:p>
            <w:pPr>
              <w:ind w:left="1260"/>
              <w:spacing w:after="0"/>
              <w:rPr>
                <w:sz w:val="20"/>
                <w:szCs w:val="20"/>
                <w:color w:val="auto"/>
              </w:rPr>
            </w:pPr>
            <w:r>
              <w:rPr>
                <w:rFonts w:ascii="Times New Roman" w:cs="Times New Roman" w:eastAsia="Times New Roman" w:hAnsi="Times New Roman"/>
                <w:sz w:val="18"/>
                <w:szCs w:val="18"/>
                <w:color w:val="auto"/>
                <w:w w:val="99"/>
              </w:rPr>
              <w:t>control over financial reporting.</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Executive Officer)</w:t>
            </w:r>
          </w:p>
        </w:tc>
        <w:tc>
          <w:tcPr>
            <w:tcW w:w="0" w:type="dxa"/>
            <w:vAlign w:val="bottom"/>
          </w:tcPr>
          <w:p>
            <w:pPr>
              <w:spacing w:after="0"/>
              <w:rPr>
                <w:sz w:val="1"/>
                <w:szCs w:val="1"/>
                <w:color w:val="auto"/>
              </w:rPr>
            </w:pPr>
          </w:p>
        </w:tc>
      </w:tr>
      <w:tr>
        <w:trPr>
          <w:trHeight w:val="98"/>
        </w:trPr>
        <w:tc>
          <w:tcPr>
            <w:tcW w:w="3560" w:type="dxa"/>
            <w:vAlign w:val="bottom"/>
            <w:vMerge w:val="continue"/>
          </w:tcPr>
          <w:p>
            <w:pPr>
              <w:spacing w:after="0"/>
              <w:rPr>
                <w:sz w:val="8"/>
                <w:szCs w:val="8"/>
                <w:color w:val="auto"/>
              </w:rPr>
            </w:pPr>
          </w:p>
        </w:tc>
        <w:tc>
          <w:tcPr>
            <w:tcW w:w="2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1"/>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24, 2026</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61" w:right="339" w:bottom="1440" w:gutter="0" w:footer="0" w:header="0"/>
        </w:sectPr>
      </w:pPr>
    </w:p>
    <w:bookmarkStart w:id="333" w:name="page334"/>
    <w:bookmarkEnd w:id="3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Woo-Sung Chung, certify that:</w:t>
      </w:r>
    </w:p>
    <w:p>
      <w:pPr>
        <w:spacing w:after="0" w:line="333" w:lineRule="exact"/>
        <w:rPr>
          <w:sz w:val="20"/>
          <w:szCs w:val="20"/>
          <w:color w:val="auto"/>
        </w:rPr>
      </w:pPr>
    </w:p>
    <w:p>
      <w:pPr>
        <w:ind w:left="640" w:hanging="319"/>
        <w:spacing w:after="0"/>
        <w:tabs>
          <w:tab w:leader="none" w:pos="64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NRG Energy, Inc.;</w:t>
      </w:r>
    </w:p>
    <w:p>
      <w:pPr>
        <w:spacing w:after="0" w:line="214" w:lineRule="exact"/>
        <w:rPr>
          <w:rFonts w:ascii="Times New Roman" w:cs="Times New Roman" w:eastAsia="Times New Roman" w:hAnsi="Times New Roman"/>
          <w:sz w:val="18"/>
          <w:szCs w:val="18"/>
          <w:color w:val="auto"/>
        </w:rPr>
      </w:pPr>
    </w:p>
    <w:p>
      <w:pPr>
        <w:jc w:val="both"/>
        <w:ind w:left="640" w:right="400" w:hanging="319"/>
        <w:spacing w:after="0" w:line="256" w:lineRule="auto"/>
        <w:tabs>
          <w:tab w:leader="none" w:pos="64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9" w:lineRule="exact"/>
        <w:rPr>
          <w:rFonts w:ascii="Times New Roman" w:cs="Times New Roman" w:eastAsia="Times New Roman" w:hAnsi="Times New Roman"/>
          <w:sz w:val="18"/>
          <w:szCs w:val="18"/>
          <w:color w:val="auto"/>
        </w:rPr>
      </w:pPr>
    </w:p>
    <w:p>
      <w:pPr>
        <w:ind w:left="640" w:right="360" w:hanging="319"/>
        <w:spacing w:after="0" w:line="268" w:lineRule="auto"/>
        <w:tabs>
          <w:tab w:leader="none" w:pos="64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Times New Roman" w:cs="Times New Roman" w:eastAsia="Times New Roman" w:hAnsi="Times New Roman"/>
          <w:sz w:val="18"/>
          <w:szCs w:val="18"/>
          <w:color w:val="auto"/>
        </w:rPr>
      </w:pPr>
    </w:p>
    <w:p>
      <w:pPr>
        <w:ind w:left="640" w:right="400" w:hanging="319"/>
        <w:spacing w:after="0" w:line="256" w:lineRule="auto"/>
        <w:tabs>
          <w:tab w:leader="none" w:pos="64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9" w:lineRule="exact"/>
        <w:rPr>
          <w:rFonts w:ascii="Times New Roman" w:cs="Times New Roman" w:eastAsia="Times New Roman" w:hAnsi="Times New Roman"/>
          <w:sz w:val="18"/>
          <w:szCs w:val="18"/>
          <w:color w:val="auto"/>
        </w:rPr>
      </w:pPr>
    </w:p>
    <w:p>
      <w:pPr>
        <w:ind w:left="1260" w:right="20" w:hanging="307"/>
        <w:spacing w:after="0" w:line="256" w:lineRule="auto"/>
        <w:tabs>
          <w:tab w:leader="none" w:pos="1257"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260" w:right="320" w:hanging="307"/>
        <w:spacing w:after="0" w:line="256" w:lineRule="auto"/>
        <w:tabs>
          <w:tab w:leader="none" w:pos="1254"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260" w:right="500" w:hanging="307"/>
        <w:spacing w:after="0" w:line="332" w:lineRule="auto"/>
        <w:tabs>
          <w:tab w:leader="none" w:pos="1257" w:val="left"/>
        </w:tabs>
        <w:numPr>
          <w:ilvl w:val="1"/>
          <w:numId w:val="3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6"/>
          <w:szCs w:val="16"/>
          <w:color w:val="auto"/>
        </w:rPr>
      </w:pPr>
    </w:p>
    <w:p>
      <w:pPr>
        <w:ind w:left="1260" w:right="60" w:hanging="307"/>
        <w:spacing w:after="0" w:line="256" w:lineRule="auto"/>
        <w:tabs>
          <w:tab w:leader="none" w:pos="1254"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40" w:right="240" w:hanging="319"/>
        <w:spacing w:after="0" w:line="268" w:lineRule="auto"/>
        <w:tabs>
          <w:tab w:leader="none" w:pos="64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Times New Roman" w:cs="Times New Roman" w:eastAsia="Times New Roman" w:hAnsi="Times New Roman"/>
          <w:sz w:val="18"/>
          <w:szCs w:val="18"/>
          <w:color w:val="auto"/>
        </w:rPr>
      </w:pPr>
    </w:p>
    <w:p>
      <w:pPr>
        <w:ind w:left="1260" w:right="740" w:hanging="307"/>
        <w:spacing w:after="0" w:line="332" w:lineRule="auto"/>
        <w:tabs>
          <w:tab w:leader="none" w:pos="1257" w:val="left"/>
        </w:tabs>
        <w:numPr>
          <w:ilvl w:val="1"/>
          <w:numId w:val="3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6"/>
          <w:szCs w:val="16"/>
          <w:color w:val="auto"/>
        </w:rPr>
      </w:pPr>
    </w:p>
    <w:p>
      <w:pPr>
        <w:ind w:left="1260" w:hanging="307"/>
        <w:spacing w:after="0"/>
        <w:tabs>
          <w:tab w:leader="none" w:pos="1260"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60" w:type="dxa"/>
            <w:vAlign w:val="bottom"/>
          </w:tcPr>
          <w:p>
            <w:pPr>
              <w:spacing w:after="0"/>
              <w:rPr>
                <w:sz w:val="19"/>
                <w:szCs w:val="19"/>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WOO-SUNG CHUNG</w:t>
            </w: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274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w w:val="96"/>
              </w:rPr>
              <w:t>Woo-Sung Chung</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274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i w:val="1"/>
                <w:iCs w:val="1"/>
                <w:color w:val="auto"/>
                <w:w w:val="98"/>
              </w:rPr>
              <w:t>Chief Financial Officer</w:t>
            </w:r>
          </w:p>
        </w:tc>
        <w:tc>
          <w:tcPr>
            <w:tcW w:w="0" w:type="dxa"/>
            <w:vAlign w:val="bottom"/>
          </w:tcPr>
          <w:p>
            <w:pPr>
              <w:spacing w:after="0"/>
              <w:rPr>
                <w:sz w:val="1"/>
                <w:szCs w:val="1"/>
                <w:color w:val="auto"/>
              </w:rPr>
            </w:pPr>
          </w:p>
        </w:tc>
      </w:tr>
      <w:tr>
        <w:trPr>
          <w:trHeight w:val="230"/>
        </w:trPr>
        <w:tc>
          <w:tcPr>
            <w:tcW w:w="3560" w:type="dxa"/>
            <w:vAlign w:val="bottom"/>
            <w:vMerge w:val="restart"/>
          </w:tcPr>
          <w:p>
            <w:pPr>
              <w:ind w:left="1260"/>
              <w:spacing w:after="0"/>
              <w:rPr>
                <w:sz w:val="20"/>
                <w:szCs w:val="20"/>
                <w:color w:val="auto"/>
              </w:rPr>
            </w:pPr>
            <w:r>
              <w:rPr>
                <w:rFonts w:ascii="Times New Roman" w:cs="Times New Roman" w:eastAsia="Times New Roman" w:hAnsi="Times New Roman"/>
                <w:sz w:val="18"/>
                <w:szCs w:val="18"/>
                <w:color w:val="auto"/>
                <w:w w:val="99"/>
              </w:rPr>
              <w:t>control over financial reporting.</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(Principal Financial Officer)</w:t>
            </w:r>
          </w:p>
        </w:tc>
        <w:tc>
          <w:tcPr>
            <w:tcW w:w="0" w:type="dxa"/>
            <w:vAlign w:val="bottom"/>
          </w:tcPr>
          <w:p>
            <w:pPr>
              <w:spacing w:after="0"/>
              <w:rPr>
                <w:sz w:val="1"/>
                <w:szCs w:val="1"/>
                <w:color w:val="auto"/>
              </w:rPr>
            </w:pPr>
          </w:p>
        </w:tc>
      </w:tr>
      <w:tr>
        <w:trPr>
          <w:trHeight w:val="98"/>
        </w:trPr>
        <w:tc>
          <w:tcPr>
            <w:tcW w:w="3560" w:type="dxa"/>
            <w:vAlign w:val="bottom"/>
            <w:vMerge w:val="continue"/>
          </w:tcPr>
          <w:p>
            <w:pPr>
              <w:spacing w:after="0"/>
              <w:rPr>
                <w:sz w:val="8"/>
                <w:szCs w:val="8"/>
                <w:color w:val="auto"/>
              </w:rPr>
            </w:pPr>
          </w:p>
        </w:tc>
        <w:tc>
          <w:tcPr>
            <w:tcW w:w="2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1"/>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24, 2026</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61" w:right="339" w:bottom="1440" w:gutter="0" w:footer="0" w:header="0"/>
        </w:sectPr>
      </w:pPr>
    </w:p>
    <w:bookmarkStart w:id="334" w:name="page335"/>
    <w:bookmarkEnd w:id="334"/>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 Alfred Spencer, certify that:</w:t>
      </w:r>
    </w:p>
    <w:p>
      <w:pPr>
        <w:spacing w:after="0" w:line="223" w:lineRule="exact"/>
        <w:rPr>
          <w:sz w:val="20"/>
          <w:szCs w:val="20"/>
          <w:color w:val="auto"/>
        </w:rPr>
      </w:pPr>
    </w:p>
    <w:p>
      <w:pPr>
        <w:ind w:left="640" w:hanging="635"/>
        <w:spacing w:after="0"/>
        <w:tabs>
          <w:tab w:leader="none" w:pos="64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NRG Energy, Inc.;</w:t>
      </w:r>
    </w:p>
    <w:p>
      <w:pPr>
        <w:spacing w:after="0" w:line="214" w:lineRule="exact"/>
        <w:rPr>
          <w:rFonts w:ascii="Times New Roman" w:cs="Times New Roman" w:eastAsia="Times New Roman" w:hAnsi="Times New Roman"/>
          <w:sz w:val="18"/>
          <w:szCs w:val="18"/>
          <w:color w:val="auto"/>
        </w:rPr>
      </w:pPr>
    </w:p>
    <w:p>
      <w:pPr>
        <w:jc w:val="both"/>
        <w:ind w:left="640" w:right="400" w:hanging="635"/>
        <w:spacing w:after="0" w:line="256" w:lineRule="auto"/>
        <w:tabs>
          <w:tab w:leader="none" w:pos="64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9" w:lineRule="exact"/>
        <w:rPr>
          <w:rFonts w:ascii="Times New Roman" w:cs="Times New Roman" w:eastAsia="Times New Roman" w:hAnsi="Times New Roman"/>
          <w:sz w:val="18"/>
          <w:szCs w:val="18"/>
          <w:color w:val="auto"/>
        </w:rPr>
      </w:pPr>
    </w:p>
    <w:p>
      <w:pPr>
        <w:ind w:left="640" w:right="360" w:hanging="635"/>
        <w:spacing w:after="0" w:line="268" w:lineRule="auto"/>
        <w:tabs>
          <w:tab w:leader="none" w:pos="64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Times New Roman" w:cs="Times New Roman" w:eastAsia="Times New Roman" w:hAnsi="Times New Roman"/>
          <w:sz w:val="18"/>
          <w:szCs w:val="18"/>
          <w:color w:val="auto"/>
        </w:rPr>
      </w:pPr>
    </w:p>
    <w:p>
      <w:pPr>
        <w:ind w:left="640" w:right="400" w:hanging="635"/>
        <w:spacing w:after="0" w:line="256" w:lineRule="auto"/>
        <w:tabs>
          <w:tab w:leader="none" w:pos="64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9" w:lineRule="exact"/>
        <w:rPr>
          <w:rFonts w:ascii="Times New Roman" w:cs="Times New Roman" w:eastAsia="Times New Roman" w:hAnsi="Times New Roman"/>
          <w:sz w:val="18"/>
          <w:szCs w:val="18"/>
          <w:color w:val="auto"/>
        </w:rPr>
      </w:pPr>
    </w:p>
    <w:p>
      <w:pPr>
        <w:ind w:left="1260" w:right="20" w:hanging="623"/>
        <w:spacing w:after="0" w:line="256" w:lineRule="auto"/>
        <w:tabs>
          <w:tab w:leader="none" w:pos="1257"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260" w:right="320" w:hanging="623"/>
        <w:spacing w:after="0" w:line="256" w:lineRule="auto"/>
        <w:tabs>
          <w:tab w:leader="none" w:pos="1254"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260" w:right="500" w:hanging="623"/>
        <w:spacing w:after="0" w:line="332" w:lineRule="auto"/>
        <w:tabs>
          <w:tab w:leader="none" w:pos="1257" w:val="left"/>
        </w:tabs>
        <w:numPr>
          <w:ilvl w:val="1"/>
          <w:numId w:val="3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6"/>
          <w:szCs w:val="16"/>
          <w:color w:val="auto"/>
        </w:rPr>
      </w:pPr>
    </w:p>
    <w:p>
      <w:pPr>
        <w:ind w:left="1260" w:right="60" w:hanging="623"/>
        <w:spacing w:after="0" w:line="256" w:lineRule="auto"/>
        <w:tabs>
          <w:tab w:leader="none" w:pos="1254"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40" w:right="240" w:hanging="635"/>
        <w:spacing w:after="0" w:line="268" w:lineRule="auto"/>
        <w:tabs>
          <w:tab w:leader="none" w:pos="64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Times New Roman" w:cs="Times New Roman" w:eastAsia="Times New Roman" w:hAnsi="Times New Roman"/>
          <w:sz w:val="18"/>
          <w:szCs w:val="18"/>
          <w:color w:val="auto"/>
        </w:rPr>
      </w:pPr>
    </w:p>
    <w:p>
      <w:pPr>
        <w:ind w:left="1260" w:right="740" w:hanging="623"/>
        <w:spacing w:after="0" w:line="332" w:lineRule="auto"/>
        <w:tabs>
          <w:tab w:leader="none" w:pos="1257" w:val="left"/>
        </w:tabs>
        <w:numPr>
          <w:ilvl w:val="1"/>
          <w:numId w:val="3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6"/>
          <w:szCs w:val="16"/>
          <w:color w:val="auto"/>
        </w:rPr>
      </w:pPr>
    </w:p>
    <w:p>
      <w:pPr>
        <w:ind w:left="1260" w:hanging="623"/>
        <w:spacing w:after="0"/>
        <w:tabs>
          <w:tab w:leader="none" w:pos="1260"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8"/>
                <w:szCs w:val="18"/>
                <w:color w:val="auto"/>
                <w:w w:val="97"/>
              </w:rPr>
              <w:t>/s/ G. ALFRED SPENCER</w:t>
            </w:r>
          </w:p>
        </w:tc>
        <w:tc>
          <w:tcPr>
            <w:tcW w:w="0" w:type="dxa"/>
            <w:vAlign w:val="bottom"/>
          </w:tcPr>
          <w:p>
            <w:pPr>
              <w:spacing w:after="0"/>
              <w:rPr>
                <w:sz w:val="1"/>
                <w:szCs w:val="1"/>
                <w:color w:val="auto"/>
              </w:rPr>
            </w:pPr>
          </w:p>
        </w:tc>
      </w:tr>
      <w:tr>
        <w:trPr>
          <w:trHeight w:val="210"/>
        </w:trPr>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tcPr>
          <w:p>
            <w:pPr>
              <w:jc w:val="center"/>
              <w:ind w:right="152"/>
              <w:spacing w:after="0"/>
              <w:rPr>
                <w:sz w:val="20"/>
                <w:szCs w:val="20"/>
                <w:color w:val="auto"/>
              </w:rPr>
            </w:pPr>
            <w:r>
              <w:rPr>
                <w:rFonts w:ascii="Times New Roman" w:cs="Times New Roman" w:eastAsia="Times New Roman" w:hAnsi="Times New Roman"/>
                <w:sz w:val="18"/>
                <w:szCs w:val="18"/>
                <w:i w:val="1"/>
                <w:iCs w:val="1"/>
                <w:color w:val="auto"/>
                <w:w w:val="97"/>
              </w:rPr>
              <w:t>Chief Accounting Officer</w:t>
            </w:r>
          </w:p>
        </w:tc>
        <w:tc>
          <w:tcPr>
            <w:tcW w:w="0" w:type="dxa"/>
            <w:vAlign w:val="bottom"/>
          </w:tcPr>
          <w:p>
            <w:pPr>
              <w:spacing w:after="0"/>
              <w:rPr>
                <w:sz w:val="1"/>
                <w:szCs w:val="1"/>
                <w:color w:val="auto"/>
              </w:rPr>
            </w:pPr>
          </w:p>
        </w:tc>
      </w:tr>
      <w:tr>
        <w:trPr>
          <w:trHeight w:val="230"/>
        </w:trPr>
        <w:tc>
          <w:tcPr>
            <w:tcW w:w="374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8"/>
                <w:szCs w:val="18"/>
                <w:color w:val="auto"/>
              </w:rPr>
              <w:t>control over financial reporting.</w:t>
            </w:r>
          </w:p>
        </w:tc>
        <w:tc>
          <w:tcPr>
            <w:tcW w:w="2840" w:type="dxa"/>
            <w:vAlign w:val="bottom"/>
          </w:tcPr>
          <w:p>
            <w:pPr>
              <w:jc w:val="center"/>
              <w:ind w:right="152"/>
              <w:spacing w:after="0"/>
              <w:rPr>
                <w:sz w:val="20"/>
                <w:szCs w:val="20"/>
                <w:color w:val="auto"/>
              </w:rPr>
            </w:pPr>
            <w:r>
              <w:rPr>
                <w:rFonts w:ascii="Times New Roman" w:cs="Times New Roman" w:eastAsia="Times New Roman" w:hAnsi="Times New Roman"/>
                <w:sz w:val="18"/>
                <w:szCs w:val="18"/>
                <w:i w:val="1"/>
                <w:iCs w:val="1"/>
                <w:color w:val="auto"/>
                <w:w w:val="97"/>
              </w:rPr>
              <w:t>(Principal Accounting Officer)</w:t>
            </w:r>
          </w:p>
        </w:tc>
        <w:tc>
          <w:tcPr>
            <w:tcW w:w="0" w:type="dxa"/>
            <w:vAlign w:val="bottom"/>
          </w:tcPr>
          <w:p>
            <w:pPr>
              <w:spacing w:after="0"/>
              <w:rPr>
                <w:sz w:val="1"/>
                <w:szCs w:val="1"/>
                <w:color w:val="auto"/>
              </w:rPr>
            </w:pPr>
          </w:p>
        </w:tc>
      </w:tr>
      <w:tr>
        <w:trPr>
          <w:trHeight w:val="105"/>
        </w:trPr>
        <w:tc>
          <w:tcPr>
            <w:tcW w:w="3740" w:type="dxa"/>
            <w:vAlign w:val="bottom"/>
            <w:gridSpan w:val="2"/>
            <w:vMerge w:val="continue"/>
          </w:tcPr>
          <w:p>
            <w:pPr>
              <w:spacing w:after="0"/>
              <w:rPr>
                <w:sz w:val="9"/>
                <w:szCs w:val="9"/>
                <w:color w:val="auto"/>
              </w:rPr>
            </w:pPr>
          </w:p>
        </w:tc>
        <w:tc>
          <w:tcPr>
            <w:tcW w:w="2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1"/>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February 24, 2026</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69" w:right="339" w:bottom="1440" w:gutter="0" w:footer="0" w:header="0"/>
        </w:sectPr>
      </w:pPr>
    </w:p>
    <w:bookmarkStart w:id="335" w:name="page336"/>
    <w:bookmarkEnd w:id="33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3" w:lineRule="exact"/>
        <w:rPr>
          <w:sz w:val="20"/>
          <w:szCs w:val="20"/>
          <w:color w:val="auto"/>
        </w:rPr>
      </w:pPr>
    </w:p>
    <w:p>
      <w:pPr>
        <w:jc w:val="both"/>
        <w:ind w:firstLine="234"/>
        <w:spacing w:after="0" w:line="256" w:lineRule="auto"/>
        <w:rPr>
          <w:sz w:val="20"/>
          <w:szCs w:val="20"/>
          <w:color w:val="auto"/>
        </w:rPr>
      </w:pPr>
      <w:r>
        <w:rPr>
          <w:rFonts w:ascii="Times New Roman" w:cs="Times New Roman" w:eastAsia="Times New Roman" w:hAnsi="Times New Roman"/>
          <w:sz w:val="18"/>
          <w:szCs w:val="18"/>
          <w:color w:val="auto"/>
        </w:rPr>
        <w:t>In connection with the Annual Report of NRG Energy, Inc. on Form 10-K for the year ended December 31, 2025, as filed with the Securities and Exchange Commission on the date hereof (the “Form 10-K”), each of the undersigned officers of the Company certifies, pursuant to 18 U.S.C. Section 1350, as adopted pursuant to Section 906 of the Sarbanes-Oxley Act of 2002, that, to such officer's knowledge:</w:t>
      </w:r>
    </w:p>
    <w:p>
      <w:pPr>
        <w:spacing w:after="0" w:line="22" w:lineRule="exact"/>
        <w:rPr>
          <w:sz w:val="20"/>
          <w:szCs w:val="20"/>
          <w:color w:val="auto"/>
        </w:rPr>
      </w:pPr>
    </w:p>
    <w:p>
      <w:pPr>
        <w:ind w:left="640" w:hanging="319"/>
        <w:spacing w:after="0"/>
        <w:tabs>
          <w:tab w:leader="none" w:pos="64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10-K fully complies with the requirements of Section 13(a) or 15(d) of the Securities Exchange Act of 1934; and</w:t>
      </w:r>
    </w:p>
    <w:p>
      <w:pPr>
        <w:spacing w:after="0" w:line="56" w:lineRule="exact"/>
        <w:rPr>
          <w:rFonts w:ascii="Times New Roman" w:cs="Times New Roman" w:eastAsia="Times New Roman" w:hAnsi="Times New Roman"/>
          <w:sz w:val="18"/>
          <w:szCs w:val="18"/>
          <w:color w:val="auto"/>
        </w:rPr>
      </w:pPr>
    </w:p>
    <w:p>
      <w:pPr>
        <w:ind w:left="640" w:right="160" w:hanging="319"/>
        <w:spacing w:after="0" w:line="268" w:lineRule="auto"/>
        <w:tabs>
          <w:tab w:leader="none" w:pos="634"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10-K fairly presents, in all material respects, the financial condition and results of operations of the Company as of the dates and for the periods expressed in the Form 10-K.</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9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 LAWRENCE S. COBEN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3713480</wp:posOffset>
            </wp:positionH>
            <wp:positionV relativeFrom="paragraph">
              <wp:posOffset>13970</wp:posOffset>
            </wp:positionV>
            <wp:extent cx="24396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76">
                      <a:extLst>
                        <a:ext uri="{28A0092B-C50C-407E-A947-70E740481C1C}"/>
                      </a:extLst>
                    </a:blip>
                    <a:srcRect/>
                    <a:stretch>
                      <a:fillRect/>
                    </a:stretch>
                  </pic:blipFill>
                  <pic:spPr bwMode="auto">
                    <a:xfrm>
                      <a:off x="0" y="0"/>
                      <a:ext cx="2439670" cy="8255"/>
                    </a:xfrm>
                    <a:prstGeom prst="rect">
                      <a:avLst/>
                    </a:prstGeom>
                    <a:noFill/>
                  </pic:spPr>
                </pic:pic>
              </a:graphicData>
            </a:graphic>
          </wp:anchor>
        </w:drawing>
      </w:r>
    </w:p>
    <w:p>
      <w:pPr>
        <w:spacing w:after="0" w:line="1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Lawrence S. Coben</w:t>
      </w:r>
    </w:p>
    <w:p>
      <w:pPr>
        <w:spacing w:after="0" w:line="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ind w:left="58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 WOO-SUNG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3713480</wp:posOffset>
            </wp:positionH>
            <wp:positionV relativeFrom="paragraph">
              <wp:posOffset>13970</wp:posOffset>
            </wp:positionV>
            <wp:extent cx="243967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77">
                      <a:extLst>
                        <a:ext uri="{28A0092B-C50C-407E-A947-70E740481C1C}"/>
                      </a:extLst>
                    </a:blip>
                    <a:srcRect/>
                    <a:stretch>
                      <a:fillRect/>
                    </a:stretch>
                  </pic:blipFill>
                  <pic:spPr bwMode="auto">
                    <a:xfrm>
                      <a:off x="0" y="0"/>
                      <a:ext cx="2439670" cy="8255"/>
                    </a:xfrm>
                    <a:prstGeom prst="rect">
                      <a:avLst/>
                    </a:prstGeom>
                    <a:noFill/>
                  </pic:spPr>
                </pic:pic>
              </a:graphicData>
            </a:graphic>
          </wp:anchor>
        </w:drawing>
      </w:r>
    </w:p>
    <w:p>
      <w:pPr>
        <w:spacing w:after="0" w:line="1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Woo-Sung Chung</w:t>
      </w:r>
    </w:p>
    <w:p>
      <w:pPr>
        <w:spacing w:after="0" w:line="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ind w:left="58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 G. ALFRED SPENCER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3713480</wp:posOffset>
            </wp:positionH>
            <wp:positionV relativeFrom="paragraph">
              <wp:posOffset>13970</wp:posOffset>
            </wp:positionV>
            <wp:extent cx="243967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78">
                      <a:extLst>
                        <a:ext uri="{28A0092B-C50C-407E-A947-70E740481C1C}"/>
                      </a:extLst>
                    </a:blip>
                    <a:srcRect/>
                    <a:stretch>
                      <a:fillRect/>
                    </a:stretch>
                  </pic:blipFill>
                  <pic:spPr bwMode="auto">
                    <a:xfrm>
                      <a:off x="0" y="0"/>
                      <a:ext cx="2439670" cy="8255"/>
                    </a:xfrm>
                    <a:prstGeom prst="rect">
                      <a:avLst/>
                    </a:prstGeom>
                    <a:noFill/>
                  </pic:spPr>
                </pic:pic>
              </a:graphicData>
            </a:graphic>
          </wp:anchor>
        </w:drawing>
      </w:r>
    </w:p>
    <w:p>
      <w:pPr>
        <w:spacing w:after="0" w:line="1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G. Alfred Spencer</w:t>
      </w:r>
    </w:p>
    <w:p>
      <w:pPr>
        <w:spacing w:after="0" w:line="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Chief Accounting Officer</w:t>
      </w:r>
    </w:p>
    <w:p>
      <w:pPr>
        <w:ind w:left="586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jc w:val="both"/>
        <w:ind w:firstLine="274"/>
        <w:spacing w:after="0" w:line="268"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this Form 10-K or as a separate disclosure document.</w:t>
      </w:r>
    </w:p>
    <w:p>
      <w:pPr>
        <w:spacing w:after="0" w:line="11" w:lineRule="exact"/>
        <w:rPr>
          <w:sz w:val="20"/>
          <w:szCs w:val="20"/>
          <w:color w:val="auto"/>
        </w:rPr>
      </w:pPr>
    </w:p>
    <w:p>
      <w:pPr>
        <w:jc w:val="both"/>
        <w:ind w:firstLine="260"/>
        <w:spacing w:after="0" w:line="25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NRG Energy, Inc. and will be retained by NRG Energy, Inc. and furnished to the Securities and Exchange Commission or its staff upon request.</w:t>
      </w:r>
    </w:p>
    <w:p>
      <w:pPr>
        <w:sectPr>
          <w:pgSz w:w="11900" w:h="16838" w:orient="portrait"/>
          <w:cols w:equalWidth="0" w:num="1">
            <w:col w:w="11240"/>
          </w:cols>
          <w:pgMar w:left="320" w:top="869" w:right="339" w:bottom="1440" w:gutter="0" w:footer="0" w:header="0"/>
        </w:sectPr>
      </w:pPr>
    </w:p>
    <w:bookmarkStart w:id="336" w:name="page337"/>
    <w:bookmarkEnd w:id="336"/>
    <w:p>
      <w:pPr>
        <w:jc w:val="right"/>
        <w:spacing w:after="0"/>
        <w:rPr>
          <w:sz w:val="20"/>
          <w:szCs w:val="20"/>
          <w:color w:val="auto"/>
        </w:rPr>
      </w:pPr>
      <w:r>
        <w:rPr>
          <w:rFonts w:ascii="Times New Roman" w:cs="Times New Roman" w:eastAsia="Times New Roman" w:hAnsi="Times New Roman"/>
          <w:sz w:val="18"/>
          <w:szCs w:val="18"/>
          <w:b w:val="1"/>
          <w:bCs w:val="1"/>
          <w:color w:val="auto"/>
        </w:rPr>
        <w:t>EXHIBIT 95.1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w:t>
      </w:r>
    </w:p>
    <w:p>
      <w:pPr>
        <w:spacing w:after="0" w:line="223"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6"/>
          <w:szCs w:val="16"/>
          <w:color w:val="auto"/>
        </w:rPr>
        <w:t>Section 1503(a) of the Dodd-Frank Wall Street Reform and Consumer Protection Act and Item 104 of Regulation S-K(17 CFR 229.104) contain reporting requirements regarding mine safety. The operation of our mine is subject to regulation by the federal Mine Safety and Health Administration, or MSHA, under the Federal Mine Safety and Health Act of 1977, or the Mine Act. Set forth below is the required information regarding certain mining safety and health matters for the year ended December 31, 2025 for our facility. In evaluating this information, consideration should be given to factors such as: (i) the number of citations and orders will vary depending on the size of the mine, (ii) the number of citations issued will vary from inspector-to-inspector and mine-to-mine, and (iii) citations and orders can be contested and appealed, and in that process, may be reduced in severity and amount, and are sometimes dismissed.</w:t>
      </w:r>
    </w:p>
    <w:p>
      <w:pPr>
        <w:ind w:left="7880"/>
        <w:spacing w:after="0" w:line="228" w:lineRule="auto"/>
        <w:rPr>
          <w:sz w:val="20"/>
          <w:szCs w:val="20"/>
          <w:color w:val="auto"/>
        </w:rPr>
      </w:pPr>
      <w:r>
        <w:rPr>
          <w:rFonts w:ascii="Times New Roman" w:cs="Times New Roman" w:eastAsia="Times New Roman" w:hAnsi="Times New Roman"/>
          <w:sz w:val="18"/>
          <w:szCs w:val="18"/>
          <w:b w:val="1"/>
          <w:bCs w:val="1"/>
          <w:color w:val="auto"/>
        </w:rPr>
        <w:t>Received</w:t>
      </w:r>
    </w:p>
    <w:p>
      <w:pPr>
        <w:ind w:left="7880"/>
        <w:spacing w:after="0" w:line="213" w:lineRule="auto"/>
        <w:rPr>
          <w:sz w:val="20"/>
          <w:szCs w:val="20"/>
          <w:color w:val="auto"/>
        </w:rPr>
      </w:pPr>
      <w:r>
        <w:rPr>
          <w:rFonts w:ascii="Times New Roman" w:cs="Times New Roman" w:eastAsia="Times New Roman" w:hAnsi="Times New Roman"/>
          <w:sz w:val="18"/>
          <w:szCs w:val="18"/>
          <w:b w:val="1"/>
          <w:bCs w:val="1"/>
          <w:color w:val="auto"/>
        </w:rPr>
        <w:t>Notice of</w:t>
      </w:r>
    </w:p>
    <w:tbl>
      <w:tblPr>
        <w:tblLayout w:type="fixed"/>
        <w:tblInd w:w="0" w:type="dxa"/>
        <w:tblCellMar>
          <w:top w:w="0" w:type="dxa"/>
          <w:left w:w="0" w:type="dxa"/>
          <w:bottom w:w="0" w:type="dxa"/>
          <w:right w:w="0" w:type="dxa"/>
        </w:tblCellMar>
      </w:tblPr>
      <w:tr>
        <w:trPr>
          <w:trHeight w:val="157"/>
        </w:trPr>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ind w:left="120"/>
              <w:spacing w:after="0" w:line="157" w:lineRule="exact"/>
              <w:rPr>
                <w:sz w:val="20"/>
                <w:szCs w:val="20"/>
                <w:color w:val="auto"/>
              </w:rPr>
            </w:pPr>
            <w:r>
              <w:rPr>
                <w:rFonts w:ascii="Times New Roman" w:cs="Times New Roman" w:eastAsia="Times New Roman" w:hAnsi="Times New Roman"/>
                <w:sz w:val="18"/>
                <w:szCs w:val="18"/>
                <w:b w:val="1"/>
                <w:bCs w:val="1"/>
                <w:color w:val="auto"/>
              </w:rPr>
              <w:t>Total Dollar</w:t>
            </w:r>
          </w:p>
        </w:tc>
        <w:tc>
          <w:tcPr>
            <w:tcW w:w="820" w:type="dxa"/>
            <w:vAlign w:val="bottom"/>
          </w:tcPr>
          <w:p>
            <w:pPr>
              <w:spacing w:after="0"/>
              <w:rPr>
                <w:sz w:val="13"/>
                <w:szCs w:val="13"/>
                <w:color w:val="auto"/>
              </w:rPr>
            </w:pPr>
          </w:p>
        </w:tc>
        <w:tc>
          <w:tcPr>
            <w:tcW w:w="900" w:type="dxa"/>
            <w:vAlign w:val="bottom"/>
          </w:tcPr>
          <w:p>
            <w:pPr>
              <w:ind w:left="100"/>
              <w:spacing w:after="0" w:line="157" w:lineRule="exact"/>
              <w:rPr>
                <w:sz w:val="20"/>
                <w:szCs w:val="20"/>
                <w:color w:val="auto"/>
              </w:rPr>
            </w:pPr>
            <w:r>
              <w:rPr>
                <w:rFonts w:ascii="Times New Roman" w:cs="Times New Roman" w:eastAsia="Times New Roman" w:hAnsi="Times New Roman"/>
                <w:sz w:val="18"/>
                <w:szCs w:val="18"/>
                <w:b w:val="1"/>
                <w:bCs w:val="1"/>
                <w:color w:val="auto"/>
              </w:rPr>
              <w:t>Received</w:t>
            </w:r>
          </w:p>
        </w:tc>
        <w:tc>
          <w:tcPr>
            <w:tcW w:w="820" w:type="dxa"/>
            <w:vAlign w:val="bottom"/>
          </w:tcPr>
          <w:p>
            <w:pPr>
              <w:ind w:left="60"/>
              <w:spacing w:after="0" w:line="157" w:lineRule="exact"/>
              <w:rPr>
                <w:sz w:val="20"/>
                <w:szCs w:val="20"/>
                <w:color w:val="auto"/>
              </w:rPr>
            </w:pPr>
            <w:r>
              <w:rPr>
                <w:rFonts w:ascii="Times New Roman" w:cs="Times New Roman" w:eastAsia="Times New Roman" w:hAnsi="Times New Roman"/>
                <w:sz w:val="18"/>
                <w:szCs w:val="18"/>
                <w:b w:val="1"/>
                <w:bCs w:val="1"/>
                <w:color w:val="auto"/>
              </w:rPr>
              <w:t>Potential</w:t>
            </w: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Legal</w:t>
            </w: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Mine or</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Sections</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ind w:left="120"/>
              <w:spacing w:after="0" w:line="171" w:lineRule="exact"/>
              <w:rPr>
                <w:sz w:val="20"/>
                <w:szCs w:val="20"/>
                <w:color w:val="auto"/>
              </w:rPr>
            </w:pPr>
            <w:r>
              <w:rPr>
                <w:rFonts w:ascii="Times New Roman" w:cs="Times New Roman" w:eastAsia="Times New Roman" w:hAnsi="Times New Roman"/>
                <w:sz w:val="18"/>
                <w:szCs w:val="18"/>
                <w:b w:val="1"/>
                <w:bCs w:val="1"/>
                <w:color w:val="auto"/>
              </w:rPr>
              <w:t>Value of</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Pr>
          <w:p>
            <w:pPr>
              <w:ind w:left="100"/>
              <w:spacing w:after="0" w:line="171" w:lineRule="exact"/>
              <w:rPr>
                <w:sz w:val="20"/>
                <w:szCs w:val="20"/>
                <w:color w:val="auto"/>
              </w:rPr>
            </w:pPr>
            <w:r>
              <w:rPr>
                <w:rFonts w:ascii="Times New Roman" w:cs="Times New Roman" w:eastAsia="Times New Roman" w:hAnsi="Times New Roman"/>
                <w:sz w:val="18"/>
                <w:szCs w:val="18"/>
                <w:b w:val="1"/>
                <w:bCs w:val="1"/>
                <w:color w:val="auto"/>
              </w:rPr>
              <w:t>Notice of</w:t>
            </w:r>
          </w:p>
        </w:tc>
        <w:tc>
          <w:tcPr>
            <w:tcW w:w="820" w:type="dxa"/>
            <w:vAlign w:val="bottom"/>
          </w:tcPr>
          <w:p>
            <w:pPr>
              <w:ind w:left="60"/>
              <w:spacing w:after="0" w:line="171" w:lineRule="exact"/>
              <w:rPr>
                <w:sz w:val="20"/>
                <w:szCs w:val="20"/>
                <w:color w:val="auto"/>
              </w:rPr>
            </w:pPr>
            <w:r>
              <w:rPr>
                <w:rFonts w:ascii="Times New Roman" w:cs="Times New Roman" w:eastAsia="Times New Roman" w:hAnsi="Times New Roman"/>
                <w:sz w:val="18"/>
                <w:szCs w:val="18"/>
                <w:b w:val="1"/>
                <w:bCs w:val="1"/>
                <w:color w:val="auto"/>
              </w:rPr>
              <w:t>to Have</w:t>
            </w:r>
          </w:p>
        </w:tc>
        <w:tc>
          <w:tcPr>
            <w:tcW w:w="800" w:type="dxa"/>
            <w:vAlign w:val="bottom"/>
            <w:vMerge w:val="continue"/>
          </w:tcPr>
          <w:p>
            <w:pPr>
              <w:spacing w:after="0"/>
              <w:rPr>
                <w:sz w:val="14"/>
                <w:szCs w:val="14"/>
                <w:color w:val="auto"/>
              </w:rPr>
            </w:pP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Legal</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Legal</w:t>
            </w:r>
          </w:p>
        </w:tc>
        <w:tc>
          <w:tcPr>
            <w:tcW w:w="0" w:type="dxa"/>
            <w:vAlign w:val="bottom"/>
          </w:tcPr>
          <w:p>
            <w:pPr>
              <w:spacing w:after="0"/>
              <w:rPr>
                <w:sz w:val="1"/>
                <w:szCs w:val="1"/>
                <w:color w:val="auto"/>
              </w:rPr>
            </w:pPr>
          </w:p>
        </w:tc>
      </w:tr>
      <w:tr>
        <w:trPr>
          <w:trHeight w:val="184"/>
        </w:trPr>
        <w:tc>
          <w:tcPr>
            <w:tcW w:w="108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ind w:left="120"/>
              <w:spacing w:after="0" w:line="184" w:lineRule="exact"/>
              <w:rPr>
                <w:sz w:val="20"/>
                <w:szCs w:val="20"/>
                <w:color w:val="auto"/>
              </w:rPr>
            </w:pPr>
            <w:r>
              <w:rPr>
                <w:rFonts w:ascii="Times New Roman" w:cs="Times New Roman" w:eastAsia="Times New Roman" w:hAnsi="Times New Roman"/>
                <w:sz w:val="18"/>
                <w:szCs w:val="18"/>
                <w:b w:val="1"/>
                <w:bCs w:val="1"/>
                <w:color w:val="auto"/>
              </w:rPr>
              <w:t>MSHA</w:t>
            </w:r>
          </w:p>
        </w:tc>
        <w:tc>
          <w:tcPr>
            <w:tcW w:w="820" w:type="dxa"/>
            <w:vAlign w:val="bottom"/>
            <w:vMerge w:val="continue"/>
          </w:tcPr>
          <w:p>
            <w:pPr>
              <w:spacing w:after="0"/>
              <w:rPr>
                <w:sz w:val="16"/>
                <w:szCs w:val="16"/>
                <w:color w:val="auto"/>
              </w:rPr>
            </w:pPr>
          </w:p>
        </w:tc>
        <w:tc>
          <w:tcPr>
            <w:tcW w:w="90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b w:val="1"/>
                <w:bCs w:val="1"/>
                <w:color w:val="auto"/>
              </w:rPr>
              <w:t>Pattern of</w:t>
            </w:r>
          </w:p>
        </w:tc>
        <w:tc>
          <w:tcPr>
            <w:tcW w:w="82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b w:val="1"/>
                <w:bCs w:val="1"/>
                <w:color w:val="auto"/>
              </w:rPr>
              <w:t>Pattern</w:t>
            </w:r>
          </w:p>
        </w:tc>
        <w:tc>
          <w:tcPr>
            <w:tcW w:w="80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b w:val="1"/>
                <w:bCs w:val="1"/>
                <w:color w:val="auto"/>
              </w:rPr>
              <w:t>Actions</w:t>
            </w:r>
          </w:p>
        </w:tc>
        <w:tc>
          <w:tcPr>
            <w:tcW w:w="8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08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b w:val="1"/>
                <w:bCs w:val="1"/>
                <w:color w:val="auto"/>
              </w:rPr>
              <w:t>Operating</w:t>
            </w:r>
          </w:p>
        </w:tc>
        <w:tc>
          <w:tcPr>
            <w:tcW w:w="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Section</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Section</w:t>
            </w:r>
          </w:p>
        </w:tc>
        <w:tc>
          <w:tcPr>
            <w:tcW w:w="880" w:type="dxa"/>
            <w:vAlign w:val="bottom"/>
          </w:tcPr>
          <w:p>
            <w:pPr>
              <w:ind w:left="120"/>
              <w:spacing w:after="0" w:line="171" w:lineRule="exact"/>
              <w:rPr>
                <w:sz w:val="20"/>
                <w:szCs w:val="20"/>
                <w:color w:val="auto"/>
              </w:rPr>
            </w:pPr>
            <w:r>
              <w:rPr>
                <w:rFonts w:ascii="Times New Roman" w:cs="Times New Roman" w:eastAsia="Times New Roman" w:hAnsi="Times New Roman"/>
                <w:sz w:val="18"/>
                <w:szCs w:val="18"/>
                <w:b w:val="1"/>
                <w:bCs w:val="1"/>
                <w:color w:val="auto"/>
              </w:rPr>
              <w:t>104(d)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Sections</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Section</w:t>
            </w:r>
          </w:p>
        </w:tc>
        <w:tc>
          <w:tcPr>
            <w:tcW w:w="1100" w:type="dxa"/>
            <w:vAlign w:val="bottom"/>
          </w:tcPr>
          <w:p>
            <w:pPr>
              <w:ind w:left="120"/>
              <w:spacing w:after="0" w:line="171" w:lineRule="exact"/>
              <w:rPr>
                <w:sz w:val="20"/>
                <w:szCs w:val="20"/>
                <w:color w:val="auto"/>
              </w:rPr>
            </w:pPr>
            <w:r>
              <w:rPr>
                <w:rFonts w:ascii="Times New Roman" w:cs="Times New Roman" w:eastAsia="Times New Roman" w:hAnsi="Times New Roman"/>
                <w:sz w:val="18"/>
                <w:szCs w:val="18"/>
                <w:b w:val="1"/>
                <w:bCs w:val="1"/>
                <w:color w:val="auto"/>
              </w:rPr>
              <w:t>Assessments</w:t>
            </w:r>
          </w:p>
        </w:tc>
        <w:tc>
          <w:tcPr>
            <w:tcW w:w="1720" w:type="dxa"/>
            <w:vAlign w:val="bottom"/>
            <w:gridSpan w:val="2"/>
          </w:tcPr>
          <w:p>
            <w:pPr>
              <w:ind w:left="40"/>
              <w:spacing w:after="0" w:line="171" w:lineRule="exact"/>
              <w:rPr>
                <w:sz w:val="20"/>
                <w:szCs w:val="20"/>
                <w:color w:val="auto"/>
              </w:rPr>
            </w:pPr>
            <w:r>
              <w:rPr>
                <w:rFonts w:ascii="Times New Roman" w:cs="Times New Roman" w:eastAsia="Times New Roman" w:hAnsi="Times New Roman"/>
                <w:sz w:val="18"/>
                <w:szCs w:val="18"/>
                <w:b w:val="1"/>
                <w:bCs w:val="1"/>
                <w:color w:val="auto"/>
                <w:w w:val="99"/>
              </w:rPr>
              <w:t>Number of Violations</w:t>
            </w:r>
          </w:p>
        </w:tc>
        <w:tc>
          <w:tcPr>
            <w:tcW w:w="820" w:type="dxa"/>
            <w:vAlign w:val="bottom"/>
          </w:tcPr>
          <w:p>
            <w:pPr>
              <w:ind w:left="60"/>
              <w:spacing w:after="0" w:line="171" w:lineRule="exact"/>
              <w:rPr>
                <w:sz w:val="20"/>
                <w:szCs w:val="20"/>
                <w:color w:val="auto"/>
              </w:rPr>
            </w:pPr>
            <w:r>
              <w:rPr>
                <w:rFonts w:ascii="Times New Roman" w:cs="Times New Roman" w:eastAsia="Times New Roman" w:hAnsi="Times New Roman"/>
                <w:sz w:val="18"/>
                <w:szCs w:val="18"/>
                <w:b w:val="1"/>
                <w:bCs w:val="1"/>
                <w:color w:val="auto"/>
              </w:rPr>
              <w:t>Under</w:t>
            </w:r>
          </w:p>
        </w:tc>
        <w:tc>
          <w:tcPr>
            <w:tcW w:w="800" w:type="dxa"/>
            <w:vAlign w:val="bottom"/>
          </w:tcPr>
          <w:p>
            <w:pPr>
              <w:ind w:left="100"/>
              <w:spacing w:after="0" w:line="171" w:lineRule="exact"/>
              <w:rPr>
                <w:sz w:val="20"/>
                <w:szCs w:val="20"/>
                <w:color w:val="auto"/>
              </w:rPr>
            </w:pPr>
            <w:r>
              <w:rPr>
                <w:rFonts w:ascii="Times New Roman" w:cs="Times New Roman" w:eastAsia="Times New Roman" w:hAnsi="Times New Roman"/>
                <w:sz w:val="18"/>
                <w:szCs w:val="18"/>
                <w:b w:val="1"/>
                <w:bCs w:val="1"/>
                <w:color w:val="auto"/>
              </w:rPr>
              <w:t>Pending</w:t>
            </w:r>
          </w:p>
        </w:tc>
        <w:tc>
          <w:tcPr>
            <w:tcW w:w="860" w:type="dxa"/>
            <w:vAlign w:val="bottom"/>
          </w:tcPr>
          <w:p>
            <w:pPr>
              <w:ind w:left="100"/>
              <w:spacing w:after="0" w:line="171" w:lineRule="exact"/>
              <w:rPr>
                <w:sz w:val="20"/>
                <w:szCs w:val="20"/>
                <w:color w:val="auto"/>
              </w:rPr>
            </w:pPr>
            <w:r>
              <w:rPr>
                <w:rFonts w:ascii="Times New Roman" w:cs="Times New Roman" w:eastAsia="Times New Roman" w:hAnsi="Times New Roman"/>
                <w:sz w:val="18"/>
                <w:szCs w:val="18"/>
                <w:b w:val="1"/>
                <w:bCs w:val="1"/>
                <w:color w:val="auto"/>
              </w:rPr>
              <w:t>Actions</w:t>
            </w:r>
          </w:p>
        </w:tc>
        <w:tc>
          <w:tcPr>
            <w:tcW w:w="940" w:type="dxa"/>
            <w:vAlign w:val="bottom"/>
          </w:tcPr>
          <w:p>
            <w:pPr>
              <w:ind w:left="120"/>
              <w:spacing w:after="0" w:line="171" w:lineRule="exact"/>
              <w:rPr>
                <w:sz w:val="20"/>
                <w:szCs w:val="20"/>
                <w:color w:val="auto"/>
              </w:rPr>
            </w:pPr>
            <w:r>
              <w:rPr>
                <w:rFonts w:ascii="Times New Roman" w:cs="Times New Roman" w:eastAsia="Times New Roman" w:hAnsi="Times New Roman"/>
                <w:sz w:val="18"/>
                <w:szCs w:val="18"/>
                <w:b w:val="1"/>
                <w:bCs w:val="1"/>
                <w:color w:val="auto"/>
              </w:rPr>
              <w:t>Actions</w:t>
            </w:r>
          </w:p>
        </w:tc>
        <w:tc>
          <w:tcPr>
            <w:tcW w:w="0" w:type="dxa"/>
            <w:vAlign w:val="bottom"/>
          </w:tcPr>
          <w:p>
            <w:pPr>
              <w:spacing w:after="0"/>
              <w:rPr>
                <w:sz w:val="1"/>
                <w:szCs w:val="1"/>
                <w:color w:val="auto"/>
              </w:rPr>
            </w:pPr>
          </w:p>
        </w:tc>
      </w:tr>
      <w:tr>
        <w:trPr>
          <w:trHeight w:val="171"/>
        </w:trPr>
        <w:tc>
          <w:tcPr>
            <w:tcW w:w="108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b w:val="1"/>
                <w:bCs w:val="1"/>
                <w:color w:val="auto"/>
                <w:w w:val="99"/>
              </w:rPr>
              <w:t>Name/MSHA</w:t>
            </w: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80" w:type="dxa"/>
            <w:vAlign w:val="bottom"/>
          </w:tcPr>
          <w:p>
            <w:pPr>
              <w:ind w:left="120"/>
              <w:spacing w:after="0" w:line="171" w:lineRule="exact"/>
              <w:rPr>
                <w:sz w:val="20"/>
                <w:szCs w:val="20"/>
                <w:color w:val="auto"/>
              </w:rPr>
            </w:pPr>
            <w:r>
              <w:rPr>
                <w:rFonts w:ascii="Times New Roman" w:cs="Times New Roman" w:eastAsia="Times New Roman" w:hAnsi="Times New Roman"/>
                <w:sz w:val="18"/>
                <w:szCs w:val="18"/>
                <w:b w:val="1"/>
                <w:bCs w:val="1"/>
                <w:color w:val="auto"/>
              </w:rPr>
              <w:t>Citations</w:t>
            </w: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100" w:type="dxa"/>
            <w:vAlign w:val="bottom"/>
          </w:tcPr>
          <w:p>
            <w:pPr>
              <w:ind w:left="120"/>
              <w:spacing w:after="0" w:line="171" w:lineRule="exact"/>
              <w:rPr>
                <w:sz w:val="20"/>
                <w:szCs w:val="20"/>
                <w:color w:val="auto"/>
              </w:rPr>
            </w:pPr>
            <w:r>
              <w:rPr>
                <w:rFonts w:ascii="Times New Roman" w:cs="Times New Roman" w:eastAsia="Times New Roman" w:hAnsi="Times New Roman"/>
                <w:sz w:val="18"/>
                <w:szCs w:val="18"/>
                <w:b w:val="1"/>
                <w:bCs w:val="1"/>
                <w:color w:val="auto"/>
                <w:w w:val="98"/>
              </w:rPr>
              <w:t>Proposed (in</w:t>
            </w:r>
          </w:p>
        </w:tc>
        <w:tc>
          <w:tcPr>
            <w:tcW w:w="820" w:type="dxa"/>
            <w:vAlign w:val="bottom"/>
          </w:tcPr>
          <w:p>
            <w:pPr>
              <w:ind w:left="40"/>
              <w:spacing w:after="0" w:line="171" w:lineRule="exact"/>
              <w:rPr>
                <w:sz w:val="20"/>
                <w:szCs w:val="20"/>
                <w:color w:val="auto"/>
              </w:rPr>
            </w:pPr>
            <w:r>
              <w:rPr>
                <w:rFonts w:ascii="Times New Roman" w:cs="Times New Roman" w:eastAsia="Times New Roman" w:hAnsi="Times New Roman"/>
                <w:sz w:val="18"/>
                <w:szCs w:val="18"/>
                <w:b w:val="1"/>
                <w:bCs w:val="1"/>
                <w:color w:val="auto"/>
              </w:rPr>
              <w:t>Mining</w:t>
            </w:r>
          </w:p>
        </w:tc>
        <w:tc>
          <w:tcPr>
            <w:tcW w:w="900" w:type="dxa"/>
            <w:vAlign w:val="bottom"/>
          </w:tcPr>
          <w:p>
            <w:pPr>
              <w:ind w:left="100"/>
              <w:spacing w:after="0" w:line="171" w:lineRule="exact"/>
              <w:rPr>
                <w:sz w:val="20"/>
                <w:szCs w:val="20"/>
                <w:color w:val="auto"/>
              </w:rPr>
            </w:pPr>
            <w:r>
              <w:rPr>
                <w:rFonts w:ascii="Times New Roman" w:cs="Times New Roman" w:eastAsia="Times New Roman" w:hAnsi="Times New Roman"/>
                <w:sz w:val="18"/>
                <w:szCs w:val="18"/>
                <w:b w:val="1"/>
                <w:bCs w:val="1"/>
                <w:color w:val="auto"/>
              </w:rPr>
              <w:t>Under</w:t>
            </w:r>
          </w:p>
        </w:tc>
        <w:tc>
          <w:tcPr>
            <w:tcW w:w="820" w:type="dxa"/>
            <w:vAlign w:val="bottom"/>
          </w:tcPr>
          <w:p>
            <w:pPr>
              <w:ind w:left="60"/>
              <w:spacing w:after="0" w:line="171" w:lineRule="exact"/>
              <w:rPr>
                <w:sz w:val="20"/>
                <w:szCs w:val="20"/>
                <w:color w:val="auto"/>
              </w:rPr>
            </w:pPr>
            <w:r>
              <w:rPr>
                <w:rFonts w:ascii="Times New Roman" w:cs="Times New Roman" w:eastAsia="Times New Roman" w:hAnsi="Times New Roman"/>
                <w:sz w:val="18"/>
                <w:szCs w:val="18"/>
                <w:b w:val="1"/>
                <w:bCs w:val="1"/>
                <w:color w:val="auto"/>
              </w:rPr>
              <w:t>Section</w:t>
            </w:r>
          </w:p>
        </w:tc>
        <w:tc>
          <w:tcPr>
            <w:tcW w:w="800" w:type="dxa"/>
            <w:vAlign w:val="bottom"/>
          </w:tcPr>
          <w:p>
            <w:pPr>
              <w:ind w:left="100"/>
              <w:spacing w:after="0" w:line="171" w:lineRule="exact"/>
              <w:rPr>
                <w:sz w:val="20"/>
                <w:szCs w:val="20"/>
                <w:color w:val="auto"/>
              </w:rPr>
            </w:pPr>
            <w:r>
              <w:rPr>
                <w:rFonts w:ascii="Times New Roman" w:cs="Times New Roman" w:eastAsia="Times New Roman" w:hAnsi="Times New Roman"/>
                <w:sz w:val="18"/>
                <w:szCs w:val="18"/>
                <w:b w:val="1"/>
                <w:bCs w:val="1"/>
                <w:color w:val="auto"/>
              </w:rPr>
              <w:t>as Last</w:t>
            </w:r>
          </w:p>
        </w:tc>
        <w:tc>
          <w:tcPr>
            <w:tcW w:w="860" w:type="dxa"/>
            <w:vAlign w:val="bottom"/>
          </w:tcPr>
          <w:p>
            <w:pPr>
              <w:ind w:left="100"/>
              <w:spacing w:after="0" w:line="171" w:lineRule="exact"/>
              <w:rPr>
                <w:sz w:val="20"/>
                <w:szCs w:val="20"/>
                <w:color w:val="auto"/>
              </w:rPr>
            </w:pPr>
            <w:r>
              <w:rPr>
                <w:rFonts w:ascii="Times New Roman" w:cs="Times New Roman" w:eastAsia="Times New Roman" w:hAnsi="Times New Roman"/>
                <w:sz w:val="18"/>
                <w:szCs w:val="18"/>
                <w:b w:val="1"/>
                <w:bCs w:val="1"/>
                <w:color w:val="auto"/>
              </w:rPr>
              <w:t>Initiated</w:t>
            </w:r>
          </w:p>
        </w:tc>
        <w:tc>
          <w:tcPr>
            <w:tcW w:w="940" w:type="dxa"/>
            <w:vAlign w:val="bottom"/>
          </w:tcPr>
          <w:p>
            <w:pPr>
              <w:ind w:left="120"/>
              <w:spacing w:after="0" w:line="171" w:lineRule="exact"/>
              <w:rPr>
                <w:sz w:val="20"/>
                <w:szCs w:val="20"/>
                <w:color w:val="auto"/>
              </w:rPr>
            </w:pPr>
            <w:r>
              <w:rPr>
                <w:rFonts w:ascii="Times New Roman" w:cs="Times New Roman" w:eastAsia="Times New Roman" w:hAnsi="Times New Roman"/>
                <w:sz w:val="18"/>
                <w:szCs w:val="18"/>
                <w:b w:val="1"/>
                <w:bCs w:val="1"/>
                <w:color w:val="auto"/>
              </w:rPr>
              <w:t>Resolved</w:t>
            </w:r>
          </w:p>
        </w:tc>
        <w:tc>
          <w:tcPr>
            <w:tcW w:w="0" w:type="dxa"/>
            <w:vAlign w:val="bottom"/>
          </w:tcPr>
          <w:p>
            <w:pPr>
              <w:spacing w:after="0"/>
              <w:rPr>
                <w:sz w:val="1"/>
                <w:szCs w:val="1"/>
                <w:color w:val="auto"/>
              </w:rPr>
            </w:pPr>
          </w:p>
        </w:tc>
      </w:tr>
      <w:tr>
        <w:trPr>
          <w:trHeight w:val="184"/>
        </w:trPr>
        <w:tc>
          <w:tcPr>
            <w:tcW w:w="1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Identification</w:t>
            </w:r>
          </w:p>
        </w:tc>
        <w:tc>
          <w:tcPr>
            <w:tcW w:w="78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104 S&amp;S</w:t>
            </w:r>
          </w:p>
        </w:tc>
        <w:tc>
          <w:tcPr>
            <w:tcW w:w="70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104(b)</w:t>
            </w:r>
          </w:p>
        </w:tc>
        <w:tc>
          <w:tcPr>
            <w:tcW w:w="880" w:type="dxa"/>
            <w:vAlign w:val="bottom"/>
          </w:tcPr>
          <w:p>
            <w:pPr>
              <w:ind w:left="120"/>
              <w:spacing w:after="0" w:line="184" w:lineRule="exact"/>
              <w:rPr>
                <w:sz w:val="20"/>
                <w:szCs w:val="20"/>
                <w:color w:val="auto"/>
              </w:rPr>
            </w:pPr>
            <w:r>
              <w:rPr>
                <w:rFonts w:ascii="Times New Roman" w:cs="Times New Roman" w:eastAsia="Times New Roman" w:hAnsi="Times New Roman"/>
                <w:sz w:val="18"/>
                <w:szCs w:val="18"/>
                <w:b w:val="1"/>
                <w:bCs w:val="1"/>
                <w:color w:val="auto"/>
              </w:rPr>
              <w:t>and</w:t>
            </w:r>
          </w:p>
        </w:tc>
        <w:tc>
          <w:tcPr>
            <w:tcW w:w="86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b w:val="1"/>
                <w:bCs w:val="1"/>
                <w:color w:val="auto"/>
              </w:rPr>
              <w:t>110(b)(2)</w:t>
            </w:r>
          </w:p>
        </w:tc>
        <w:tc>
          <w:tcPr>
            <w:tcW w:w="70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b w:val="1"/>
                <w:bCs w:val="1"/>
                <w:color w:val="auto"/>
              </w:rPr>
              <w:t>107(a)</w:t>
            </w:r>
          </w:p>
        </w:tc>
        <w:tc>
          <w:tcPr>
            <w:tcW w:w="1100" w:type="dxa"/>
            <w:vAlign w:val="bottom"/>
          </w:tcPr>
          <w:p>
            <w:pPr>
              <w:ind w:left="120"/>
              <w:spacing w:after="0" w:line="184" w:lineRule="exact"/>
              <w:rPr>
                <w:sz w:val="20"/>
                <w:szCs w:val="20"/>
                <w:color w:val="auto"/>
              </w:rPr>
            </w:pPr>
            <w:r>
              <w:rPr>
                <w:rFonts w:ascii="Times New Roman" w:cs="Times New Roman" w:eastAsia="Times New Roman" w:hAnsi="Times New Roman"/>
                <w:sz w:val="18"/>
                <w:szCs w:val="18"/>
                <w:b w:val="1"/>
                <w:bCs w:val="1"/>
                <w:color w:val="auto"/>
              </w:rPr>
              <w:t>whole</w:t>
            </w:r>
          </w:p>
        </w:tc>
        <w:tc>
          <w:tcPr>
            <w:tcW w:w="82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Related</w:t>
            </w:r>
          </w:p>
        </w:tc>
        <w:tc>
          <w:tcPr>
            <w:tcW w:w="90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b w:val="1"/>
                <w:bCs w:val="1"/>
                <w:color w:val="auto"/>
              </w:rPr>
              <w:t>Section</w:t>
            </w:r>
          </w:p>
        </w:tc>
        <w:tc>
          <w:tcPr>
            <w:tcW w:w="820" w:type="dxa"/>
            <w:vAlign w:val="bottom"/>
          </w:tcPr>
          <w:p>
            <w:pPr>
              <w:jc w:val="right"/>
              <w:ind w:right="212"/>
              <w:spacing w:after="0" w:line="184" w:lineRule="exact"/>
              <w:rPr>
                <w:sz w:val="20"/>
                <w:szCs w:val="20"/>
                <w:color w:val="auto"/>
              </w:rPr>
            </w:pPr>
            <w:r>
              <w:rPr>
                <w:rFonts w:ascii="Times New Roman" w:cs="Times New Roman" w:eastAsia="Times New Roman" w:hAnsi="Times New Roman"/>
                <w:sz w:val="18"/>
                <w:szCs w:val="18"/>
                <w:b w:val="1"/>
                <w:bCs w:val="1"/>
                <w:color w:val="auto"/>
              </w:rPr>
              <w:t>104(e)</w:t>
            </w:r>
          </w:p>
        </w:tc>
        <w:tc>
          <w:tcPr>
            <w:tcW w:w="80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b w:val="1"/>
                <w:bCs w:val="1"/>
                <w:color w:val="auto"/>
              </w:rPr>
              <w:t>Day of</w:t>
            </w:r>
          </w:p>
        </w:tc>
        <w:tc>
          <w:tcPr>
            <w:tcW w:w="86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b w:val="1"/>
                <w:bCs w:val="1"/>
                <w:color w:val="auto"/>
              </w:rPr>
              <w:t>During</w:t>
            </w:r>
          </w:p>
        </w:tc>
        <w:tc>
          <w:tcPr>
            <w:tcW w:w="940" w:type="dxa"/>
            <w:vAlign w:val="bottom"/>
          </w:tcPr>
          <w:p>
            <w:pPr>
              <w:ind w:left="120"/>
              <w:spacing w:after="0" w:line="184" w:lineRule="exact"/>
              <w:rPr>
                <w:sz w:val="20"/>
                <w:szCs w:val="20"/>
                <w:color w:val="auto"/>
              </w:rPr>
            </w:pPr>
            <w:r>
              <w:rPr>
                <w:rFonts w:ascii="Times New Roman" w:cs="Times New Roman" w:eastAsia="Times New Roman" w:hAnsi="Times New Roman"/>
                <w:sz w:val="18"/>
                <w:szCs w:val="18"/>
                <w:b w:val="1"/>
                <w:bCs w:val="1"/>
                <w:color w:val="auto"/>
              </w:rPr>
              <w:t>During</w:t>
            </w:r>
          </w:p>
        </w:tc>
        <w:tc>
          <w:tcPr>
            <w:tcW w:w="0" w:type="dxa"/>
            <w:vAlign w:val="bottom"/>
          </w:tcPr>
          <w:p>
            <w:pPr>
              <w:spacing w:after="0"/>
              <w:rPr>
                <w:sz w:val="1"/>
                <w:szCs w:val="1"/>
                <w:color w:val="auto"/>
              </w:rPr>
            </w:pPr>
          </w:p>
        </w:tc>
      </w:tr>
      <w:tr>
        <w:trPr>
          <w:trHeight w:val="224"/>
        </w:trPr>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Citations</w:t>
            </w:r>
          </w:p>
        </w:tc>
        <w:tc>
          <w:tcPr>
            <w:tcW w:w="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Orders</w:t>
            </w: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Orders</w:t>
            </w:r>
          </w:p>
        </w:tc>
        <w:tc>
          <w:tcPr>
            <w:tcW w:w="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Violations</w:t>
            </w:r>
          </w:p>
        </w:tc>
        <w:tc>
          <w:tcPr>
            <w:tcW w:w="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Orders</w:t>
            </w:r>
          </w:p>
        </w:tc>
        <w:tc>
          <w:tcPr>
            <w:tcW w:w="1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Fatalities</w:t>
            </w:r>
          </w:p>
        </w:tc>
        <w:tc>
          <w:tcPr>
            <w:tcW w:w="9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104(e)</w:t>
            </w: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(yes/no)</w:t>
            </w:r>
          </w:p>
        </w:tc>
        <w:tc>
          <w:tcPr>
            <w:tcW w:w="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0" w:type="dxa"/>
            <w:vAlign w:val="bottom"/>
          </w:tcPr>
          <w:p>
            <w:pPr>
              <w:spacing w:after="0"/>
              <w:rPr>
                <w:sz w:val="1"/>
                <w:szCs w:val="1"/>
                <w:color w:val="auto"/>
              </w:rPr>
            </w:pPr>
          </w:p>
        </w:tc>
      </w:tr>
      <w:tr>
        <w:trPr>
          <w:trHeight w:val="164"/>
        </w:trPr>
        <w:tc>
          <w:tcPr>
            <w:tcW w:w="108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b w:val="1"/>
                <w:bCs w:val="1"/>
                <w:color w:val="auto"/>
              </w:rPr>
              <w:t>Jewett Mine,</w:t>
            </w:r>
          </w:p>
        </w:tc>
        <w:tc>
          <w:tcPr>
            <w:tcW w:w="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0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Jewett, TX</w:t>
            </w:r>
          </w:p>
        </w:tc>
        <w:tc>
          <w:tcPr>
            <w:tcW w:w="7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(4103164)</w:t>
            </w:r>
          </w:p>
        </w:tc>
        <w:tc>
          <w:tcPr>
            <w:tcW w:w="7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583</w:t>
            </w:r>
          </w:p>
        </w:tc>
        <w:tc>
          <w:tcPr>
            <w:tcW w:w="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3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3F07ACC3"/>
    <w:multiLevelType w:val="hybridMultilevel"/>
    <w:lvl w:ilvl="0">
      <w:lvlJc w:val="left"/>
      <w:lvlText w:val="☒"/>
      <w:numFmt w:val="bullet"/>
      <w:start w:val="1"/>
    </w:lvl>
  </w:abstractNum>
  <w:abstractNum w:abstractNumId="1">
    <w:nsid w:val="6B47F63E"/>
    <w:multiLevelType w:val="hybridMultilevel"/>
    <w:lvl w:ilvl="0">
      <w:lvlJc w:val="left"/>
      <w:lvlText w:val="☐"/>
      <w:numFmt w:val="bullet"/>
      <w:start w:val="1"/>
    </w:lvl>
  </w:abstractNum>
  <w:abstractNum w:abstractNumId="2">
    <w:nsid w:val="5CB44A05"/>
    <w:multiLevelType w:val="hybridMultilevel"/>
    <w:lvl w:ilvl="0">
      <w:lvlJc w:val="left"/>
      <w:lvlText w:val="(%1)"/>
      <w:numFmt w:val="lowerRoman"/>
      <w:start w:val="3"/>
    </w:lvl>
  </w:abstractNum>
  <w:abstractNum w:abstractNumId="3">
    <w:nsid w:val="16CF80F1"/>
    <w:multiLevelType w:val="hybridMultilevel"/>
    <w:lvl w:ilvl="0">
      <w:lvlJc w:val="left"/>
      <w:lvlText w:val="•"/>
      <w:numFmt w:val="bullet"/>
      <w:start w:val="1"/>
    </w:lvl>
  </w:abstractNum>
  <w:abstractNum w:abstractNumId="4">
    <w:nsid w:val="1C695DEC"/>
    <w:multiLevelType w:val="hybridMultilevel"/>
    <w:lvl w:ilvl="0">
      <w:lvlJc w:val="left"/>
      <w:lvlText w:val="(%1)"/>
      <w:numFmt w:val="lowerLetter"/>
      <w:start w:val="1"/>
    </w:lvl>
  </w:abstractNum>
  <w:abstractNum w:abstractNumId="5">
    <w:nsid w:val="3FCFAED9"/>
    <w:multiLevelType w:val="hybridMultilevel"/>
    <w:lvl w:ilvl="0">
      <w:lvlJc w:val="left"/>
      <w:lvlText w:val="(%1)"/>
      <w:numFmt w:val="lowerLetter"/>
      <w:start w:val="1"/>
    </w:lvl>
  </w:abstractNum>
  <w:abstractNum w:abstractNumId="6">
    <w:nsid w:val="F856867"/>
    <w:multiLevelType w:val="hybridMultilevel"/>
    <w:lvl w:ilvl="0">
      <w:lvlJc w:val="left"/>
      <w:lvlText w:val="(%1)"/>
      <w:numFmt w:val="lowerLetter"/>
      <w:start w:val="1"/>
    </w:lvl>
  </w:abstractNum>
  <w:abstractNum w:abstractNumId="7">
    <w:nsid w:val="11B1CC33"/>
    <w:multiLevelType w:val="hybridMultilevel"/>
    <w:lvl w:ilvl="0">
      <w:lvlJc w:val="left"/>
      <w:lvlText w:val="(%1)"/>
      <w:numFmt w:val="lowerLetter"/>
      <w:start w:val="1"/>
    </w:lvl>
  </w:abstractNum>
  <w:abstractNum w:abstractNumId="8">
    <w:nsid w:val="2E22FBB7"/>
    <w:multiLevelType w:val="hybridMultilevel"/>
    <w:lvl w:ilvl="0">
      <w:lvlJc w:val="left"/>
      <w:lvlText w:val="(%1)"/>
      <w:numFmt w:val="lowerLetter"/>
      <w:start w:val="1"/>
    </w:lvl>
  </w:abstractNum>
  <w:abstractNum w:abstractNumId="9">
    <w:nsid w:val="29934699"/>
    <w:multiLevelType w:val="hybridMultilevel"/>
    <w:lvl w:ilvl="0">
      <w:lvlJc w:val="left"/>
      <w:lvlText w:val="•"/>
      <w:numFmt w:val="bullet"/>
      <w:start w:val="1"/>
    </w:lvl>
  </w:abstractNum>
  <w:abstractNum w:abstractNumId="10">
    <w:nsid w:val="77485850"/>
    <w:multiLevelType w:val="hybridMultilevel"/>
    <w:lvl w:ilvl="0">
      <w:lvlJc w:val="left"/>
      <w:lvlText w:val="•"/>
      <w:numFmt w:val="bullet"/>
      <w:start w:val="1"/>
    </w:lvl>
  </w:abstractNum>
  <w:abstractNum w:abstractNumId="11">
    <w:nsid w:val="744939A3"/>
    <w:multiLevelType w:val="hybridMultilevel"/>
    <w:lvl w:ilvl="0">
      <w:lvlJc w:val="left"/>
      <w:lvlText w:val="•"/>
      <w:numFmt w:val="bullet"/>
      <w:start w:val="1"/>
    </w:lvl>
  </w:abstractNum>
  <w:abstractNum w:abstractNumId="12">
    <w:nsid w:val="4FA0D2E3"/>
    <w:multiLevelType w:val="hybridMultilevel"/>
    <w:lvl w:ilvl="0">
      <w:lvlJc w:val="left"/>
      <w:lvlText w:val="•"/>
      <w:numFmt w:val="bullet"/>
      <w:start w:val="1"/>
    </w:lvl>
  </w:abstractNum>
  <w:abstractNum w:abstractNumId="13">
    <w:nsid w:val="6B1D2C14"/>
    <w:multiLevelType w:val="hybridMultilevel"/>
    <w:lvl w:ilvl="0">
      <w:lvlJc w:val="left"/>
      <w:lvlText w:val="•"/>
      <w:numFmt w:val="bullet"/>
      <w:start w:val="1"/>
    </w:lvl>
  </w:abstractNum>
  <w:abstractNum w:abstractNumId="14">
    <w:nsid w:val="68B867D3"/>
    <w:multiLevelType w:val="hybridMultilevel"/>
    <w:lvl w:ilvl="0">
      <w:lvlJc w:val="left"/>
      <w:lvlText w:val="•"/>
      <w:numFmt w:val="bullet"/>
      <w:start w:val="1"/>
    </w:lvl>
  </w:abstractNum>
  <w:abstractNum w:abstractNumId="15">
    <w:nsid w:val="3F7F5DD9"/>
    <w:multiLevelType w:val="hybridMultilevel"/>
    <w:lvl w:ilvl="0">
      <w:lvlJc w:val="left"/>
      <w:lvlText w:val="•"/>
      <w:numFmt w:val="bullet"/>
      <w:start w:val="1"/>
    </w:lvl>
  </w:abstractNum>
  <w:abstractNum w:abstractNumId="16">
    <w:nsid w:val="2AE05A34"/>
    <w:multiLevelType w:val="hybridMultilevel"/>
    <w:lvl w:ilvl="0">
      <w:lvlJc w:val="left"/>
      <w:lvlText w:val="•"/>
      <w:numFmt w:val="bullet"/>
      <w:start w:val="1"/>
    </w:lvl>
  </w:abstractNum>
  <w:abstractNum w:abstractNumId="17">
    <w:nsid w:val="32794FF7"/>
    <w:multiLevelType w:val="hybridMultilevel"/>
    <w:lvl w:ilvl="0">
      <w:lvlJc w:val="left"/>
      <w:lvlText w:val="•"/>
      <w:numFmt w:val="bullet"/>
      <w:start w:val="1"/>
    </w:lvl>
  </w:abstractNum>
  <w:abstractNum w:abstractNumId="18">
    <w:nsid w:val="5454945E"/>
    <w:multiLevelType w:val="hybridMultilevel"/>
    <w:lvl w:ilvl="0">
      <w:lvlJc w:val="left"/>
      <w:lvlText w:val="•"/>
      <w:numFmt w:val="bullet"/>
      <w:start w:val="1"/>
    </w:lvl>
  </w:abstractNum>
  <w:abstractNum w:abstractNumId="19">
    <w:nsid w:val="4DEFDFA0"/>
    <w:multiLevelType w:val="hybridMultilevel"/>
    <w:lvl w:ilvl="0">
      <w:lvlJc w:val="left"/>
      <w:lvlText w:val="(%1)"/>
      <w:numFmt w:val="lowerLetter"/>
      <w:start w:val="1"/>
    </w:lvl>
  </w:abstractNum>
  <w:abstractNum w:abstractNumId="20">
    <w:nsid w:val="2123D5F2"/>
    <w:multiLevelType w:val="hybridMultilevel"/>
    <w:lvl w:ilvl="0">
      <w:lvlJc w:val="left"/>
      <w:lvlText w:val="(%1)"/>
      <w:numFmt w:val="lowerLetter"/>
      <w:start w:val="1"/>
    </w:lvl>
  </w:abstractNum>
  <w:abstractNum w:abstractNumId="21">
    <w:nsid w:val="135B8110"/>
    <w:multiLevelType w:val="hybridMultilevel"/>
    <w:lvl w:ilvl="0">
      <w:lvlJc w:val="left"/>
      <w:lvlText w:val="•"/>
      <w:numFmt w:val="bullet"/>
      <w:start w:val="1"/>
    </w:lvl>
  </w:abstractNum>
  <w:abstractNum w:abstractNumId="22">
    <w:nsid w:val="94927A8"/>
    <w:multiLevelType w:val="hybridMultilevel"/>
    <w:lvl w:ilvl="0">
      <w:lvlJc w:val="left"/>
      <w:lvlText w:val="(%1)"/>
      <w:numFmt w:val="lowerLetter"/>
      <w:start w:val="1"/>
    </w:lvl>
  </w:abstractNum>
  <w:abstractNum w:abstractNumId="23">
    <w:nsid w:val="DCDF8F6"/>
    <w:multiLevelType w:val="hybridMultilevel"/>
    <w:lvl w:ilvl="0">
      <w:lvlJc w:val="left"/>
      <w:lvlText w:val="•"/>
      <w:numFmt w:val="bullet"/>
      <w:start w:val="1"/>
    </w:lvl>
  </w:abstractNum>
  <w:abstractNum w:abstractNumId="24">
    <w:nsid w:val="52D7B105"/>
    <w:multiLevelType w:val="hybridMultilevel"/>
    <w:lvl w:ilvl="0">
      <w:lvlJc w:val="left"/>
      <w:lvlText w:val="•"/>
      <w:numFmt w:val="bullet"/>
      <w:start w:val="1"/>
    </w:lvl>
  </w:abstractNum>
  <w:abstractNum w:abstractNumId="25">
    <w:nsid w:val="2E8A6394"/>
    <w:multiLevelType w:val="hybridMultilevel"/>
    <w:lvl w:ilvl="0">
      <w:lvlJc w:val="left"/>
      <w:lvlText w:val="(%1)"/>
      <w:numFmt w:val="lowerLetter"/>
      <w:start w:val="1"/>
    </w:lvl>
  </w:abstractNum>
  <w:abstractNum w:abstractNumId="26">
    <w:nsid w:val="24E60401"/>
    <w:multiLevelType w:val="hybridMultilevel"/>
    <w:lvl w:ilvl="0">
      <w:lvlJc w:val="left"/>
      <w:lvlText w:val="(%1)"/>
      <w:numFmt w:val="lowerLetter"/>
      <w:start w:val="1"/>
    </w:lvl>
  </w:abstractNum>
  <w:abstractNum w:abstractNumId="27">
    <w:nsid w:val="2A6AD9BE"/>
    <w:multiLevelType w:val="hybridMultilevel"/>
    <w:lvl w:ilvl="0">
      <w:lvlJc w:val="left"/>
      <w:lvlText w:val="(%1)"/>
      <w:numFmt w:val="lowerLetter"/>
      <w:start w:val="1"/>
    </w:lvl>
  </w:abstractNum>
  <w:abstractNum w:abstractNumId="28">
    <w:nsid w:val="BAAC1B4"/>
    <w:multiLevelType w:val="hybridMultilevel"/>
    <w:lvl w:ilvl="0">
      <w:lvlJc w:val="left"/>
      <w:lvlText w:val="(%1)"/>
      <w:numFmt w:val="lowerLetter"/>
      <w:start w:val="1"/>
    </w:lvl>
  </w:abstractNum>
  <w:abstractNum w:abstractNumId="29">
    <w:nsid w:val="36B2ACBC"/>
    <w:multiLevelType w:val="hybridMultilevel"/>
    <w:lvl w:ilvl="0">
      <w:lvlJc w:val="left"/>
      <w:lvlText w:val="(%1)"/>
      <w:numFmt w:val="lowerLetter"/>
      <w:start w:val="1"/>
    </w:lvl>
  </w:abstractNum>
  <w:abstractNum w:abstractNumId="30">
    <w:nsid w:val="779D8544"/>
    <w:multiLevelType w:val="hybridMultilevel"/>
    <w:lvl w:ilvl="0">
      <w:lvlJc w:val="left"/>
      <w:lvlText w:val="(%1)"/>
      <w:numFmt w:val="lowerLetter"/>
      <w:start w:val="1"/>
    </w:lvl>
  </w:abstractNum>
  <w:abstractNum w:abstractNumId="31">
    <w:nsid w:val="4AB26E78"/>
    <w:multiLevelType w:val="hybridMultilevel"/>
    <w:lvl w:ilvl="0">
      <w:lvlJc w:val="left"/>
      <w:lvlText w:val="•"/>
      <w:numFmt w:val="bullet"/>
      <w:start w:val="1"/>
    </w:lvl>
  </w:abstractNum>
  <w:abstractNum w:abstractNumId="32">
    <w:nsid w:val="21FAA2FA"/>
    <w:multiLevelType w:val="hybridMultilevel"/>
    <w:lvl w:ilvl="0">
      <w:lvlJc w:val="left"/>
      <w:lvlText w:val="(%1)"/>
      <w:numFmt w:val="lowerLetter"/>
      <w:start w:val="1"/>
    </w:lvl>
  </w:abstractNum>
  <w:abstractNum w:abstractNumId="33">
    <w:nsid w:val="5451CF49"/>
    <w:multiLevelType w:val="hybridMultilevel"/>
    <w:lvl w:ilvl="0">
      <w:lvlJc w:val="left"/>
      <w:lvlText w:val="(%1)"/>
      <w:numFmt w:val="lowerLetter"/>
      <w:start w:val="1"/>
    </w:lvl>
  </w:abstractNum>
  <w:abstractNum w:abstractNumId="34">
    <w:nsid w:val="6181EF69"/>
    <w:multiLevelType w:val="hybridMultilevel"/>
    <w:lvl w:ilvl="0">
      <w:lvlJc w:val="left"/>
      <w:lvlText w:val="(%1)"/>
      <w:numFmt w:val="lowerLetter"/>
      <w:start w:val="1"/>
    </w:lvl>
  </w:abstractNum>
  <w:abstractNum w:abstractNumId="35">
    <w:nsid w:val="3E6400E6"/>
    <w:multiLevelType w:val="hybridMultilevel"/>
    <w:lvl w:ilvl="0">
      <w:lvlJc w:val="left"/>
      <w:lvlText w:val="(%1)"/>
      <w:numFmt w:val="lowerRoman"/>
      <w:start w:val="1"/>
    </w:lvl>
  </w:abstractNum>
  <w:abstractNum w:abstractNumId="36">
    <w:nsid w:val="14217E23"/>
    <w:multiLevelType w:val="hybridMultilevel"/>
    <w:lvl w:ilvl="0">
      <w:lvlJc w:val="left"/>
      <w:lvlText w:val="(%1)"/>
      <w:numFmt w:val="lowerRoman"/>
      <w:start w:val="3"/>
    </w:lvl>
  </w:abstractNum>
  <w:abstractNum w:abstractNumId="37">
    <w:nsid w:val="710757D0"/>
    <w:multiLevelType w:val="hybridMultilevel"/>
    <w:lvl w:ilvl="0">
      <w:lvlJc w:val="left"/>
      <w:lvlText w:val="$"/>
      <w:numFmt w:val="bullet"/>
      <w:start w:val="1"/>
    </w:lvl>
  </w:abstractNum>
  <w:abstractNum w:abstractNumId="38">
    <w:nsid w:val="5015CD1A"/>
    <w:multiLevelType w:val="hybridMultilevel"/>
    <w:lvl w:ilvl="0">
      <w:lvlJc w:val="left"/>
      <w:lvlText w:val="$"/>
      <w:numFmt w:val="bullet"/>
      <w:start w:val="1"/>
    </w:lvl>
  </w:abstractNum>
  <w:abstractNum w:abstractNumId="39">
    <w:nsid w:val="424479DA"/>
    <w:multiLevelType w:val="hybridMultilevel"/>
    <w:lvl w:ilvl="0">
      <w:lvlJc w:val="left"/>
      <w:lvlText w:val="(%1)"/>
      <w:numFmt w:val="lowerLetter"/>
      <w:start w:val="1"/>
    </w:lvl>
  </w:abstractNum>
  <w:abstractNum w:abstractNumId="40">
    <w:nsid w:val="1A9A9E69"/>
    <w:multiLevelType w:val="hybridMultilevel"/>
    <w:lvl w:ilvl="0">
      <w:lvlJc w:val="left"/>
      <w:lvlText w:val="(%1)"/>
      <w:numFmt w:val="lowerLetter"/>
      <w:start w:val="1"/>
    </w:lvl>
  </w:abstractNum>
  <w:abstractNum w:abstractNumId="41">
    <w:nsid w:val="475E256A"/>
    <w:multiLevelType w:val="hybridMultilevel"/>
    <w:lvl w:ilvl="0">
      <w:lvlJc w:val="left"/>
      <w:lvlText w:val="$"/>
      <w:numFmt w:val="bullet"/>
      <w:start w:val="1"/>
    </w:lvl>
  </w:abstractNum>
  <w:abstractNum w:abstractNumId="42">
    <w:nsid w:val="368DB37E"/>
    <w:multiLevelType w:val="hybridMultilevel"/>
    <w:lvl w:ilvl="0">
      <w:lvlJc w:val="left"/>
      <w:lvlText w:val="$"/>
      <w:numFmt w:val="bullet"/>
      <w:start w:val="1"/>
    </w:lvl>
  </w:abstractNum>
  <w:abstractNum w:abstractNumId="43">
    <w:nsid w:val="6A3B714C"/>
    <w:multiLevelType w:val="hybridMultilevel"/>
    <w:lvl w:ilvl="0">
      <w:lvlJc w:val="left"/>
      <w:lvlText w:val="(%1)"/>
      <w:numFmt w:val="lowerLetter"/>
      <w:start w:val="1"/>
    </w:lvl>
  </w:abstractNum>
  <w:abstractNum w:abstractNumId="44">
    <w:nsid w:val="327B517E"/>
    <w:multiLevelType w:val="hybridMultilevel"/>
    <w:lvl w:ilvl="0">
      <w:lvlJc w:val="left"/>
      <w:lvlText w:val="(%1)"/>
      <w:numFmt w:val="lowerLetter"/>
      <w:start w:val="1"/>
    </w:lvl>
  </w:abstractNum>
  <w:abstractNum w:abstractNumId="45">
    <w:nsid w:val="1F461B51"/>
    <w:multiLevelType w:val="hybridMultilevel"/>
    <w:lvl w:ilvl="0">
      <w:lvlJc w:val="left"/>
      <w:lvlText w:val="•"/>
      <w:numFmt w:val="bullet"/>
      <w:start w:val="1"/>
    </w:lvl>
  </w:abstractNum>
  <w:abstractNum w:abstractNumId="46">
    <w:nsid w:val="29BACF25"/>
    <w:multiLevelType w:val="hybridMultilevel"/>
    <w:lvl w:ilvl="0">
      <w:lvlJc w:val="left"/>
      <w:lvlText w:val="•"/>
      <w:numFmt w:val="bullet"/>
      <w:start w:val="1"/>
    </w:lvl>
  </w:abstractNum>
  <w:abstractNum w:abstractNumId="47">
    <w:nsid w:val="5D5BABB3"/>
    <w:multiLevelType w:val="hybridMultilevel"/>
    <w:lvl w:ilvl="0">
      <w:lvlJc w:val="left"/>
      <w:lvlText w:val="(%1)"/>
      <w:numFmt w:val="lowerRoman"/>
      <w:start w:val="4"/>
    </w:lvl>
  </w:abstractNum>
  <w:abstractNum w:abstractNumId="48">
    <w:nsid w:val="51BF6B48"/>
    <w:multiLevelType w:val="hybridMultilevel"/>
    <w:lvl w:ilvl="0">
      <w:lvlJc w:val="left"/>
      <w:lvlText w:val="%1"/>
      <w:numFmt w:val="decimal"/>
      <w:start w:val="74"/>
    </w:lvl>
  </w:abstractNum>
  <w:abstractNum w:abstractNumId="49">
    <w:nsid w:val="7E0F6384"/>
    <w:multiLevelType w:val="hybridMultilevel"/>
    <w:lvl w:ilvl="0">
      <w:lvlJc w:val="left"/>
      <w:lvlText w:val="%1"/>
      <w:numFmt w:val="decimal"/>
      <w:start w:val="26"/>
    </w:lvl>
  </w:abstractNum>
  <w:abstractNum w:abstractNumId="50">
    <w:nsid w:val="2B4B8B53"/>
    <w:multiLevelType w:val="hybridMultilevel"/>
    <w:lvl w:ilvl="0">
      <w:lvlJc w:val="left"/>
      <w:lvlText w:val="(%1)"/>
      <w:numFmt w:val="lowerLetter"/>
      <w:start w:val="1"/>
    </w:lvl>
  </w:abstractNum>
  <w:abstractNum w:abstractNumId="51">
    <w:nsid w:val="72E3413A"/>
    <w:multiLevelType w:val="hybridMultilevel"/>
    <w:lvl w:ilvl="0">
      <w:lvlJc w:val="left"/>
      <w:lvlText w:val="%1."/>
      <w:numFmt w:val="decimal"/>
      <w:start w:val="1"/>
    </w:lvl>
  </w:abstractNum>
  <w:abstractNum w:abstractNumId="52">
    <w:nsid w:val="116AE494"/>
    <w:multiLevelType w:val="hybridMultilevel"/>
    <w:lvl w:ilvl="0">
      <w:lvlJc w:val="left"/>
      <w:lvlText w:val="(%1)"/>
      <w:numFmt w:val="decimal"/>
      <w:start w:val="1"/>
    </w:lvl>
  </w:abstractNum>
  <w:abstractNum w:abstractNumId="53">
    <w:nsid w:val="3494B2FB"/>
    <w:multiLevelType w:val="hybridMultilevel"/>
    <w:lvl w:ilvl="0">
      <w:lvlJc w:val="left"/>
      <w:lvlText w:val="(%1)"/>
      <w:numFmt w:val="lowerLetter"/>
      <w:start w:val="1"/>
    </w:lvl>
  </w:abstractNum>
  <w:abstractNum w:abstractNumId="54">
    <w:nsid w:val="B13A31"/>
    <w:multiLevelType w:val="hybridMultilevel"/>
    <w:lvl w:ilvl="0">
      <w:lvlJc w:val="left"/>
      <w:lvlText w:val="(%1)"/>
      <w:numFmt w:val="lowerLetter"/>
      <w:start w:val="1"/>
    </w:lvl>
  </w:abstractNum>
  <w:abstractNum w:abstractNumId="55">
    <w:nsid w:val="64429599"/>
    <w:multiLevelType w:val="hybridMultilevel"/>
    <w:lvl w:ilvl="0">
      <w:lvlJc w:val="left"/>
      <w:lvlText w:val="(%1)"/>
      <w:numFmt w:val="lowerLetter"/>
      <w:start w:val="6"/>
    </w:lvl>
  </w:abstractNum>
  <w:abstractNum w:abstractNumId="56">
    <w:nsid w:val="631F1690"/>
    <w:multiLevelType w:val="hybridMultilevel"/>
    <w:lvl w:ilvl="0">
      <w:lvlJc w:val="left"/>
      <w:lvlText w:val="•"/>
      <w:numFmt w:val="bullet"/>
      <w:start w:val="1"/>
    </w:lvl>
  </w:abstractNum>
  <w:abstractNum w:abstractNumId="57">
    <w:nsid w:val="25973E32"/>
    <w:multiLevelType w:val="hybridMultilevel"/>
    <w:lvl w:ilvl="0">
      <w:lvlJc w:val="left"/>
      <w:lvlText w:val="•"/>
      <w:numFmt w:val="bullet"/>
      <w:start w:val="1"/>
    </w:lvl>
  </w:abstractNum>
  <w:abstractNum w:abstractNumId="58">
    <w:nsid w:val="EAD6F57"/>
    <w:multiLevelType w:val="hybridMultilevel"/>
    <w:lvl w:ilvl="0">
      <w:lvlJc w:val="left"/>
      <w:lvlText w:val="•"/>
      <w:numFmt w:val="bullet"/>
      <w:start w:val="1"/>
    </w:lvl>
  </w:abstractNum>
  <w:abstractNum w:abstractNumId="59">
    <w:nsid w:val="6EC9D844"/>
    <w:multiLevelType w:val="hybridMultilevel"/>
    <w:lvl w:ilvl="0">
      <w:lvlJc w:val="left"/>
      <w:lvlText w:val="•"/>
      <w:numFmt w:val="bullet"/>
      <w:start w:val="1"/>
    </w:lvl>
  </w:abstractNum>
  <w:abstractNum w:abstractNumId="60">
    <w:nsid w:val="5C49EAEE"/>
    <w:multiLevelType w:val="hybridMultilevel"/>
    <w:lvl w:ilvl="0">
      <w:lvlJc w:val="left"/>
      <w:lvlText w:val="(%1)"/>
      <w:numFmt w:val="decimal"/>
      <w:start w:val="2"/>
    </w:lvl>
  </w:abstractNum>
  <w:abstractNum w:abstractNumId="61">
    <w:nsid w:val="64AF49B"/>
    <w:multiLevelType w:val="hybridMultilevel"/>
    <w:lvl w:ilvl="0">
      <w:lvlJc w:val="left"/>
      <w:lvlText w:val="(%1)"/>
      <w:numFmt w:val="decimal"/>
      <w:start w:val="1"/>
    </w:lvl>
  </w:abstractNum>
  <w:abstractNum w:abstractNumId="62">
    <w:nsid w:val="397C46BC"/>
    <w:multiLevelType w:val="hybridMultilevel"/>
    <w:lvl w:ilvl="0">
      <w:lvlJc w:val="left"/>
      <w:lvlText w:val="(%1)"/>
      <w:numFmt w:val="lowerLetter"/>
      <w:start w:val="1"/>
    </w:lvl>
  </w:abstractNum>
  <w:abstractNum w:abstractNumId="63">
    <w:nsid w:val="7E448DE9"/>
    <w:multiLevelType w:val="hybridMultilevel"/>
    <w:lvl w:ilvl="0">
      <w:lvlJc w:val="left"/>
      <w:lvlText w:val="$"/>
      <w:numFmt w:val="bullet"/>
      <w:start w:val="1"/>
    </w:lvl>
  </w:abstractNum>
  <w:abstractNum w:abstractNumId="64">
    <w:nsid w:val="5A9CC3E5"/>
    <w:multiLevelType w:val="hybridMultilevel"/>
    <w:lvl w:ilvl="0">
      <w:lvlJc w:val="left"/>
      <w:lvlText w:val="$"/>
      <w:numFmt w:val="bullet"/>
      <w:start w:val="1"/>
    </w:lvl>
  </w:abstractNum>
  <w:abstractNum w:abstractNumId="65">
    <w:nsid w:val="1AFE3625"/>
    <w:multiLevelType w:val="hybridMultilevel"/>
    <w:lvl w:ilvl="0">
      <w:lvlJc w:val="left"/>
      <w:lvlText w:val="•"/>
      <w:numFmt w:val="bullet"/>
      <w:start w:val="1"/>
    </w:lvl>
  </w:abstractNum>
  <w:abstractNum w:abstractNumId="66">
    <w:nsid w:val="3CA88ECF"/>
    <w:multiLevelType w:val="hybridMultilevel"/>
    <w:lvl w:ilvl="0">
      <w:lvlJc w:val="left"/>
      <w:lvlText w:val="(%1)"/>
      <w:numFmt w:val="lowerLetter"/>
      <w:start w:val="1"/>
    </w:lvl>
  </w:abstractNum>
  <w:abstractNum w:abstractNumId="67">
    <w:nsid w:val="6EBE4208"/>
    <w:multiLevelType w:val="hybridMultilevel"/>
    <w:lvl w:ilvl="0">
      <w:lvlJc w:val="left"/>
      <w:lvlText w:val="•"/>
      <w:numFmt w:val="bullet"/>
      <w:start w:val="1"/>
    </w:lvl>
  </w:abstractNum>
  <w:abstractNum w:abstractNumId="68">
    <w:nsid w:val="C058DF5"/>
    <w:multiLevelType w:val="hybridMultilevel"/>
    <w:lvl w:ilvl="0">
      <w:lvlJc w:val="left"/>
      <w:lvlText w:val="(%1)"/>
      <w:numFmt w:val="lowerLetter"/>
      <w:start w:val="1"/>
    </w:lvl>
  </w:abstractNum>
  <w:abstractNum w:abstractNumId="69">
    <w:nsid w:val="CBE5BE9"/>
    <w:multiLevelType w:val="hybridMultilevel"/>
    <w:lvl w:ilvl="0">
      <w:lvlJc w:val="left"/>
      <w:lvlText w:val="(%1)"/>
      <w:numFmt w:val="lowerLetter"/>
      <w:start w:val="1"/>
    </w:lvl>
  </w:abstractNum>
  <w:abstractNum w:abstractNumId="70">
    <w:nsid w:val="3102BBE2"/>
    <w:multiLevelType w:val="hybridMultilevel"/>
    <w:lvl w:ilvl="0">
      <w:lvlJc w:val="left"/>
      <w:lvlText w:val="(%1)"/>
      <w:numFmt w:val="lowerLetter"/>
      <w:start w:val="1"/>
    </w:lvl>
  </w:abstractNum>
  <w:abstractNum w:abstractNumId="71">
    <w:nsid w:val="26A02C5E"/>
    <w:multiLevelType w:val="hybridMultilevel"/>
    <w:lvl w:ilvl="0">
      <w:lvlJc w:val="left"/>
      <w:lvlText w:val="%1"/>
      <w:numFmt w:val="decimal"/>
      <w:start w:val="74"/>
    </w:lvl>
  </w:abstractNum>
  <w:abstractNum w:abstractNumId="72">
    <w:nsid w:val="541C8153"/>
    <w:multiLevelType w:val="hybridMultilevel"/>
    <w:lvl w:ilvl="0">
      <w:lvlJc w:val="left"/>
      <w:lvlText w:val="%1"/>
      <w:numFmt w:val="decimal"/>
      <w:start w:val="26"/>
    </w:lvl>
  </w:abstractNum>
  <w:abstractNum w:abstractNumId="73">
    <w:nsid w:val="67906F60"/>
    <w:multiLevelType w:val="hybridMultilevel"/>
    <w:lvl w:ilvl="0">
      <w:lvlJc w:val="left"/>
      <w:lvlText w:val="(%1)"/>
      <w:numFmt w:val="lowerLetter"/>
      <w:start w:val="1"/>
    </w:lvl>
  </w:abstractNum>
  <w:abstractNum w:abstractNumId="74">
    <w:nsid w:val="10DB9DAA"/>
    <w:multiLevelType w:val="hybridMultilevel"/>
    <w:lvl w:ilvl="0">
      <w:lvlJc w:val="left"/>
      <w:lvlText w:val="•"/>
      <w:numFmt w:val="bullet"/>
      <w:start w:val="1"/>
    </w:lvl>
  </w:abstractNum>
  <w:abstractNum w:abstractNumId="75">
    <w:nsid w:val="697D2D2"/>
    <w:multiLevelType w:val="hybridMultilevel"/>
    <w:lvl w:ilvl="0">
      <w:lvlJc w:val="left"/>
      <w:lvlText w:val="•"/>
      <w:numFmt w:val="bullet"/>
      <w:start w:val="1"/>
    </w:lvl>
  </w:abstractNum>
  <w:abstractNum w:abstractNumId="76">
    <w:nsid w:val="6D68AB2"/>
    <w:multiLevelType w:val="hybridMultilevel"/>
    <w:lvl w:ilvl="0">
      <w:lvlJc w:val="left"/>
      <w:lvlText w:val="•"/>
      <w:numFmt w:val="bullet"/>
      <w:start w:val="1"/>
    </w:lvl>
  </w:abstractNum>
  <w:abstractNum w:abstractNumId="77">
    <w:nsid w:val="3A966CD0"/>
    <w:multiLevelType w:val="hybridMultilevel"/>
    <w:lvl w:ilvl="0">
      <w:lvlJc w:val="left"/>
      <w:lvlText w:val="•"/>
      <w:numFmt w:val="bullet"/>
      <w:start w:val="1"/>
    </w:lvl>
  </w:abstractNum>
  <w:abstractNum w:abstractNumId="78">
    <w:nsid w:val="63F37E85"/>
    <w:multiLevelType w:val="hybridMultilevel"/>
    <w:lvl w:ilvl="0">
      <w:lvlJc w:val="left"/>
      <w:lvlText w:val="•"/>
      <w:numFmt w:val="bullet"/>
      <w:start w:val="1"/>
    </w:lvl>
  </w:abstractNum>
  <w:abstractNum w:abstractNumId="79">
    <w:nsid w:val="5895F5FA"/>
    <w:multiLevelType w:val="hybridMultilevel"/>
    <w:lvl w:ilvl="0">
      <w:lvlJc w:val="left"/>
      <w:lvlText w:val="(%1)"/>
      <w:numFmt w:val="lowerLetter"/>
      <w:start w:val="1"/>
    </w:lvl>
  </w:abstractNum>
  <w:abstractNum w:abstractNumId="80">
    <w:nsid w:val="38A5D054"/>
    <w:multiLevelType w:val="hybridMultilevel"/>
    <w:lvl w:ilvl="0">
      <w:lvlJc w:val="left"/>
      <w:lvlText w:val="(%1)"/>
      <w:numFmt w:val="lowerLetter"/>
      <w:start w:val="1"/>
    </w:lvl>
  </w:abstractNum>
  <w:abstractNum w:abstractNumId="81">
    <w:nsid w:val="F3F09D8"/>
    <w:multiLevelType w:val="hybridMultilevel"/>
    <w:lvl w:ilvl="0">
      <w:lvlJc w:val="left"/>
      <w:lvlText w:val="•"/>
      <w:numFmt w:val="bullet"/>
      <w:start w:val="1"/>
    </w:lvl>
  </w:abstractNum>
  <w:abstractNum w:abstractNumId="82">
    <w:nsid w:val="4B793735"/>
    <w:multiLevelType w:val="hybridMultilevel"/>
    <w:lvl w:ilvl="0">
      <w:lvlJc w:val="left"/>
      <w:lvlText w:val="(%1)"/>
      <w:numFmt w:val="lowerLetter"/>
      <w:start w:val="1"/>
    </w:lvl>
  </w:abstractNum>
  <w:abstractNum w:abstractNumId="83">
    <w:nsid w:val="4A10B4E8"/>
    <w:multiLevelType w:val="hybridMultilevel"/>
    <w:lvl w:ilvl="0">
      <w:lvlJc w:val="left"/>
      <w:lvlText w:val="(%1)"/>
      <w:numFmt w:val="lowerLetter"/>
      <w:start w:val="1"/>
    </w:lvl>
  </w:abstractNum>
  <w:abstractNum w:abstractNumId="84">
    <w:nsid w:val="43D3BCD4"/>
    <w:multiLevelType w:val="hybridMultilevel"/>
    <w:lvl w:ilvl="0">
      <w:lvlJc w:val="left"/>
      <w:lvlText w:val="(%1)"/>
      <w:numFmt w:val="lowerLetter"/>
      <w:start w:val="1"/>
    </w:lvl>
  </w:abstractNum>
  <w:abstractNum w:abstractNumId="85">
    <w:nsid w:val="4C2A7166"/>
    <w:multiLevelType w:val="hybridMultilevel"/>
    <w:lvl w:ilvl="0">
      <w:lvlJc w:val="left"/>
      <w:lvlText w:val="(%1)"/>
      <w:numFmt w:val="upperLetter"/>
      <w:start w:val="1"/>
    </w:lvl>
  </w:abstractNum>
  <w:abstractNum w:abstractNumId="86">
    <w:nsid w:val="2E534A82"/>
    <w:multiLevelType w:val="hybridMultilevel"/>
    <w:lvl w:ilvl="0">
      <w:lvlJc w:val="left"/>
      <w:lvlText w:val="%1."/>
      <w:numFmt w:val="lowerRoman"/>
      <w:start w:val="1"/>
    </w:lvl>
  </w:abstractNum>
  <w:abstractNum w:abstractNumId="87">
    <w:nsid w:val="26F2D364"/>
    <w:multiLevelType w:val="hybridMultilevel"/>
    <w:lvl w:ilvl="0">
      <w:lvlJc w:val="left"/>
      <w:lvlText w:val="(%1)"/>
      <w:numFmt w:val="lowerLetter"/>
      <w:start w:val="1"/>
    </w:lvl>
  </w:abstractNum>
  <w:abstractNum w:abstractNumId="88">
    <w:nsid w:val="71C1AF98"/>
    <w:multiLevelType w:val="hybridMultilevel"/>
    <w:lvl w:ilvl="0">
      <w:lvlJc w:val="left"/>
      <w:lvlText w:val="(%1)"/>
      <w:numFmt w:val="lowerLetter"/>
      <w:start w:val="1"/>
    </w:lvl>
  </w:abstractNum>
  <w:abstractNum w:abstractNumId="89">
    <w:nsid w:val="3D00B9D9"/>
    <w:multiLevelType w:val="hybridMultilevel"/>
    <w:lvl w:ilvl="0">
      <w:lvlJc w:val="left"/>
      <w:lvlText w:val="(%1)"/>
      <w:numFmt w:val="lowerLetter"/>
      <w:start w:val="1"/>
    </w:lvl>
  </w:abstractNum>
  <w:abstractNum w:abstractNumId="90">
    <w:nsid w:val="15BCABA8"/>
    <w:multiLevelType w:val="hybridMultilevel"/>
    <w:lvl w:ilvl="0">
      <w:lvlJc w:val="left"/>
      <w:lvlText w:val="(%1)"/>
      <w:numFmt w:val="lowerLetter"/>
      <w:start w:val="1"/>
    </w:lvl>
  </w:abstractNum>
  <w:abstractNum w:abstractNumId="91">
    <w:nsid w:val="4E0B9A87"/>
    <w:multiLevelType w:val="hybridMultilevel"/>
    <w:lvl w:ilvl="0">
      <w:lvlJc w:val="left"/>
      <w:lvlText w:val="(%1)"/>
      <w:numFmt w:val="lowerLetter"/>
      <w:start w:val="1"/>
    </w:lvl>
  </w:abstractNum>
  <w:abstractNum w:abstractNumId="92">
    <w:nsid w:val="434BAE75"/>
    <w:multiLevelType w:val="hybridMultilevel"/>
    <w:lvl w:ilvl="0">
      <w:lvlJc w:val="left"/>
      <w:lvlText w:val="(%1)"/>
      <w:numFmt w:val="lowerLetter"/>
      <w:start w:val="1"/>
    </w:lvl>
  </w:abstractNum>
  <w:abstractNum w:abstractNumId="93">
    <w:nsid w:val="4F38F265"/>
    <w:multiLevelType w:val="hybridMultilevel"/>
    <w:lvl w:ilvl="0">
      <w:lvlJc w:val="left"/>
      <w:lvlText w:val="(%1)"/>
      <w:numFmt w:val="lowerLetter"/>
      <w:start w:val="1"/>
    </w:lvl>
  </w:abstractNum>
  <w:abstractNum w:abstractNumId="94">
    <w:nsid w:val="4C502870"/>
    <w:multiLevelType w:val="hybridMultilevel"/>
    <w:lvl w:ilvl="0">
      <w:lvlJc w:val="left"/>
      <w:lvlText w:val="(%1)"/>
      <w:numFmt w:val="lowerLetter"/>
      <w:start w:val="1"/>
    </w:lvl>
  </w:abstractNum>
  <w:abstractNum w:abstractNumId="95">
    <w:nsid w:val="1DE8725A"/>
    <w:multiLevelType w:val="hybridMultilevel"/>
    <w:lvl w:ilvl="0">
      <w:lvlJc w:val="left"/>
      <w:lvlText w:val="(%1)"/>
      <w:numFmt w:val="lowerLetter"/>
      <w:start w:val="1"/>
    </w:lvl>
  </w:abstractNum>
  <w:abstractNum w:abstractNumId="96">
    <w:nsid w:val="6A37288A"/>
    <w:multiLevelType w:val="hybridMultilevel"/>
    <w:lvl w:ilvl="0">
      <w:lvlJc w:val="left"/>
      <w:lvlText w:val="%1"/>
      <w:numFmt w:val="decimal"/>
      <w:start w:val="104"/>
    </w:lvl>
  </w:abstractNum>
  <w:abstractNum w:abstractNumId="97">
    <w:nsid w:val="8F8B73F"/>
    <w:multiLevelType w:val="hybridMultilevel"/>
    <w:lvl w:ilvl="0">
      <w:lvlJc w:val="left"/>
      <w:lvlText w:val="*"/>
      <w:numFmt w:val="bullet"/>
      <w:start w:val="1"/>
    </w:lvl>
  </w:abstractNum>
  <w:abstractNum w:abstractNumId="98">
    <w:nsid w:val="CA6B462"/>
    <w:multiLevelType w:val="hybridMultilevel"/>
    <w:lvl w:ilvl="0">
      <w:lvlJc w:val="left"/>
      <w:lvlText w:val="**"/>
      <w:numFmt w:val="bullet"/>
      <w:start w:val="1"/>
    </w:lvl>
  </w:abstractNum>
  <w:abstractNum w:abstractNumId="99">
    <w:nsid w:val="763CB680"/>
    <w:multiLevelType w:val="hybridMultilevel"/>
    <w:lvl w:ilvl="0">
      <w:lvlJc w:val="left"/>
      <w:lvlText w:val="†"/>
      <w:numFmt w:val="bullet"/>
      <w:start w:val="1"/>
    </w:lvl>
  </w:abstractNum>
  <w:abstractNum w:abstractNumId="100">
    <w:nsid w:val="15B71329"/>
    <w:multiLevelType w:val="hybridMultilevel"/>
    <w:lvl w:ilvl="0">
      <w:lvlJc w:val="left"/>
      <w:lvlText w:val="^"/>
      <w:numFmt w:val="bullet"/>
      <w:start w:val="1"/>
    </w:lvl>
  </w:abstractNum>
  <w:abstractNum w:abstractNumId="101">
    <w:nsid w:val="3DA97044"/>
    <w:multiLevelType w:val="hybridMultilevel"/>
    <w:lvl w:ilvl="0">
      <w:lvlJc w:val="left"/>
      <w:lvlText w:val="‡"/>
      <w:numFmt w:val="bullet"/>
      <w:start w:val="1"/>
    </w:lvl>
  </w:abstractNum>
  <w:abstractNum w:abstractNumId="102">
    <w:nsid w:val="1CDCE2DE"/>
    <w:multiLevelType w:val="hybridMultilevel"/>
    <w:lvl w:ilvl="0">
      <w:lvlJc w:val="left"/>
      <w:lvlText w:val="•"/>
      <w:numFmt w:val="bullet"/>
      <w:start w:val="1"/>
    </w:lvl>
  </w:abstractNum>
  <w:abstractNum w:abstractNumId="103">
    <w:nsid w:val="69D3947C"/>
    <w:multiLevelType w:val="hybridMultilevel"/>
    <w:lvl w:ilvl="0">
      <w:lvlJc w:val="left"/>
      <w:lvlText w:val="•"/>
      <w:numFmt w:val="bullet"/>
      <w:start w:val="1"/>
    </w:lvl>
  </w:abstractNum>
  <w:abstractNum w:abstractNumId="104">
    <w:nsid w:val="2539DFA5"/>
    <w:multiLevelType w:val="hybridMultilevel"/>
    <w:lvl w:ilvl="0">
      <w:lvlJc w:val="left"/>
      <w:lvlText w:val="%1."/>
      <w:numFmt w:val="decimal"/>
      <w:start w:val="1"/>
    </w:lvl>
  </w:abstractNum>
  <w:abstractNum w:abstractNumId="105">
    <w:nsid w:val="2DB88089"/>
    <w:multiLevelType w:val="hybridMultilevel"/>
    <w:lvl w:ilvl="0">
      <w:lvlJc w:val="left"/>
      <w:lvlText w:val="(%1)"/>
      <w:numFmt w:val="lowerLetter"/>
      <w:start w:val="1"/>
    </w:lvl>
  </w:abstractNum>
  <w:abstractNum w:abstractNumId="106">
    <w:nsid w:val="706B674E"/>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107">
    <w:nsid w:val="2C106A5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08">
    <w:nsid w:val="684EED59"/>
    <w:multiLevelType w:val="hybridMultilevel"/>
    <w:lvl w:ilvl="0">
      <w:lvlJc w:val="left"/>
      <w:lvlText w:val="(%1)"/>
      <w:numFmt w:val="upperLetter"/>
      <w:start w:val="3"/>
    </w:lvl>
  </w:abstractNum>
  <w:abstractNum w:abstractNumId="109">
    <w:nsid w:val="545EE5D3"/>
    <w:multiLevelType w:val="hybridMultilevel"/>
    <w:lvl w:ilvl="0">
      <w:lvlJc w:val="left"/>
      <w:lvlText w:val="(%1)"/>
      <w:numFmt w:val="lowerRoman"/>
      <w:start w:val="4"/>
    </w:lvl>
  </w:abstractNum>
  <w:abstractNum w:abstractNumId="110">
    <w:nsid w:val="4A66051"/>
    <w:multiLevelType w:val="hybridMultilevel"/>
    <w:lvl w:ilvl="0">
      <w:lvlJc w:val="left"/>
      <w:lvlText w:val="%1."/>
      <w:numFmt w:val="decimal"/>
      <w:start w:val="2"/>
    </w:lvl>
  </w:abstractNum>
  <w:abstractNum w:abstractNumId="111">
    <w:nsid w:val="20F4BDAD"/>
    <w:multiLevelType w:val="hybridMultilevel"/>
    <w:lvl w:ilvl="0">
      <w:lvlJc w:val="left"/>
      <w:lvlText w:val="(%1)"/>
      <w:numFmt w:val="lowerLetter"/>
      <w:start w:val="1"/>
    </w:lvl>
  </w:abstractNum>
  <w:abstractNum w:abstractNumId="112">
    <w:nsid w:val="639DEFAC"/>
    <w:multiLevelType w:val="hybridMultilevel"/>
    <w:lvl w:ilvl="0">
      <w:lvlJc w:val="left"/>
      <w:lvlText w:val="(%1)"/>
      <w:numFmt w:val="lowerLetter"/>
      <w:start w:val="2"/>
    </w:lvl>
  </w:abstractNum>
  <w:abstractNum w:abstractNumId="113">
    <w:nsid w:val="501F9786"/>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114">
    <w:nsid w:val="6B057295"/>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115">
    <w:nsid w:val="2771AC80"/>
    <w:multiLevelType w:val="hybridMultilevel"/>
    <w:lvl w:ilvl="0">
      <w:lvlJc w:val="left"/>
      <w:lvlText w:val="%1."/>
      <w:numFmt w:val="decimal"/>
      <w:start w:val="3"/>
    </w:lvl>
  </w:abstractNum>
  <w:abstractNum w:abstractNumId="116">
    <w:nsid w:val="1C4A08EC"/>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117">
    <w:nsid w:val="1958BD17"/>
    <w:multiLevelType w:val="hybridMultilevel"/>
    <w:lvl w:ilvl="0">
      <w:lvlJc w:val="left"/>
      <w:lvlText w:val="(%1)"/>
      <w:numFmt w:val="lowerRoman"/>
      <w:start w:val="4"/>
    </w:lvl>
    <w:lvl w:ilvl="1">
      <w:lvlJc w:val="left"/>
      <w:lvlText w:val="(%2)"/>
      <w:numFmt w:val="lowerLetter"/>
      <w:start w:val="3"/>
    </w:lvl>
    <w:lvl w:ilvl="2">
      <w:lvlJc w:val="left"/>
      <w:lvlText w:val="(%3)"/>
      <w:numFmt w:val="lowerLetter"/>
      <w:start w:val="9"/>
    </w:lvl>
  </w:abstractNum>
  <w:abstractNum w:abstractNumId="118">
    <w:nsid w:val="4E647FE4"/>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19">
    <w:nsid w:val="E0BB885"/>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120">
    <w:nsid w:val="565976F1"/>
    <w:multiLevelType w:val="hybridMultilevel"/>
    <w:lvl w:ilvl="0">
      <w:lvlJc w:val="left"/>
      <w:lvlText w:val="(%1)"/>
      <w:numFmt w:val="lowerLetter"/>
      <w:start w:val="4"/>
    </w:lvl>
    <w:lvl w:ilvl="1">
      <w:lvlJc w:val="left"/>
      <w:lvlText w:val="%2"/>
      <w:numFmt w:val="lowerLetter"/>
      <w:start w:val="1"/>
    </w:lvl>
    <w:lvl w:ilvl="2">
      <w:lvlJc w:val="left"/>
      <w:lvlText w:val="%3"/>
      <w:numFmt w:val="decimal"/>
      <w:start w:val="1"/>
    </w:lvl>
  </w:abstractNum>
  <w:abstractNum w:abstractNumId="121">
    <w:nsid w:val="64212B8C"/>
    <w:multiLevelType w:val="hybridMultilevel"/>
    <w:lvl w:ilvl="0">
      <w:lvlJc w:val="left"/>
      <w:lvlText w:val="(%1)"/>
      <w:numFmt w:val="lowerLetter"/>
      <w:start w:val="6"/>
    </w:lvl>
  </w:abstractNum>
  <w:abstractNum w:abstractNumId="122">
    <w:nsid w:val="5C17530C"/>
    <w:multiLevelType w:val="hybridMultilevel"/>
    <w:lvl w:ilvl="0">
      <w:lvlJc w:val="left"/>
      <w:lvlText w:val="%1."/>
      <w:numFmt w:val="decimal"/>
      <w:start w:val="4"/>
    </w:lvl>
  </w:abstractNum>
  <w:abstractNum w:abstractNumId="123">
    <w:nsid w:val="19A52566"/>
    <w:multiLevelType w:val="hybridMultilevel"/>
    <w:lvl w:ilvl="0">
      <w:lvlJc w:val="left"/>
      <w:lvlText w:val="(%1)"/>
      <w:numFmt w:val="lowerLetter"/>
      <w:start w:val="1"/>
    </w:lvl>
  </w:abstractNum>
  <w:abstractNum w:abstractNumId="124">
    <w:nsid w:val="335A1DF1"/>
    <w:multiLevelType w:val="hybridMultilevel"/>
    <w:lvl w:ilvl="0">
      <w:lvlJc w:val="left"/>
      <w:lvlText w:val="(%1)"/>
      <w:numFmt w:val="lowerRoman"/>
      <w:start w:val="1"/>
    </w:lvl>
  </w:abstractNum>
  <w:abstractNum w:abstractNumId="125">
    <w:nsid w:val="28677B7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5"/>
    </w:lvl>
  </w:abstractNum>
  <w:abstractNum w:abstractNumId="126">
    <w:nsid w:val="378D97C0"/>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127">
    <w:nsid w:val="1D91467C"/>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128">
    <w:nsid w:val="316032BB"/>
    <w:multiLevelType w:val="hybridMultilevel"/>
    <w:lvl w:ilvl="0">
      <w:lvlJc w:val="left"/>
      <w:lvlText w:val="%1."/>
      <w:numFmt w:val="decimal"/>
      <w:start w:val="7"/>
    </w:lvl>
  </w:abstractNum>
  <w:abstractNum w:abstractNumId="129">
    <w:nsid w:val="44344C22"/>
    <w:multiLevelType w:val="hybridMultilevel"/>
    <w:lvl w:ilvl="0">
      <w:lvlJc w:val="left"/>
      <w:lvlText w:val="(%1)"/>
      <w:numFmt w:val="lowerLetter"/>
      <w:start w:val="1"/>
    </w:lvl>
  </w:abstractNum>
  <w:abstractNum w:abstractNumId="130">
    <w:nsid w:val="13CDFCFC"/>
    <w:multiLevelType w:val="hybridMultilevel"/>
    <w:lvl w:ilvl="0">
      <w:lvlJc w:val="left"/>
      <w:lvlText w:val="(%1)"/>
      <w:numFmt w:val="lowerLetter"/>
      <w:start w:val="2"/>
    </w:lvl>
  </w:abstractNum>
  <w:abstractNum w:abstractNumId="131">
    <w:nsid w:val="471745E4"/>
    <w:multiLevelType w:val="hybridMultilevel"/>
    <w:lvl w:ilvl="0">
      <w:lvlJc w:val="left"/>
      <w:lvlText w:val="%1."/>
      <w:numFmt w:val="decimal"/>
      <w:start w:val="8"/>
    </w:lvl>
  </w:abstractNum>
  <w:abstractNum w:abstractNumId="132">
    <w:nsid w:val="1DDBC66"/>
    <w:multiLevelType w:val="hybridMultilevel"/>
    <w:lvl w:ilvl="0">
      <w:lvlJc w:val="left"/>
      <w:lvlText w:val="%1."/>
      <w:numFmt w:val="decimal"/>
      <w:start w:val="13"/>
    </w:lvl>
  </w:abstractNum>
  <w:abstractNum w:abstractNumId="133">
    <w:nsid w:val="30AADFDA"/>
    <w:multiLevelType w:val="hybridMultilevel"/>
    <w:lvl w:ilvl="0">
      <w:lvlJc w:val="left"/>
      <w:lvlText w:val="(%1)"/>
      <w:numFmt w:val="lowerLetter"/>
      <w:start w:val="3"/>
    </w:lvl>
    <w:lvl w:ilvl="1">
      <w:lvlJc w:val="left"/>
      <w:lvlText w:val="%2."/>
      <w:numFmt w:val="decimal"/>
      <w:start w:val="19"/>
    </w:lvl>
  </w:abstractNum>
  <w:abstractNum w:abstractNumId="134">
    <w:nsid w:val="30EADA61"/>
    <w:multiLevelType w:val="hybridMultilevel"/>
    <w:lvl w:ilvl="0">
      <w:lvlJc w:val="left"/>
      <w:lvlText w:val="§"/>
      <w:numFmt w:val="bullet"/>
      <w:start w:val="1"/>
    </w:lvl>
  </w:abstractNum>
  <w:abstractNum w:abstractNumId="135">
    <w:nsid w:val="27179C0B"/>
    <w:multiLevelType w:val="hybridMultilevel"/>
    <w:lvl w:ilvl="0">
      <w:lvlJc w:val="left"/>
      <w:lvlText w:val="(%1)"/>
      <w:numFmt w:val="lowerLetter"/>
      <w:start w:val="2"/>
    </w:lvl>
  </w:abstractNum>
  <w:abstractNum w:abstractNumId="136">
    <w:nsid w:val="5E636063"/>
    <w:multiLevelType w:val="hybridMultilevel"/>
    <w:lvl w:ilvl="0">
      <w:lvlJc w:val="left"/>
      <w:lvlText w:val="1"/>
      <w:numFmt w:val="bullet"/>
      <w:start w:val="1"/>
    </w:lvl>
  </w:abstractNum>
  <w:abstractNum w:abstractNumId="137">
    <w:nsid w:val="215641AF"/>
    <w:multiLevelType w:val="hybridMultilevel"/>
    <w:lvl w:ilvl="0">
      <w:lvlJc w:val="left"/>
      <w:lvlText w:val="%1."/>
      <w:numFmt w:val="decimal"/>
      <w:start w:val="1"/>
    </w:lvl>
  </w:abstractNum>
  <w:abstractNum w:abstractNumId="138">
    <w:nsid w:val="53280662"/>
    <w:multiLevelType w:val="hybridMultilevel"/>
    <w:lvl w:ilvl="0">
      <w:lvlJc w:val="left"/>
      <w:lvlText w:val="%1."/>
      <w:numFmt w:val="decimal"/>
      <w:start w:val="5"/>
    </w:lvl>
    <w:lvl w:ilvl="1">
      <w:lvlJc w:val="left"/>
      <w:lvlText w:val="(%2)"/>
      <w:numFmt w:val="lowerLetter"/>
      <w:start w:val="1"/>
    </w:lvl>
  </w:abstractNum>
  <w:abstractNum w:abstractNumId="139">
    <w:nsid w:val="46B24DBC"/>
    <w:multiLevelType w:val="hybridMultilevel"/>
    <w:lvl w:ilvl="0">
      <w:lvlJc w:val="left"/>
      <w:lvlText w:val="(%1)"/>
      <w:numFmt w:val="lowerLetter"/>
      <w:start w:val="2"/>
    </w:lvl>
  </w:abstractNum>
  <w:abstractNum w:abstractNumId="140">
    <w:nsid w:val="75B52783"/>
    <w:multiLevelType w:val="hybridMultilevel"/>
    <w:lvl w:ilvl="0">
      <w:lvlJc w:val="left"/>
      <w:lvlText w:val="(%1)"/>
      <w:numFmt w:val="lowerLetter"/>
      <w:start w:val="3"/>
    </w:lvl>
  </w:abstractNum>
  <w:abstractNum w:abstractNumId="141">
    <w:nsid w:val="57CE66B4"/>
    <w:multiLevelType w:val="hybridMultilevel"/>
    <w:lvl w:ilvl="0">
      <w:lvlJc w:val="left"/>
      <w:lvlText w:val="(%1)"/>
      <w:numFmt w:val="lowerLetter"/>
      <w:start w:val="4"/>
    </w:lvl>
  </w:abstractNum>
  <w:abstractNum w:abstractNumId="142">
    <w:nsid w:val="67A70B69"/>
    <w:multiLevelType w:val="hybridMultilevel"/>
    <w:lvl w:ilvl="0">
      <w:lvlJc w:val="left"/>
      <w:lvlText w:val="(%1)"/>
      <w:numFmt w:val="lowerLetter"/>
      <w:start w:val="5"/>
    </w:lvl>
  </w:abstractNum>
  <w:abstractNum w:abstractNumId="143">
    <w:nsid w:val="5953172F"/>
    <w:multiLevelType w:val="hybridMultilevel"/>
    <w:lvl w:ilvl="0">
      <w:lvlJc w:val="left"/>
      <w:lvlText w:val="(%1)"/>
      <w:numFmt w:val="lowerLetter"/>
      <w:start w:val="6"/>
    </w:lvl>
  </w:abstractNum>
  <w:abstractNum w:abstractNumId="144">
    <w:nsid w:val="27EDFE3A"/>
    <w:multiLevelType w:val="hybridMultilevel"/>
    <w:lvl w:ilvl="0">
      <w:lvlJc w:val="left"/>
      <w:lvlText w:val="(%1)"/>
      <w:numFmt w:val="lowerLetter"/>
      <w:start w:val="7"/>
    </w:lvl>
  </w:abstractNum>
  <w:abstractNum w:abstractNumId="145">
    <w:nsid w:val="52AC7DFF"/>
    <w:multiLevelType w:val="hybridMultilevel"/>
    <w:lvl w:ilvl="0">
      <w:lvlJc w:val="left"/>
      <w:lvlText w:val="%1."/>
      <w:numFmt w:val="decimal"/>
      <w:start w:val="9"/>
    </w:lvl>
  </w:abstractNum>
  <w:abstractNum w:abstractNumId="146">
    <w:nsid w:val="C4C3AF"/>
    <w:multiLevelType w:val="hybridMultilevel"/>
    <w:lvl w:ilvl="0">
      <w:lvlJc w:val="left"/>
      <w:lvlText w:val="%1."/>
      <w:numFmt w:val="decimal"/>
      <w:start w:val="10"/>
    </w:lvl>
    <w:lvl w:ilvl="1">
      <w:lvlJc w:val="left"/>
      <w:lvlText w:val="(%2)"/>
      <w:numFmt w:val="lowerLetter"/>
      <w:start w:val="1"/>
    </w:lvl>
  </w:abstractNum>
  <w:abstractNum w:abstractNumId="147">
    <w:nsid w:val="44380727"/>
    <w:multiLevelType w:val="hybridMultilevel"/>
    <w:lvl w:ilvl="0">
      <w:lvlJc w:val="left"/>
      <w:lvlText w:val="(%1)"/>
      <w:numFmt w:val="lowerLetter"/>
      <w:start w:val="2"/>
    </w:lvl>
  </w:abstractNum>
  <w:abstractNum w:abstractNumId="148">
    <w:nsid w:val="6C053B16"/>
    <w:multiLevelType w:val="hybridMultilevel"/>
    <w:lvl w:ilvl="0">
      <w:lvlJc w:val="left"/>
      <w:lvlText w:val="(%1)"/>
      <w:numFmt w:val="lowerLetter"/>
      <w:start w:val="3"/>
    </w:lvl>
  </w:abstractNum>
  <w:abstractNum w:abstractNumId="149">
    <w:nsid w:val="4F294393"/>
    <w:multiLevelType w:val="hybridMultilevel"/>
    <w:lvl w:ilvl="0">
      <w:lvlJc w:val="left"/>
      <w:lvlText w:val="(%1)"/>
      <w:numFmt w:val="lowerLetter"/>
      <w:start w:val="4"/>
    </w:lvl>
  </w:abstractNum>
  <w:abstractNum w:abstractNumId="150">
    <w:nsid w:val="5243BFAC"/>
    <w:multiLevelType w:val="hybridMultilevel"/>
    <w:lvl w:ilvl="0">
      <w:lvlJc w:val="left"/>
      <w:lvlText w:val="(%1)"/>
      <w:numFmt w:val="lowerLetter"/>
      <w:start w:val="5"/>
    </w:lvl>
  </w:abstractNum>
  <w:abstractNum w:abstractNumId="151">
    <w:nsid w:val="425EB207"/>
    <w:multiLevelType w:val="hybridMultilevel"/>
    <w:lvl w:ilvl="0">
      <w:lvlJc w:val="left"/>
      <w:lvlText w:val="(%1)"/>
      <w:numFmt w:val="lowerLetter"/>
      <w:start w:val="6"/>
    </w:lvl>
  </w:abstractNum>
  <w:abstractNum w:abstractNumId="152">
    <w:nsid w:val="334A6F1F"/>
    <w:multiLevelType w:val="hybridMultilevel"/>
    <w:lvl w:ilvl="0">
      <w:lvlJc w:val="left"/>
      <w:lvlText w:val="(%1)"/>
      <w:numFmt w:val="lowerLetter"/>
      <w:start w:val="7"/>
    </w:lvl>
  </w:abstractNum>
  <w:abstractNum w:abstractNumId="153">
    <w:nsid w:val="2E5B12B8"/>
    <w:multiLevelType w:val="hybridMultilevel"/>
    <w:lvl w:ilvl="0">
      <w:lvlJc w:val="left"/>
      <w:lvlText w:val="(%1)"/>
      <w:numFmt w:val="lowerLetter"/>
      <w:start w:val="8"/>
    </w:lvl>
  </w:abstractNum>
  <w:abstractNum w:abstractNumId="154">
    <w:nsid w:val="5C03D76D"/>
    <w:multiLevelType w:val="hybridMultilevel"/>
    <w:lvl w:ilvl="0">
      <w:lvlJc w:val="left"/>
      <w:lvlText w:val="(%1)"/>
      <w:numFmt w:val="lowerRoman"/>
      <w:start w:val="1"/>
    </w:lvl>
  </w:abstractNum>
  <w:abstractNum w:abstractNumId="155">
    <w:nsid w:val="66A48D11"/>
    <w:multiLevelType w:val="hybridMultilevel"/>
    <w:lvl w:ilvl="0">
      <w:lvlJc w:val="left"/>
      <w:lvlText w:val="1"/>
      <w:numFmt w:val="bullet"/>
      <w:start w:val="1"/>
    </w:lvl>
  </w:abstractNum>
  <w:abstractNum w:abstractNumId="156">
    <w:nsid w:val="56C28E34"/>
    <w:multiLevelType w:val="hybridMultilevel"/>
    <w:lvl w:ilvl="0">
      <w:lvlJc w:val="left"/>
      <w:lvlText w:val="%1."/>
      <w:numFmt w:val="decimal"/>
      <w:start w:val="1"/>
    </w:lvl>
    <w:lvl w:ilvl="1">
      <w:lvlJc w:val="left"/>
      <w:lvlText w:val="(%2)"/>
      <w:numFmt w:val="lowerLetter"/>
      <w:start w:val="1"/>
    </w:lvl>
  </w:abstractNum>
  <w:abstractNum w:abstractNumId="157">
    <w:nsid w:val="13916F2D"/>
    <w:multiLevelType w:val="hybridMultilevel"/>
    <w:lvl w:ilvl="0">
      <w:lvlJc w:val="left"/>
      <w:lvlText w:val="(%1)"/>
      <w:numFmt w:val="lowerLetter"/>
      <w:start w:val="2"/>
    </w:lvl>
  </w:abstractNum>
  <w:abstractNum w:abstractNumId="158">
    <w:nsid w:val="435D38D"/>
    <w:multiLevelType w:val="hybridMultilevel"/>
    <w:lvl w:ilvl="0">
      <w:lvlJc w:val="left"/>
      <w:lvlText w:val="(%1)"/>
      <w:numFmt w:val="lowerLetter"/>
      <w:start w:val="3"/>
    </w:lvl>
  </w:abstractNum>
  <w:abstractNum w:abstractNumId="159">
    <w:nsid w:val="822C0EF"/>
    <w:multiLevelType w:val="hybridMultilevel"/>
    <w:lvl w:ilvl="0">
      <w:lvlJc w:val="left"/>
      <w:lvlText w:val="%1."/>
      <w:numFmt w:val="decimal"/>
      <w:start w:val="2"/>
    </w:lvl>
    <w:lvl w:ilvl="1">
      <w:lvlJc w:val="left"/>
      <w:lvlText w:val="(%2)"/>
      <w:numFmt w:val="lowerLetter"/>
      <w:start w:val="1"/>
    </w:lvl>
  </w:abstractNum>
  <w:abstractNum w:abstractNumId="160">
    <w:nsid w:val="57C5BB4F"/>
    <w:multiLevelType w:val="hybridMultilevel"/>
    <w:lvl w:ilvl="0">
      <w:lvlJc w:val="left"/>
      <w:lvlText w:val="(%1)"/>
      <w:numFmt w:val="lowerRoman"/>
      <w:start w:val="2"/>
    </w:lvl>
  </w:abstractNum>
  <w:abstractNum w:abstractNumId="161">
    <w:nsid w:val="1803D089"/>
    <w:multiLevelType w:val="hybridMultilevel"/>
    <w:lvl w:ilvl="0">
      <w:lvlJc w:val="left"/>
      <w:lvlText w:val="(%1)"/>
      <w:numFmt w:val="lowerLetter"/>
      <w:start w:val="2"/>
    </w:lvl>
  </w:abstractNum>
  <w:abstractNum w:abstractNumId="162">
    <w:nsid w:val="4F3A06D4"/>
    <w:multiLevelType w:val="hybridMultilevel"/>
    <w:lvl w:ilvl="0">
      <w:lvlJc w:val="left"/>
      <w:lvlText w:val="%1."/>
      <w:numFmt w:val="lowerRoman"/>
      <w:start w:val="1"/>
    </w:lvl>
  </w:abstractNum>
  <w:abstractNum w:abstractNumId="163">
    <w:nsid w:val="59A377B6"/>
    <w:multiLevelType w:val="hybridMultilevel"/>
    <w:lvl w:ilvl="0">
      <w:lvlJc w:val="left"/>
      <w:lvlText w:val="%1"/>
      <w:numFmt w:val="lowerLetter"/>
      <w:start w:val="1"/>
    </w:lvl>
    <w:lvl w:ilvl="1">
      <w:lvlJc w:val="left"/>
      <w:lvlText w:val="%2."/>
      <w:numFmt w:val="lowerRoman"/>
      <w:start w:val="2"/>
    </w:lvl>
  </w:abstractNum>
  <w:abstractNum w:abstractNumId="164">
    <w:nsid w:val="48AEB063"/>
    <w:multiLevelType w:val="hybridMultilevel"/>
    <w:lvl w:ilvl="0">
      <w:lvlJc w:val="left"/>
      <w:lvlText w:val="(%1)"/>
      <w:numFmt w:val="lowerLetter"/>
      <w:start w:val="3"/>
    </w:lvl>
    <w:lvl w:ilvl="1">
      <w:lvlJc w:val="left"/>
      <w:lvlText w:val="%2"/>
      <w:numFmt w:val="lowerRoman"/>
      <w:start w:val="1"/>
    </w:lvl>
  </w:abstractNum>
  <w:abstractNum w:abstractNumId="165">
    <w:nsid w:val="24E135"/>
    <w:multiLevelType w:val="hybridMultilevel"/>
    <w:lvl w:ilvl="0">
      <w:lvlJc w:val="left"/>
      <w:lvlText w:val="(%1)"/>
      <w:numFmt w:val="lowerLetter"/>
      <w:start w:val="4"/>
    </w:lvl>
  </w:abstractNum>
  <w:abstractNum w:abstractNumId="166">
    <w:nsid w:val="BB13C1"/>
    <w:multiLevelType w:val="hybridMultilevel"/>
    <w:lvl w:ilvl="0">
      <w:lvlJc w:val="left"/>
      <w:lvlText w:val="%1."/>
      <w:numFmt w:val="decimal"/>
      <w:start w:val="3"/>
    </w:lvl>
  </w:abstractNum>
  <w:abstractNum w:abstractNumId="167">
    <w:nsid w:val="271210C7"/>
    <w:multiLevelType w:val="hybridMultilevel"/>
    <w:lvl w:ilvl="0">
      <w:lvlJc w:val="left"/>
      <w:lvlText w:val="%1."/>
      <w:numFmt w:val="decimal"/>
      <w:start w:val="5"/>
    </w:lvl>
  </w:abstractNum>
  <w:abstractNum w:abstractNumId="168">
    <w:nsid w:val="217B22E4"/>
    <w:multiLevelType w:val="hybridMultilevel"/>
    <w:lvl w:ilvl="0">
      <w:lvlJc w:val="left"/>
      <w:lvlText w:val="(%1)"/>
      <w:numFmt w:val="lowerLetter"/>
      <w:start w:val="1"/>
    </w:lvl>
  </w:abstractNum>
  <w:abstractNum w:abstractNumId="169">
    <w:nsid w:val="53E31A24"/>
    <w:multiLevelType w:val="hybridMultilevel"/>
    <w:lvl w:ilvl="0">
      <w:lvlJc w:val="left"/>
      <w:lvlText w:val="(%1)"/>
      <w:numFmt w:val="lowerLetter"/>
      <w:start w:val="2"/>
    </w:lvl>
  </w:abstractNum>
  <w:abstractNum w:abstractNumId="170">
    <w:nsid w:val="6DC45E83"/>
    <w:multiLevelType w:val="hybridMultilevel"/>
    <w:lvl w:ilvl="0">
      <w:lvlJc w:val="left"/>
      <w:lvlText w:val="(%1)"/>
      <w:numFmt w:val="lowerLetter"/>
      <w:start w:val="3"/>
    </w:lvl>
  </w:abstractNum>
  <w:abstractNum w:abstractNumId="171">
    <w:nsid w:val="17304A67"/>
    <w:multiLevelType w:val="hybridMultilevel"/>
    <w:lvl w:ilvl="0">
      <w:lvlJc w:val="left"/>
      <w:lvlText w:val="(%1)"/>
      <w:numFmt w:val="lowerLetter"/>
      <w:start w:val="4"/>
    </w:lvl>
  </w:abstractNum>
  <w:abstractNum w:abstractNumId="172">
    <w:nsid w:val="2BB180D8"/>
    <w:multiLevelType w:val="hybridMultilevel"/>
    <w:lvl w:ilvl="0">
      <w:lvlJc w:val="left"/>
      <w:lvlText w:val="(%1)"/>
      <w:numFmt w:val="lowerLetter"/>
      <w:start w:val="5"/>
    </w:lvl>
  </w:abstractNum>
  <w:abstractNum w:abstractNumId="173">
    <w:nsid w:val="556B69ED"/>
    <w:multiLevelType w:val="hybridMultilevel"/>
    <w:lvl w:ilvl="0">
      <w:lvlJc w:val="left"/>
      <w:lvlText w:val="(%1)"/>
      <w:numFmt w:val="upperLetter"/>
      <w:start w:val="2"/>
    </w:lvl>
  </w:abstractNum>
  <w:abstractNum w:abstractNumId="174">
    <w:nsid w:val="70836196"/>
    <w:multiLevelType w:val="hybridMultilevel"/>
    <w:lvl w:ilvl="0">
      <w:lvlJc w:val="left"/>
      <w:lvlText w:val="(%1)"/>
      <w:numFmt w:val="lowerLetter"/>
      <w:start w:val="6"/>
    </w:lvl>
  </w:abstractNum>
  <w:abstractNum w:abstractNumId="175">
    <w:nsid w:val="539F7F12"/>
    <w:multiLevelType w:val="hybridMultilevel"/>
    <w:lvl w:ilvl="0">
      <w:lvlJc w:val="left"/>
      <w:lvlText w:val="(%1)"/>
      <w:numFmt w:val="lowerLetter"/>
      <w:start w:val="7"/>
    </w:lvl>
  </w:abstractNum>
  <w:abstractNum w:abstractNumId="176">
    <w:nsid w:val="2817E7EC"/>
    <w:multiLevelType w:val="hybridMultilevel"/>
    <w:lvl w:ilvl="0">
      <w:lvlJc w:val="left"/>
      <w:lvlText w:val="%1."/>
      <w:numFmt w:val="decimal"/>
      <w:start w:val="9"/>
    </w:lvl>
  </w:abstractNum>
  <w:abstractNum w:abstractNumId="177">
    <w:nsid w:val="71482545"/>
    <w:multiLevelType w:val="hybridMultilevel"/>
    <w:lvl w:ilvl="0">
      <w:lvlJc w:val="left"/>
      <w:lvlText w:val="%1."/>
      <w:numFmt w:val="decimal"/>
      <w:start w:val="12"/>
    </w:lvl>
    <w:lvl w:ilvl="1">
      <w:lvlJc w:val="left"/>
      <w:lvlText w:val="(%2)"/>
      <w:numFmt w:val="lowerLetter"/>
      <w:start w:val="1"/>
    </w:lvl>
  </w:abstractNum>
  <w:abstractNum w:abstractNumId="178">
    <w:nsid w:val="17D78639"/>
    <w:multiLevelType w:val="hybridMultilevel"/>
    <w:lvl w:ilvl="0">
      <w:lvlJc w:val="left"/>
      <w:lvlText w:val="(%1)"/>
      <w:numFmt w:val="lowerLetter"/>
      <w:start w:val="2"/>
    </w:lvl>
  </w:abstractNum>
  <w:abstractNum w:abstractNumId="179">
    <w:nsid w:val="141D2302"/>
    <w:multiLevelType w:val="hybridMultilevel"/>
    <w:lvl w:ilvl="0">
      <w:lvlJc w:val="left"/>
      <w:lvlText w:val="(%1)"/>
      <w:numFmt w:val="lowerLetter"/>
      <w:start w:val="3"/>
    </w:lvl>
  </w:abstractNum>
  <w:abstractNum w:abstractNumId="180">
    <w:nsid w:val="407168D8"/>
    <w:multiLevelType w:val="hybridMultilevel"/>
    <w:lvl w:ilvl="0">
      <w:lvlJc w:val="left"/>
      <w:lvlText w:val="(%1)"/>
      <w:numFmt w:val="lowerLetter"/>
      <w:start w:val="4"/>
    </w:lvl>
  </w:abstractNum>
  <w:abstractNum w:abstractNumId="181">
    <w:nsid w:val="6A1B45E5"/>
    <w:multiLevelType w:val="hybridMultilevel"/>
    <w:lvl w:ilvl="0">
      <w:lvlJc w:val="left"/>
      <w:lvlText w:val="(%1)"/>
      <w:numFmt w:val="lowerLetter"/>
      <w:start w:val="5"/>
    </w:lvl>
  </w:abstractNum>
  <w:abstractNum w:abstractNumId="182">
    <w:nsid w:val="567BD50A"/>
    <w:multiLevelType w:val="hybridMultilevel"/>
    <w:lvl w:ilvl="0">
      <w:lvlJc w:val="left"/>
      <w:lvlText w:val="(%1)"/>
      <w:numFmt w:val="lowerLetter"/>
      <w:start w:val="6"/>
    </w:lvl>
  </w:abstractNum>
  <w:abstractNum w:abstractNumId="183">
    <w:nsid w:val="73BBD7F8"/>
    <w:multiLevelType w:val="hybridMultilevel"/>
    <w:lvl w:ilvl="0">
      <w:lvlJc w:val="left"/>
      <w:lvlText w:val="(%1)"/>
      <w:numFmt w:val="lowerLetter"/>
      <w:start w:val="7"/>
    </w:lvl>
  </w:abstractNum>
  <w:abstractNum w:abstractNumId="184">
    <w:nsid w:val="1876589D"/>
    <w:multiLevelType w:val="hybridMultilevel"/>
    <w:lvl w:ilvl="0">
      <w:lvlJc w:val="left"/>
      <w:lvlText w:val="(%1)"/>
      <w:numFmt w:val="lowerLetter"/>
      <w:start w:val="8"/>
    </w:lvl>
  </w:abstractNum>
  <w:abstractNum w:abstractNumId="185">
    <w:nsid w:val="327FAC77"/>
    <w:multiLevelType w:val="hybridMultilevel"/>
    <w:lvl w:ilvl="0">
      <w:lvlJc w:val="left"/>
      <w:lvlText w:val="(%1)"/>
      <w:numFmt w:val="lowerRoman"/>
      <w:start w:val="1"/>
    </w:lvl>
  </w:abstractNum>
  <w:abstractNum w:abstractNumId="186">
    <w:nsid w:val="5A606509"/>
    <w:multiLevelType w:val="hybridMultilevel"/>
    <w:lvl w:ilvl="0">
      <w:lvlJc w:val="left"/>
      <w:lvlText w:val="1"/>
      <w:numFmt w:val="bullet"/>
      <w:start w:val="1"/>
    </w:lvl>
  </w:abstractNum>
  <w:abstractNum w:abstractNumId="187">
    <w:nsid w:val="6F38E6D1"/>
    <w:multiLevelType w:val="hybridMultilevel"/>
    <w:lvl w:ilvl="0">
      <w:lvlJc w:val="left"/>
      <w:lvlText w:val="%1."/>
      <w:numFmt w:val="decimal"/>
      <w:start w:val="1"/>
    </w:lvl>
  </w:abstractNum>
  <w:abstractNum w:abstractNumId="188">
    <w:nsid w:val="46111BA5"/>
    <w:multiLevelType w:val="hybridMultilevel"/>
    <w:lvl w:ilvl="0">
      <w:lvlJc w:val="left"/>
      <w:lvlText w:val="%1."/>
      <w:numFmt w:val="decimal"/>
      <w:start w:val="5"/>
    </w:lvl>
    <w:lvl w:ilvl="1">
      <w:lvlJc w:val="left"/>
      <w:lvlText w:val="(%2)"/>
      <w:numFmt w:val="lowerLetter"/>
      <w:start w:val="1"/>
    </w:lvl>
  </w:abstractNum>
  <w:abstractNum w:abstractNumId="189">
    <w:nsid w:val="5E963896"/>
    <w:multiLevelType w:val="hybridMultilevel"/>
    <w:lvl w:ilvl="0">
      <w:lvlJc w:val="left"/>
      <w:lvlText w:val="(%1)"/>
      <w:numFmt w:val="lowerLetter"/>
      <w:start w:val="2"/>
    </w:lvl>
  </w:abstractNum>
  <w:abstractNum w:abstractNumId="190">
    <w:nsid w:val="775BA7C1"/>
    <w:multiLevelType w:val="hybridMultilevel"/>
    <w:lvl w:ilvl="0">
      <w:lvlJc w:val="left"/>
      <w:lvlText w:val="(%1)"/>
      <w:numFmt w:val="lowerLetter"/>
      <w:start w:val="3"/>
    </w:lvl>
  </w:abstractNum>
  <w:abstractNum w:abstractNumId="191">
    <w:nsid w:val="1DD6D6F4"/>
    <w:multiLevelType w:val="hybridMultilevel"/>
    <w:lvl w:ilvl="0">
      <w:lvlJc w:val="left"/>
      <w:lvlText w:val="(%1)"/>
      <w:numFmt w:val="lowerLetter"/>
      <w:start w:val="4"/>
    </w:lvl>
  </w:abstractNum>
  <w:abstractNum w:abstractNumId="192">
    <w:nsid w:val="769A091F"/>
    <w:multiLevelType w:val="hybridMultilevel"/>
    <w:lvl w:ilvl="0">
      <w:lvlJc w:val="left"/>
      <w:lvlText w:val="(%1)"/>
      <w:numFmt w:val="lowerLetter"/>
      <w:start w:val="5"/>
    </w:lvl>
  </w:abstractNum>
  <w:abstractNum w:abstractNumId="193">
    <w:nsid w:val="4695AE95"/>
    <w:multiLevelType w:val="hybridMultilevel"/>
    <w:lvl w:ilvl="0">
      <w:lvlJc w:val="left"/>
      <w:lvlText w:val="(%1)"/>
      <w:numFmt w:val="lowerLetter"/>
      <w:start w:val="6"/>
    </w:lvl>
  </w:abstractNum>
  <w:abstractNum w:abstractNumId="194">
    <w:nsid w:val="777A4EAA"/>
    <w:multiLevelType w:val="hybridMultilevel"/>
    <w:lvl w:ilvl="0">
      <w:lvlJc w:val="left"/>
      <w:lvlText w:val="%1."/>
      <w:numFmt w:val="decimal"/>
      <w:start w:val="9"/>
    </w:lvl>
  </w:abstractNum>
  <w:abstractNum w:abstractNumId="195">
    <w:nsid w:val="3F48B982"/>
    <w:multiLevelType w:val="hybridMultilevel"/>
    <w:lvl w:ilvl="0">
      <w:lvlJc w:val="left"/>
      <w:lvlText w:val="%1."/>
      <w:numFmt w:val="decimal"/>
      <w:start w:val="12"/>
    </w:lvl>
    <w:lvl w:ilvl="1">
      <w:lvlJc w:val="left"/>
      <w:lvlText w:val="(%2)"/>
      <w:numFmt w:val="lowerLetter"/>
      <w:start w:val="1"/>
    </w:lvl>
  </w:abstractNum>
  <w:abstractNum w:abstractNumId="196">
    <w:nsid w:val="46BA8FCA"/>
    <w:multiLevelType w:val="hybridMultilevel"/>
    <w:lvl w:ilvl="0">
      <w:lvlJc w:val="left"/>
      <w:lvlText w:val="(%1)"/>
      <w:numFmt w:val="lowerLetter"/>
      <w:start w:val="2"/>
    </w:lvl>
  </w:abstractNum>
  <w:abstractNum w:abstractNumId="197">
    <w:nsid w:val="7835626C"/>
    <w:multiLevelType w:val="hybridMultilevel"/>
    <w:lvl w:ilvl="0">
      <w:lvlJc w:val="left"/>
      <w:lvlText w:val="(%1)"/>
      <w:numFmt w:val="lowerLetter"/>
      <w:start w:val="3"/>
    </w:lvl>
  </w:abstractNum>
  <w:abstractNum w:abstractNumId="198">
    <w:nsid w:val="665ACA49"/>
    <w:multiLevelType w:val="hybridMultilevel"/>
    <w:lvl w:ilvl="0">
      <w:lvlJc w:val="left"/>
      <w:lvlText w:val="(%1)"/>
      <w:numFmt w:val="lowerLetter"/>
      <w:start w:val="4"/>
    </w:lvl>
  </w:abstractNum>
  <w:abstractNum w:abstractNumId="199">
    <w:nsid w:val="6835B2AE"/>
    <w:multiLevelType w:val="hybridMultilevel"/>
    <w:lvl w:ilvl="0">
      <w:lvlJc w:val="left"/>
      <w:lvlText w:val="(%1)"/>
      <w:numFmt w:val="lowerLetter"/>
      <w:start w:val="5"/>
    </w:lvl>
  </w:abstractNum>
  <w:abstractNum w:abstractNumId="200">
    <w:nsid w:val="4C187C90"/>
    <w:multiLevelType w:val="hybridMultilevel"/>
    <w:lvl w:ilvl="0">
      <w:lvlJc w:val="left"/>
      <w:lvlText w:val="(%1)"/>
      <w:numFmt w:val="lowerLetter"/>
      <w:start w:val="6"/>
    </w:lvl>
  </w:abstractNum>
  <w:abstractNum w:abstractNumId="201">
    <w:nsid w:val="541F28CD"/>
    <w:multiLevelType w:val="hybridMultilevel"/>
    <w:lvl w:ilvl="0">
      <w:lvlJc w:val="left"/>
      <w:lvlText w:val="(%1)"/>
      <w:numFmt w:val="lowerLetter"/>
      <w:start w:val="7"/>
    </w:lvl>
  </w:abstractNum>
  <w:abstractNum w:abstractNumId="202">
    <w:nsid w:val="7F65FD16"/>
    <w:multiLevelType w:val="hybridMultilevel"/>
    <w:lvl w:ilvl="0">
      <w:lvlJc w:val="left"/>
      <w:lvlText w:val="(%1)"/>
      <w:numFmt w:val="lowerLetter"/>
      <w:start w:val="8"/>
    </w:lvl>
  </w:abstractNum>
  <w:abstractNum w:abstractNumId="203">
    <w:nsid w:val="77C9FD68"/>
    <w:multiLevelType w:val="hybridMultilevel"/>
    <w:lvl w:ilvl="0">
      <w:lvlJc w:val="left"/>
      <w:lvlText w:val="(%1)"/>
      <w:numFmt w:val="lowerRoman"/>
      <w:start w:val="1"/>
    </w:lvl>
  </w:abstractNum>
  <w:abstractNum w:abstractNumId="204">
    <w:nsid w:val="298A92BA"/>
    <w:multiLevelType w:val="hybridMultilevel"/>
    <w:lvl w:ilvl="0">
      <w:lvlJc w:val="left"/>
      <w:lvlText w:val="1"/>
      <w:numFmt w:val="bullet"/>
      <w:start w:val="1"/>
    </w:lvl>
  </w:abstractNum>
  <w:abstractNum w:abstractNumId="205">
    <w:nsid w:val="6FE95EAC"/>
    <w:multiLevelType w:val="hybridMultilevel"/>
    <w:lvl w:ilvl="0">
      <w:lvlJc w:val="left"/>
      <w:lvlText w:val="%1."/>
      <w:numFmt w:val="decimal"/>
      <w:start w:val="1"/>
    </w:lvl>
    <w:lvl w:ilvl="1">
      <w:lvlJc w:val="left"/>
      <w:lvlText w:val="(%2)"/>
      <w:numFmt w:val="lowerLetter"/>
      <w:start w:val="1"/>
    </w:lvl>
  </w:abstractNum>
  <w:abstractNum w:abstractNumId="206">
    <w:nsid w:val="4B697C7A"/>
    <w:multiLevelType w:val="hybridMultilevel"/>
    <w:lvl w:ilvl="0">
      <w:lvlJc w:val="left"/>
      <w:lvlText w:val="(%1)"/>
      <w:numFmt w:val="lowerLetter"/>
      <w:start w:val="2"/>
    </w:lvl>
  </w:abstractNum>
  <w:abstractNum w:abstractNumId="207">
    <w:nsid w:val="51A27AA6"/>
    <w:multiLevelType w:val="hybridMultilevel"/>
    <w:lvl w:ilvl="0">
      <w:lvlJc w:val="left"/>
      <w:lvlText w:val="(%1)"/>
      <w:numFmt w:val="lowerLetter"/>
      <w:start w:val="3"/>
    </w:lvl>
  </w:abstractNum>
  <w:abstractNum w:abstractNumId="208">
    <w:nsid w:val="613183F2"/>
    <w:multiLevelType w:val="hybridMultilevel"/>
    <w:lvl w:ilvl="0">
      <w:lvlJc w:val="left"/>
      <w:lvlText w:val="%1."/>
      <w:numFmt w:val="decimal"/>
      <w:start w:val="2"/>
    </w:lvl>
    <w:lvl w:ilvl="1">
      <w:lvlJc w:val="left"/>
      <w:lvlText w:val="(%2)"/>
      <w:numFmt w:val="lowerLetter"/>
      <w:start w:val="1"/>
    </w:lvl>
  </w:abstractNum>
  <w:abstractNum w:abstractNumId="209">
    <w:nsid w:val="634102B4"/>
    <w:multiLevelType w:val="hybridMultilevel"/>
    <w:lvl w:ilvl="0">
      <w:lvlJc w:val="left"/>
      <w:lvlText w:val="(%1)"/>
      <w:numFmt w:val="lowerRoman"/>
      <w:start w:val="2"/>
    </w:lvl>
  </w:abstractNum>
  <w:abstractNum w:abstractNumId="210">
    <w:nsid w:val="65BF9DA8"/>
    <w:multiLevelType w:val="hybridMultilevel"/>
    <w:lvl w:ilvl="0">
      <w:lvlJc w:val="left"/>
      <w:lvlText w:val="(%1)"/>
      <w:numFmt w:val="lowerLetter"/>
      <w:start w:val="2"/>
    </w:lvl>
  </w:abstractNum>
  <w:abstractNum w:abstractNumId="211">
    <w:nsid w:val="21A2ECCA"/>
    <w:multiLevelType w:val="hybridMultilevel"/>
    <w:lvl w:ilvl="0">
      <w:lvlJc w:val="left"/>
      <w:lvlText w:val="%1."/>
      <w:numFmt w:val="lowerRoman"/>
      <w:start w:val="1"/>
    </w:lvl>
  </w:abstractNum>
  <w:abstractNum w:abstractNumId="212">
    <w:nsid w:val="4D5C4899"/>
    <w:multiLevelType w:val="hybridMultilevel"/>
    <w:lvl w:ilvl="0">
      <w:lvlJc w:val="left"/>
      <w:lvlText w:val="%1"/>
      <w:numFmt w:val="lowerLetter"/>
      <w:start w:val="1"/>
    </w:lvl>
    <w:lvl w:ilvl="1">
      <w:lvlJc w:val="left"/>
      <w:lvlText w:val="%2."/>
      <w:numFmt w:val="lowerRoman"/>
      <w:start w:val="2"/>
    </w:lvl>
  </w:abstractNum>
  <w:abstractNum w:abstractNumId="213">
    <w:nsid w:val="3C3B72B2"/>
    <w:multiLevelType w:val="hybridMultilevel"/>
    <w:lvl w:ilvl="0">
      <w:lvlJc w:val="left"/>
      <w:lvlText w:val="(%1)"/>
      <w:numFmt w:val="lowerLetter"/>
      <w:start w:val="3"/>
    </w:lvl>
    <w:lvl w:ilvl="1">
      <w:lvlJc w:val="left"/>
      <w:lvlText w:val="%2"/>
      <w:numFmt w:val="lowerRoman"/>
      <w:start w:val="1"/>
    </w:lvl>
  </w:abstractNum>
  <w:abstractNum w:abstractNumId="214">
    <w:nsid w:val="155EC4C2"/>
    <w:multiLevelType w:val="hybridMultilevel"/>
    <w:lvl w:ilvl="0">
      <w:lvlJc w:val="left"/>
      <w:lvlText w:val="(%1)"/>
      <w:numFmt w:val="lowerLetter"/>
      <w:start w:val="4"/>
    </w:lvl>
  </w:abstractNum>
  <w:abstractNum w:abstractNumId="215">
    <w:nsid w:val="65D2A137"/>
    <w:multiLevelType w:val="hybridMultilevel"/>
    <w:lvl w:ilvl="0">
      <w:lvlJc w:val="left"/>
      <w:lvlText w:val="%1."/>
      <w:numFmt w:val="decimal"/>
      <w:start w:val="3"/>
    </w:lvl>
  </w:abstractNum>
  <w:abstractNum w:abstractNumId="216">
    <w:nsid w:val="6EBB1F2A"/>
    <w:multiLevelType w:val="hybridMultilevel"/>
    <w:lvl w:ilvl="0">
      <w:lvlJc w:val="left"/>
      <w:lvlText w:val="%1."/>
      <w:numFmt w:val="decimal"/>
      <w:start w:val="4"/>
    </w:lvl>
  </w:abstractNum>
  <w:abstractNum w:abstractNumId="217">
    <w:nsid w:val="6FBF29CB"/>
    <w:multiLevelType w:val="hybridMultilevel"/>
    <w:lvl w:ilvl="0">
      <w:lvlJc w:val="left"/>
      <w:lvlText w:val="(%1)"/>
      <w:numFmt w:val="lowerLetter"/>
      <w:start w:val="1"/>
    </w:lvl>
  </w:abstractNum>
  <w:abstractNum w:abstractNumId="218">
    <w:nsid w:val="550B8808"/>
    <w:multiLevelType w:val="hybridMultilevel"/>
    <w:lvl w:ilvl="0">
      <w:lvlJc w:val="left"/>
      <w:lvlText w:val="(%1)"/>
      <w:numFmt w:val="lowerLetter"/>
      <w:start w:val="2"/>
    </w:lvl>
  </w:abstractNum>
  <w:abstractNum w:abstractNumId="219">
    <w:nsid w:val="34CC3ACF"/>
    <w:multiLevelType w:val="hybridMultilevel"/>
    <w:lvl w:ilvl="0">
      <w:lvlJc w:val="left"/>
      <w:lvlText w:val="(%1)"/>
      <w:numFmt w:val="lowerLetter"/>
      <w:start w:val="3"/>
    </w:lvl>
  </w:abstractNum>
  <w:abstractNum w:abstractNumId="220">
    <w:nsid w:val="4E556261"/>
    <w:multiLevelType w:val="hybridMultilevel"/>
    <w:lvl w:ilvl="0">
      <w:lvlJc w:val="left"/>
      <w:lvlText w:val="(%1)"/>
      <w:numFmt w:val="lowerLetter"/>
      <w:start w:val="4"/>
    </w:lvl>
  </w:abstractNum>
  <w:abstractNum w:abstractNumId="221">
    <w:nsid w:val="4C672FC9"/>
    <w:multiLevelType w:val="hybridMultilevel"/>
    <w:lvl w:ilvl="0">
      <w:lvlJc w:val="left"/>
      <w:lvlText w:val="(%1)"/>
      <w:numFmt w:val="lowerLetter"/>
      <w:start w:val="5"/>
    </w:lvl>
  </w:abstractNum>
  <w:abstractNum w:abstractNumId="222">
    <w:nsid w:val="52A311C3"/>
    <w:multiLevelType w:val="hybridMultilevel"/>
    <w:lvl w:ilvl="0">
      <w:lvlJc w:val="left"/>
      <w:lvlText w:val="(%1)"/>
      <w:numFmt w:val="lowerLetter"/>
      <w:start w:val="6"/>
    </w:lvl>
  </w:abstractNum>
  <w:abstractNum w:abstractNumId="223">
    <w:nsid w:val="44EF6B80"/>
    <w:multiLevelType w:val="hybridMultilevel"/>
    <w:lvl w:ilvl="0">
      <w:lvlJc w:val="left"/>
      <w:lvlText w:val="%1."/>
      <w:numFmt w:val="decimal"/>
      <w:start w:val="9"/>
    </w:lvl>
  </w:abstractNum>
  <w:abstractNum w:abstractNumId="224">
    <w:nsid w:val="12FCDE5E"/>
    <w:multiLevelType w:val="hybridMultilevel"/>
    <w:lvl w:ilvl="0">
      <w:lvlJc w:val="left"/>
      <w:lvlText w:val="%1."/>
      <w:numFmt w:val="decimal"/>
      <w:start w:val="12"/>
    </w:lvl>
    <w:lvl w:ilvl="1">
      <w:lvlJc w:val="left"/>
      <w:lvlText w:val="(%2)"/>
      <w:numFmt w:val="lowerLetter"/>
      <w:start w:val="1"/>
    </w:lvl>
  </w:abstractNum>
  <w:abstractNum w:abstractNumId="225">
    <w:nsid w:val="4A1D606E"/>
    <w:multiLevelType w:val="hybridMultilevel"/>
    <w:lvl w:ilvl="0">
      <w:lvlJc w:val="left"/>
      <w:lvlText w:val="(%1)"/>
      <w:numFmt w:val="lowerLetter"/>
      <w:start w:val="2"/>
    </w:lvl>
  </w:abstractNum>
  <w:abstractNum w:abstractNumId="226">
    <w:nsid w:val="4382503"/>
    <w:multiLevelType w:val="hybridMultilevel"/>
    <w:lvl w:ilvl="0">
      <w:lvlJc w:val="left"/>
      <w:lvlText w:val="(%1)"/>
      <w:numFmt w:val="lowerLetter"/>
      <w:start w:val="3"/>
    </w:lvl>
  </w:abstractNum>
  <w:abstractNum w:abstractNumId="227">
    <w:nsid w:val="59B76E28"/>
    <w:multiLevelType w:val="hybridMultilevel"/>
    <w:lvl w:ilvl="0">
      <w:lvlJc w:val="left"/>
      <w:lvlText w:val="(%1)"/>
      <w:numFmt w:val="lowerLetter"/>
      <w:start w:val="4"/>
    </w:lvl>
  </w:abstractNum>
  <w:abstractNum w:abstractNumId="228">
    <w:nsid w:val="4252C2DA"/>
    <w:multiLevelType w:val="hybridMultilevel"/>
    <w:lvl w:ilvl="0">
      <w:lvlJc w:val="left"/>
      <w:lvlText w:val="(%1)"/>
      <w:numFmt w:val="lowerLetter"/>
      <w:start w:val="5"/>
    </w:lvl>
  </w:abstractNum>
  <w:abstractNum w:abstractNumId="229">
    <w:nsid w:val="6A92EF4C"/>
    <w:multiLevelType w:val="hybridMultilevel"/>
    <w:lvl w:ilvl="0">
      <w:lvlJc w:val="left"/>
      <w:lvlText w:val="(%1)"/>
      <w:numFmt w:val="lowerLetter"/>
      <w:start w:val="6"/>
    </w:lvl>
  </w:abstractNum>
  <w:abstractNum w:abstractNumId="230">
    <w:nsid w:val="41ED20D7"/>
    <w:multiLevelType w:val="hybridMultilevel"/>
    <w:lvl w:ilvl="0">
      <w:lvlJc w:val="left"/>
      <w:lvlText w:val="(%1)"/>
      <w:numFmt w:val="lowerLetter"/>
      <w:start w:val="7"/>
    </w:lvl>
  </w:abstractNum>
  <w:abstractNum w:abstractNumId="231">
    <w:nsid w:val="E6B3F6A"/>
    <w:multiLevelType w:val="hybridMultilevel"/>
    <w:lvl w:ilvl="0">
      <w:lvlJc w:val="left"/>
      <w:lvlText w:val="(%1)"/>
      <w:numFmt w:val="lowerLetter"/>
      <w:start w:val="8"/>
    </w:lvl>
  </w:abstractNum>
  <w:abstractNum w:abstractNumId="232">
    <w:nsid w:val="3EB21819"/>
    <w:multiLevelType w:val="hybridMultilevel"/>
    <w:lvl w:ilvl="0">
      <w:lvlJc w:val="left"/>
      <w:lvlText w:val="(%1)"/>
      <w:numFmt w:val="lowerRoman"/>
      <w:start w:val="1"/>
    </w:lvl>
  </w:abstractNum>
  <w:abstractNum w:abstractNumId="233">
    <w:nsid w:val="41531DED"/>
    <w:multiLevelType w:val="hybridMultilevel"/>
    <w:lvl w:ilvl="0">
      <w:lvlJc w:val="left"/>
      <w:lvlText w:val="(%1)"/>
      <w:numFmt w:val="decimal"/>
      <w:start w:val="60"/>
    </w:lvl>
  </w:abstractNum>
  <w:abstractNum w:abstractNumId="234">
    <w:nsid w:val="6353CD2"/>
    <w:multiLevelType w:val="hybridMultilevel"/>
    <w:lvl w:ilvl="0">
      <w:lvlJc w:val="left"/>
      <w:lvlText w:val="(%1)"/>
      <w:numFmt w:val="lowerLetter"/>
      <w:start w:val="6"/>
    </w:lvl>
  </w:abstractNum>
  <w:abstractNum w:abstractNumId="235">
    <w:nsid w:val="683CAAD3"/>
    <w:multiLevelType w:val="hybridMultilevel"/>
    <w:lvl w:ilvl="0">
      <w:lvlJc w:val="left"/>
      <w:lvlText w:val="(%1)"/>
      <w:numFmt w:val="lowerRoman"/>
      <w:start w:val="1"/>
    </w:lvl>
  </w:abstractNum>
  <w:abstractNum w:abstractNumId="236">
    <w:nsid w:val="313C7C99"/>
    <w:multiLevelType w:val="hybridMultilevel"/>
    <w:lvl w:ilvl="0">
      <w:lvlJc w:val="left"/>
      <w:lvlText w:val="%1"/>
      <w:numFmt w:val="decimal"/>
      <w:start w:val="1"/>
    </w:lvl>
    <w:lvl w:ilvl="1">
      <w:lvlJc w:val="left"/>
      <w:lvlText w:val="(%2)"/>
      <w:numFmt w:val="lowerRoman"/>
      <w:start w:val="5"/>
    </w:lvl>
  </w:abstractNum>
  <w:abstractNum w:abstractNumId="237">
    <w:nsid w:val="519EB94C"/>
    <w:multiLevelType w:val="hybridMultilevel"/>
    <w:lvl w:ilvl="0">
      <w:lvlJc w:val="left"/>
      <w:lvlText w:val="%1."/>
      <w:numFmt w:val="decimal"/>
      <w:start w:val="9"/>
    </w:lvl>
    <w:lvl w:ilvl="1">
      <w:lvlJc w:val="left"/>
      <w:lvlText w:val="%2"/>
      <w:numFmt w:val="lowerRoman"/>
      <w:start w:val="1"/>
    </w:lvl>
  </w:abstractNum>
  <w:abstractNum w:abstractNumId="238">
    <w:nsid w:val="39DF2579"/>
    <w:multiLevelType w:val="hybridMultilevel"/>
    <w:lvl w:ilvl="0">
      <w:lvlJc w:val="left"/>
      <w:lvlText w:val="%1"/>
      <w:numFmt w:val="decimal"/>
      <w:start w:val="1"/>
    </w:lvl>
    <w:lvl w:ilvl="1">
      <w:lvlJc w:val="left"/>
      <w:lvlText w:val="(%2)"/>
      <w:numFmt w:val="lowerLetter"/>
      <w:start w:val="1"/>
    </w:lvl>
  </w:abstractNum>
  <w:abstractNum w:abstractNumId="239">
    <w:nsid w:val="126E008B"/>
    <w:multiLevelType w:val="hybridMultilevel"/>
    <w:lvl w:ilvl="0">
      <w:lvlJc w:val="left"/>
      <w:lvlText w:val="%1"/>
      <w:numFmt w:val="decimal"/>
      <w:start w:val="1"/>
    </w:lvl>
    <w:lvl w:ilvl="1">
      <w:lvlJc w:val="left"/>
      <w:lvlText w:val="(%2)"/>
      <w:numFmt w:val="lowerLetter"/>
      <w:start w:val="6"/>
    </w:lvl>
  </w:abstractNum>
  <w:abstractNum w:abstractNumId="240">
    <w:nsid w:val="34DFBC00"/>
    <w:multiLevelType w:val="hybridMultilevel"/>
    <w:lvl w:ilvl="0">
      <w:lvlJc w:val="left"/>
      <w:lvlText w:val="%1."/>
      <w:numFmt w:val="decimal"/>
      <w:start w:val="12"/>
    </w:lvl>
    <w:lvl w:ilvl="1">
      <w:lvlJc w:val="left"/>
      <w:lvlText w:val="(%2)"/>
      <w:numFmt w:val="lowerLetter"/>
      <w:start w:val="1"/>
    </w:lvl>
  </w:abstractNum>
  <w:abstractNum w:abstractNumId="241">
    <w:nsid w:val="1F9EC322"/>
    <w:multiLevelType w:val="hybridMultilevel"/>
    <w:lvl w:ilvl="0">
      <w:lvlJc w:val="left"/>
      <w:lvlText w:val="%1."/>
      <w:numFmt w:val="decimal"/>
      <w:start w:val="1"/>
    </w:lvl>
  </w:abstractNum>
  <w:abstractNum w:abstractNumId="242">
    <w:nsid w:val="3410ED56"/>
    <w:multiLevelType w:val="hybridMultilevel"/>
    <w:lvl w:ilvl="0">
      <w:lvlJc w:val="left"/>
      <w:lvlText w:val="%1."/>
      <w:numFmt w:val="decimal"/>
      <w:start w:val="5"/>
    </w:lvl>
  </w:abstractNum>
  <w:abstractNum w:abstractNumId="243">
    <w:nsid w:val="23C049A"/>
    <w:multiLevelType w:val="hybridMultilevel"/>
    <w:lvl w:ilvl="0">
      <w:lvlJc w:val="left"/>
      <w:lvlText w:val="(%1)"/>
      <w:numFmt w:val="lowerLetter"/>
      <w:start w:val="1"/>
    </w:lvl>
  </w:abstractNum>
  <w:abstractNum w:abstractNumId="244">
    <w:nsid w:val="5BDA35D4"/>
    <w:multiLevelType w:val="hybridMultilevel"/>
    <w:lvl w:ilvl="0">
      <w:lvlJc w:val="left"/>
      <w:lvlText w:val="(%1)"/>
      <w:numFmt w:val="lowerLetter"/>
      <w:start w:val="2"/>
    </w:lvl>
  </w:abstractNum>
  <w:abstractNum w:abstractNumId="245">
    <w:nsid w:val="496FB218"/>
    <w:multiLevelType w:val="hybridMultilevel"/>
    <w:lvl w:ilvl="0">
      <w:lvlJc w:val="left"/>
      <w:lvlText w:val="(%1)"/>
      <w:numFmt w:val="lowerLetter"/>
      <w:start w:val="3"/>
    </w:lvl>
  </w:abstractNum>
  <w:abstractNum w:abstractNumId="246">
    <w:nsid w:val="680EA5D1"/>
    <w:multiLevelType w:val="hybridMultilevel"/>
    <w:lvl w:ilvl="0">
      <w:lvlJc w:val="left"/>
      <w:lvlText w:val="(%1)"/>
      <w:numFmt w:val="lowerLetter"/>
      <w:start w:val="4"/>
    </w:lvl>
  </w:abstractNum>
  <w:abstractNum w:abstractNumId="247">
    <w:nsid w:val="4A9554FE"/>
    <w:multiLevelType w:val="hybridMultilevel"/>
    <w:lvl w:ilvl="0">
      <w:lvlJc w:val="left"/>
      <w:lvlText w:val="(%1)"/>
      <w:numFmt w:val="lowerLetter"/>
      <w:start w:val="5"/>
    </w:lvl>
  </w:abstractNum>
  <w:abstractNum w:abstractNumId="248">
    <w:nsid w:val="392EDBE4"/>
    <w:multiLevelType w:val="hybridMultilevel"/>
    <w:lvl w:ilvl="0">
      <w:lvlJc w:val="left"/>
      <w:lvlText w:val="(%1)"/>
      <w:numFmt w:val="lowerRoman"/>
      <w:start w:val="2"/>
    </w:lvl>
  </w:abstractNum>
  <w:abstractNum w:abstractNumId="249">
    <w:nsid w:val="3D1A2DD9"/>
    <w:multiLevelType w:val="hybridMultilevel"/>
    <w:lvl w:ilvl="0">
      <w:lvlJc w:val="left"/>
      <w:lvlText w:val="(%1)"/>
      <w:numFmt w:val="lowerLetter"/>
      <w:start w:val="6"/>
    </w:lvl>
  </w:abstractNum>
  <w:abstractNum w:abstractNumId="250">
    <w:nsid w:val="7F618FCD"/>
    <w:multiLevelType w:val="hybridMultilevel"/>
    <w:lvl w:ilvl="0">
      <w:lvlJc w:val="left"/>
      <w:lvlText w:val="(%1)"/>
      <w:numFmt w:val="lowerLetter"/>
      <w:start w:val="7"/>
    </w:lvl>
  </w:abstractNum>
  <w:abstractNum w:abstractNumId="251">
    <w:nsid w:val="7843E45"/>
    <w:multiLevelType w:val="hybridMultilevel"/>
    <w:lvl w:ilvl="0">
      <w:lvlJc w:val="left"/>
      <w:lvlText w:val="(%1)"/>
      <w:numFmt w:val="lowerRoman"/>
      <w:start w:val="1"/>
    </w:lvl>
  </w:abstractNum>
  <w:abstractNum w:abstractNumId="252">
    <w:nsid w:val="9815DA3"/>
    <w:multiLevelType w:val="hybridMultilevel"/>
    <w:lvl w:ilvl="0">
      <w:lvlJc w:val="left"/>
      <w:lvlText w:val="(%1)"/>
      <w:numFmt w:val="lowerLetter"/>
      <w:start w:val="8"/>
    </w:lvl>
  </w:abstractNum>
  <w:abstractNum w:abstractNumId="253">
    <w:nsid w:val="5204A191"/>
    <w:multiLevelType w:val="hybridMultilevel"/>
    <w:lvl w:ilvl="0">
      <w:lvlJc w:val="left"/>
      <w:lvlText w:val="(%1)"/>
      <w:numFmt w:val="lowerRoman"/>
      <w:start w:val="1"/>
    </w:lvl>
  </w:abstractNum>
  <w:abstractNum w:abstractNumId="254">
    <w:nsid w:val="4C73A9C6"/>
    <w:multiLevelType w:val="hybridMultilevel"/>
    <w:lvl w:ilvl="0">
      <w:lvlJc w:val="left"/>
      <w:lvlText w:val="%1."/>
      <w:numFmt w:val="decimal"/>
      <w:start w:val="9"/>
    </w:lvl>
  </w:abstractNum>
  <w:abstractNum w:abstractNumId="255">
    <w:nsid w:val="1C7E3C01"/>
    <w:multiLevelType w:val="hybridMultilevel"/>
    <w:lvl w:ilvl="0">
      <w:lvlJc w:val="left"/>
      <w:lvlText w:val="%1."/>
      <w:numFmt w:val="decimal"/>
      <w:start w:val="11"/>
    </w:lvl>
    <w:lvl w:ilvl="1">
      <w:lvlJc w:val="left"/>
      <w:lvlText w:val="(%2)"/>
      <w:numFmt w:val="lowerLetter"/>
      <w:start w:val="1"/>
    </w:lvl>
  </w:abstractNum>
  <w:abstractNum w:abstractNumId="256">
    <w:nsid w:val="1C2201FF"/>
    <w:multiLevelType w:val="hybridMultilevel"/>
    <w:lvl w:ilvl="0">
      <w:lvlJc w:val="left"/>
      <w:lvlText w:val="(%1)"/>
      <w:numFmt w:val="lowerLetter"/>
      <w:start w:val="2"/>
    </w:lvl>
  </w:abstractNum>
  <w:abstractNum w:abstractNumId="257">
    <w:nsid w:val="50ABCEC9"/>
    <w:multiLevelType w:val="hybridMultilevel"/>
    <w:lvl w:ilvl="0">
      <w:lvlJc w:val="left"/>
      <w:lvlText w:val="(%1)"/>
      <w:numFmt w:val="lowerLetter"/>
      <w:start w:val="3"/>
    </w:lvl>
  </w:abstractNum>
  <w:abstractNum w:abstractNumId="258">
    <w:nsid w:val="7635AA2A"/>
    <w:multiLevelType w:val="hybridMultilevel"/>
    <w:lvl w:ilvl="0">
      <w:lvlJc w:val="left"/>
      <w:lvlText w:val="(%1)"/>
      <w:numFmt w:val="lowerLetter"/>
      <w:start w:val="4"/>
    </w:lvl>
  </w:abstractNum>
  <w:abstractNum w:abstractNumId="259">
    <w:nsid w:val="5E74C4D9"/>
    <w:multiLevelType w:val="hybridMultilevel"/>
    <w:lvl w:ilvl="0">
      <w:lvlJc w:val="left"/>
      <w:lvlText w:val="(%1)"/>
      <w:numFmt w:val="lowerLetter"/>
      <w:start w:val="5"/>
    </w:lvl>
  </w:abstractNum>
  <w:abstractNum w:abstractNumId="260">
    <w:nsid w:val="3B3EBE15"/>
    <w:multiLevelType w:val="hybridMultilevel"/>
    <w:lvl w:ilvl="0">
      <w:lvlJc w:val="left"/>
      <w:lvlText w:val="(%1)"/>
      <w:numFmt w:val="lowerLetter"/>
      <w:start w:val="6"/>
    </w:lvl>
  </w:abstractNum>
  <w:abstractNum w:abstractNumId="261">
    <w:nsid w:val="3822CB01"/>
    <w:multiLevelType w:val="hybridMultilevel"/>
    <w:lvl w:ilvl="0">
      <w:lvlJc w:val="left"/>
      <w:lvlText w:val="(%1)"/>
      <w:numFmt w:val="lowerLetter"/>
      <w:start w:val="7"/>
    </w:lvl>
  </w:abstractNum>
  <w:abstractNum w:abstractNumId="262">
    <w:nsid w:val="6CE00443"/>
    <w:multiLevelType w:val="hybridMultilevel"/>
    <w:lvl w:ilvl="0">
      <w:lvlJc w:val="left"/>
      <w:lvlText w:val="(%1)"/>
      <w:numFmt w:val="lowerLetter"/>
      <w:start w:val="8"/>
    </w:lvl>
  </w:abstractNum>
  <w:abstractNum w:abstractNumId="263">
    <w:nsid w:val="79F0D62F"/>
    <w:multiLevelType w:val="hybridMultilevel"/>
    <w:lvl w:ilvl="0">
      <w:lvlJc w:val="left"/>
      <w:lvlText w:val="(%1)"/>
      <w:numFmt w:val="lowerRoman"/>
      <w:start w:val="1"/>
    </w:lvl>
  </w:abstractNum>
  <w:abstractNum w:abstractNumId="264">
    <w:nsid w:val="7975E8EE"/>
    <w:multiLevelType w:val="hybridMultilevel"/>
    <w:lvl w:ilvl="0">
      <w:lvlJc w:val="left"/>
      <w:lvlText w:val="%1."/>
      <w:numFmt w:val="decimal"/>
      <w:start w:val="1"/>
    </w:lvl>
    <w:lvl w:ilvl="1">
      <w:lvlJc w:val="left"/>
      <w:lvlText w:val="(%2)"/>
      <w:numFmt w:val="lowerLetter"/>
      <w:start w:val="1"/>
    </w:lvl>
  </w:abstractNum>
  <w:abstractNum w:abstractNumId="265">
    <w:nsid w:val="73154115"/>
    <w:multiLevelType w:val="hybridMultilevel"/>
    <w:lvl w:ilvl="0">
      <w:lvlJc w:val="left"/>
      <w:lvlText w:val="(%1)"/>
      <w:numFmt w:val="lowerRoman"/>
      <w:start w:val="1"/>
    </w:lvl>
  </w:abstractNum>
  <w:abstractNum w:abstractNumId="266">
    <w:nsid w:val="622D8102"/>
    <w:multiLevelType w:val="hybridMultilevel"/>
    <w:lvl w:ilvl="0">
      <w:lvlJc w:val="left"/>
      <w:lvlText w:val="%1."/>
      <w:numFmt w:val="lowerRoman"/>
      <w:start w:val="1"/>
    </w:lvl>
  </w:abstractNum>
  <w:abstractNum w:abstractNumId="267">
    <w:nsid w:val="2AB26587"/>
    <w:multiLevelType w:val="hybridMultilevel"/>
    <w:lvl w:ilvl="0">
      <w:lvlJc w:val="left"/>
      <w:lvlText w:val="%1"/>
      <w:numFmt w:val="lowerLetter"/>
      <w:start w:val="1"/>
    </w:lvl>
    <w:lvl w:ilvl="1">
      <w:lvlJc w:val="left"/>
      <w:lvlText w:val="%2."/>
      <w:numFmt w:val="lowerRoman"/>
      <w:start w:val="3"/>
    </w:lvl>
  </w:abstractNum>
  <w:abstractNum w:abstractNumId="268">
    <w:nsid w:val="44B3FA61"/>
    <w:multiLevelType w:val="hybridMultilevel"/>
    <w:lvl w:ilvl="0">
      <w:lvlJc w:val="left"/>
      <w:lvlText w:val="(%1)"/>
      <w:numFmt w:val="lowerLetter"/>
      <w:start w:val="3"/>
    </w:lvl>
    <w:lvl w:ilvl="1">
      <w:lvlJc w:val="left"/>
      <w:lvlText w:val="%2"/>
      <w:numFmt w:val="lowerRoman"/>
      <w:start w:val="1"/>
    </w:lvl>
  </w:abstractNum>
  <w:abstractNum w:abstractNumId="269">
    <w:nsid w:val="1C0CA67C"/>
    <w:multiLevelType w:val="hybridMultilevel"/>
    <w:lvl w:ilvl="0">
      <w:lvlJc w:val="left"/>
      <w:lvlText w:val="(%1)"/>
      <w:numFmt w:val="lowerLetter"/>
      <w:start w:val="6"/>
    </w:lvl>
  </w:abstractNum>
  <w:abstractNum w:abstractNumId="270">
    <w:nsid w:val="3D206613"/>
    <w:multiLevelType w:val="hybridMultilevel"/>
    <w:lvl w:ilvl="0">
      <w:lvlJc w:val="left"/>
      <w:lvlText w:val="%1."/>
      <w:numFmt w:val="decimal"/>
      <w:start w:val="9"/>
    </w:lvl>
  </w:abstractNum>
  <w:abstractNum w:abstractNumId="271">
    <w:nsid w:val="7993B662"/>
    <w:multiLevelType w:val="hybridMultilevel"/>
    <w:lvl w:ilvl="0">
      <w:lvlJc w:val="left"/>
      <w:lvlText w:val="%1."/>
      <w:numFmt w:val="decimal"/>
      <w:start w:val="13"/>
    </w:lvl>
    <w:lvl w:ilvl="1">
      <w:lvlJc w:val="left"/>
      <w:lvlText w:val="(%2)"/>
      <w:numFmt w:val="lowerLetter"/>
      <w:start w:val="1"/>
    </w:lvl>
  </w:abstractNum>
  <w:abstractNum w:abstractNumId="272">
    <w:nsid w:val="3BAB699E"/>
    <w:multiLevelType w:val="hybridMultilevel"/>
    <w:lvl w:ilvl="0">
      <w:lvlJc w:val="left"/>
      <w:lvlText w:val="%1."/>
      <w:numFmt w:val="decimal"/>
      <w:start w:val="1"/>
    </w:lvl>
    <w:lvl w:ilvl="1">
      <w:lvlJc w:val="left"/>
      <w:lvlText w:val="(%2)"/>
      <w:numFmt w:val="lowerLetter"/>
      <w:start w:val="1"/>
    </w:lvl>
  </w:abstractNum>
  <w:abstractNum w:abstractNumId="273">
    <w:nsid w:val="71315369"/>
    <w:multiLevelType w:val="hybridMultilevel"/>
    <w:lvl w:ilvl="0">
      <w:lvlJc w:val="left"/>
      <w:lvlText w:val="(%1)"/>
      <w:numFmt w:val="lowerLetter"/>
      <w:start w:val="2"/>
    </w:lvl>
  </w:abstractNum>
  <w:abstractNum w:abstractNumId="274">
    <w:nsid w:val="7BCFBAFC"/>
    <w:multiLevelType w:val="hybridMultilevel"/>
    <w:lvl w:ilvl="0">
      <w:lvlJc w:val="left"/>
      <w:lvlText w:val="(%1)"/>
      <w:numFmt w:val="lowerLetter"/>
      <w:start w:val="3"/>
    </w:lvl>
  </w:abstractNum>
  <w:abstractNum w:abstractNumId="275">
    <w:nsid w:val="17859F72"/>
    <w:multiLevelType w:val="hybridMultilevel"/>
    <w:lvl w:ilvl="0">
      <w:lvlJc w:val="left"/>
      <w:lvlText w:val="%1."/>
      <w:numFmt w:val="decimal"/>
      <w:start w:val="2"/>
    </w:lvl>
    <w:lvl w:ilvl="1">
      <w:lvlJc w:val="left"/>
      <w:lvlText w:val="(%2)"/>
      <w:numFmt w:val="lowerLetter"/>
      <w:start w:val="1"/>
    </w:lvl>
  </w:abstractNum>
  <w:abstractNum w:abstractNumId="276">
    <w:nsid w:val="3AA10581"/>
    <w:multiLevelType w:val="hybridMultilevel"/>
    <w:lvl w:ilvl="0">
      <w:lvlJc w:val="left"/>
      <w:lvlText w:val="(%1)"/>
      <w:numFmt w:val="lowerRoman"/>
      <w:start w:val="2"/>
    </w:lvl>
  </w:abstractNum>
  <w:abstractNum w:abstractNumId="277">
    <w:nsid w:val="63DE60CD"/>
    <w:multiLevelType w:val="hybridMultilevel"/>
    <w:lvl w:ilvl="0">
      <w:lvlJc w:val="left"/>
      <w:lvlText w:val="(%1)"/>
      <w:numFmt w:val="lowerLetter"/>
      <w:start w:val="2"/>
    </w:lvl>
  </w:abstractNum>
  <w:abstractNum w:abstractNumId="278">
    <w:nsid w:val="621AF471"/>
    <w:multiLevelType w:val="hybridMultilevel"/>
    <w:lvl w:ilvl="0">
      <w:lvlJc w:val="left"/>
      <w:lvlText w:val="%1."/>
      <w:numFmt w:val="lowerRoman"/>
      <w:start w:val="1"/>
    </w:lvl>
  </w:abstractNum>
  <w:abstractNum w:abstractNumId="279">
    <w:nsid w:val="73CFE165"/>
    <w:multiLevelType w:val="hybridMultilevel"/>
    <w:lvl w:ilvl="0">
      <w:lvlJc w:val="left"/>
      <w:lvlText w:val="%1"/>
      <w:numFmt w:val="lowerLetter"/>
      <w:start w:val="1"/>
    </w:lvl>
    <w:lvl w:ilvl="1">
      <w:lvlJc w:val="left"/>
      <w:lvlText w:val="%2."/>
      <w:numFmt w:val="lowerRoman"/>
      <w:start w:val="2"/>
    </w:lvl>
  </w:abstractNum>
  <w:abstractNum w:abstractNumId="280">
    <w:nsid w:val="20F88EA6"/>
    <w:multiLevelType w:val="hybridMultilevel"/>
    <w:lvl w:ilvl="0">
      <w:lvlJc w:val="left"/>
      <w:lvlText w:val="(%1)"/>
      <w:numFmt w:val="lowerLetter"/>
      <w:start w:val="3"/>
    </w:lvl>
    <w:lvl w:ilvl="1">
      <w:lvlJc w:val="left"/>
      <w:lvlText w:val="%2"/>
      <w:numFmt w:val="lowerRoman"/>
      <w:start w:val="1"/>
    </w:lvl>
  </w:abstractNum>
  <w:abstractNum w:abstractNumId="281">
    <w:nsid w:val="617C843E"/>
    <w:multiLevelType w:val="hybridMultilevel"/>
    <w:lvl w:ilvl="0">
      <w:lvlJc w:val="left"/>
      <w:lvlText w:val="(%1)"/>
      <w:numFmt w:val="lowerLetter"/>
      <w:start w:val="4"/>
    </w:lvl>
  </w:abstractNum>
  <w:abstractNum w:abstractNumId="282">
    <w:nsid w:val="7B541FAB"/>
    <w:multiLevelType w:val="hybridMultilevel"/>
    <w:lvl w:ilvl="0">
      <w:lvlJc w:val="left"/>
      <w:lvlText w:val="%1."/>
      <w:numFmt w:val="decimal"/>
      <w:start w:val="3"/>
    </w:lvl>
  </w:abstractNum>
  <w:abstractNum w:abstractNumId="283">
    <w:nsid w:val="2A79EC49"/>
    <w:multiLevelType w:val="hybridMultilevel"/>
    <w:lvl w:ilvl="0">
      <w:lvlJc w:val="left"/>
      <w:lvlText w:val="%1."/>
      <w:numFmt w:val="decimal"/>
      <w:start w:val="4"/>
    </w:lvl>
  </w:abstractNum>
  <w:abstractNum w:abstractNumId="284">
    <w:nsid w:val="338125CF"/>
    <w:multiLevelType w:val="hybridMultilevel"/>
    <w:lvl w:ilvl="0">
      <w:lvlJc w:val="left"/>
      <w:lvlText w:val="%1."/>
      <w:numFmt w:val="decimal"/>
      <w:start w:val="8"/>
    </w:lvl>
  </w:abstractNum>
  <w:abstractNum w:abstractNumId="285">
    <w:nsid w:val="47C7C971"/>
    <w:multiLevelType w:val="hybridMultilevel"/>
    <w:lvl w:ilvl="0">
      <w:lvlJc w:val="left"/>
      <w:lvlText w:val="(%1)"/>
      <w:numFmt w:val="lowerLetter"/>
      <w:start w:val="1"/>
    </w:lvl>
  </w:abstractNum>
  <w:abstractNum w:abstractNumId="286">
    <w:nsid w:val="46F8284B"/>
    <w:multiLevelType w:val="hybridMultilevel"/>
    <w:lvl w:ilvl="0">
      <w:lvlJc w:val="left"/>
      <w:lvlText w:val="(%1)"/>
      <w:numFmt w:val="lowerLetter"/>
      <w:start w:val="2"/>
    </w:lvl>
  </w:abstractNum>
  <w:abstractNum w:abstractNumId="287">
    <w:nsid w:val="4FA327CE"/>
    <w:multiLevelType w:val="hybridMultilevel"/>
    <w:lvl w:ilvl="0">
      <w:lvlJc w:val="left"/>
      <w:lvlText w:val="(%1)"/>
      <w:numFmt w:val="lowerLetter"/>
      <w:start w:val="3"/>
    </w:lvl>
  </w:abstractNum>
  <w:abstractNum w:abstractNumId="288">
    <w:nsid w:val="1873983A"/>
    <w:multiLevelType w:val="hybridMultilevel"/>
    <w:lvl w:ilvl="0">
      <w:lvlJc w:val="left"/>
      <w:lvlText w:val="(%1)"/>
      <w:numFmt w:val="lowerLetter"/>
      <w:start w:val="4"/>
    </w:lvl>
  </w:abstractNum>
  <w:abstractNum w:abstractNumId="289">
    <w:nsid w:val="3D2DD275"/>
    <w:multiLevelType w:val="hybridMultilevel"/>
    <w:lvl w:ilvl="0">
      <w:lvlJc w:val="left"/>
      <w:lvlText w:val="(%1)"/>
      <w:numFmt w:val="lowerLetter"/>
      <w:start w:val="5"/>
    </w:lvl>
  </w:abstractNum>
  <w:abstractNum w:abstractNumId="290">
    <w:nsid w:val="2E17ECA7"/>
    <w:multiLevelType w:val="hybridMultilevel"/>
    <w:lvl w:ilvl="0">
      <w:lvlJc w:val="left"/>
      <w:lvlText w:val="(%1)"/>
      <w:numFmt w:val="lowerLetter"/>
      <w:start w:val="6"/>
    </w:lvl>
  </w:abstractNum>
  <w:abstractNum w:abstractNumId="291">
    <w:nsid w:val="53B2564F"/>
    <w:multiLevelType w:val="hybridMultilevel"/>
    <w:lvl w:ilvl="0">
      <w:lvlJc w:val="left"/>
      <w:lvlText w:val="(%1)"/>
      <w:numFmt w:val="lowerLetter"/>
      <w:start w:val="7"/>
    </w:lvl>
  </w:abstractNum>
  <w:abstractNum w:abstractNumId="292">
    <w:nsid w:val="75509D76"/>
    <w:multiLevelType w:val="hybridMultilevel"/>
    <w:lvl w:ilvl="0">
      <w:lvlJc w:val="left"/>
      <w:lvlText w:val="(%1)"/>
      <w:numFmt w:val="lowerRoman"/>
      <w:start w:val="1"/>
    </w:lvl>
  </w:abstractNum>
  <w:abstractNum w:abstractNumId="293">
    <w:nsid w:val="1AF7F0EA"/>
    <w:multiLevelType w:val="hybridMultilevel"/>
    <w:lvl w:ilvl="0">
      <w:lvlJc w:val="left"/>
      <w:lvlText w:val="(%1)"/>
      <w:numFmt w:val="lowerLetter"/>
      <w:start w:val="8"/>
    </w:lvl>
  </w:abstractNum>
  <w:abstractNum w:abstractNumId="294">
    <w:nsid w:val="4DA32C7E"/>
    <w:multiLevelType w:val="hybridMultilevel"/>
    <w:lvl w:ilvl="0">
      <w:lvlJc w:val="left"/>
      <w:lvlText w:val="%1."/>
      <w:numFmt w:val="decimal"/>
      <w:start w:val="9"/>
    </w:lvl>
  </w:abstractNum>
  <w:abstractNum w:abstractNumId="295">
    <w:nsid w:val="6EC68664"/>
    <w:multiLevelType w:val="hybridMultilevel"/>
    <w:lvl w:ilvl="0">
      <w:lvlJc w:val="left"/>
      <w:lvlText w:val="%1."/>
      <w:numFmt w:val="decimal"/>
      <w:start w:val="10"/>
    </w:lvl>
  </w:abstractNum>
  <w:abstractNum w:abstractNumId="296">
    <w:nsid w:val="E0D31FF"/>
    <w:multiLevelType w:val="hybridMultilevel"/>
    <w:lvl w:ilvl="0">
      <w:lvlJc w:val="left"/>
      <w:lvlText w:val="%1."/>
      <w:numFmt w:val="decimal"/>
      <w:start w:val="13"/>
    </w:lvl>
    <w:lvl w:ilvl="1">
      <w:lvlJc w:val="left"/>
      <w:lvlText w:val="(%2)"/>
      <w:numFmt w:val="lowerLetter"/>
      <w:start w:val="1"/>
    </w:lvl>
  </w:abstractNum>
  <w:abstractNum w:abstractNumId="297">
    <w:nsid w:val="2FD0AD81"/>
    <w:multiLevelType w:val="hybridMultilevel"/>
    <w:lvl w:ilvl="0">
      <w:lvlJc w:val="left"/>
      <w:lvlText w:val="(%1)"/>
      <w:numFmt w:val="lowerLetter"/>
      <w:start w:val="2"/>
    </w:lvl>
  </w:abstractNum>
  <w:abstractNum w:abstractNumId="298">
    <w:nsid w:val="1978EBEB"/>
    <w:multiLevelType w:val="hybridMultilevel"/>
    <w:lvl w:ilvl="0">
      <w:lvlJc w:val="left"/>
      <w:lvlText w:val="(%1)"/>
      <w:numFmt w:val="lowerLetter"/>
      <w:start w:val="3"/>
    </w:lvl>
  </w:abstractNum>
  <w:abstractNum w:abstractNumId="299">
    <w:nsid w:val="52C12C61"/>
    <w:multiLevelType w:val="hybridMultilevel"/>
    <w:lvl w:ilvl="0">
      <w:lvlJc w:val="left"/>
      <w:lvlText w:val="(%1)"/>
      <w:numFmt w:val="lowerLetter"/>
      <w:start w:val="4"/>
    </w:lvl>
  </w:abstractNum>
  <w:abstractNum w:abstractNumId="300">
    <w:nsid w:val="4BDD53FD"/>
    <w:multiLevelType w:val="hybridMultilevel"/>
    <w:lvl w:ilvl="0">
      <w:lvlJc w:val="left"/>
      <w:lvlText w:val="(%1)"/>
      <w:numFmt w:val="lowerLetter"/>
      <w:start w:val="5"/>
    </w:lvl>
  </w:abstractNum>
  <w:abstractNum w:abstractNumId="301">
    <w:nsid w:val="569951FE"/>
    <w:multiLevelType w:val="hybridMultilevel"/>
    <w:lvl w:ilvl="0">
      <w:lvlJc w:val="left"/>
      <w:lvlText w:val="(%1)"/>
      <w:numFmt w:val="lowerLetter"/>
      <w:start w:val="6"/>
    </w:lvl>
  </w:abstractNum>
  <w:abstractNum w:abstractNumId="302">
    <w:nsid w:val="4C54E2C3"/>
    <w:multiLevelType w:val="hybridMultilevel"/>
    <w:lvl w:ilvl="0">
      <w:lvlJc w:val="left"/>
      <w:lvlText w:val="(%1)"/>
      <w:numFmt w:val="lowerLetter"/>
      <w:start w:val="7"/>
    </w:lvl>
  </w:abstractNum>
  <w:abstractNum w:abstractNumId="303">
    <w:nsid w:val="788BD9B"/>
    <w:multiLevelType w:val="hybridMultilevel"/>
    <w:lvl w:ilvl="0">
      <w:lvlJc w:val="left"/>
      <w:lvlText w:val="(%1)"/>
      <w:numFmt w:val="lowerLetter"/>
      <w:start w:val="8"/>
    </w:lvl>
  </w:abstractNum>
  <w:abstractNum w:abstractNumId="304">
    <w:nsid w:val="47CAA567"/>
    <w:multiLevelType w:val="hybridMultilevel"/>
    <w:lvl w:ilvl="0">
      <w:lvlJc w:val="left"/>
      <w:lvlText w:val="(%1)"/>
      <w:numFmt w:val="lowerRoman"/>
      <w:start w:val="1"/>
    </w:lvl>
  </w:abstractNum>
  <w:abstractNum w:abstractNumId="305">
    <w:nsid w:val="48249DBF"/>
    <w:multiLevelType w:val="hybridMultilevel"/>
    <w:lvl w:ilvl="0">
      <w:lvlJc w:val="left"/>
      <w:lvlText w:val="%1."/>
      <w:numFmt w:val="decimal"/>
      <w:start w:val="1"/>
    </w:lvl>
  </w:abstractNum>
  <w:abstractNum w:abstractNumId="306">
    <w:nsid w:val="1F0E5D0D"/>
    <w:multiLevelType w:val="hybridMultilevel"/>
    <w:lvl w:ilvl="0">
      <w:lvlJc w:val="left"/>
      <w:lvlText w:val="(%1)"/>
      <w:numFmt w:val="lowerLetter"/>
      <w:start w:val="1"/>
    </w:lvl>
  </w:abstractNum>
  <w:abstractNum w:abstractNumId="307">
    <w:nsid w:val="26BAAE9"/>
    <w:multiLevelType w:val="hybridMultilevel"/>
    <w:lvl w:ilvl="0">
      <w:lvlJc w:val="left"/>
      <w:lvlText w:val="(%1)"/>
      <w:numFmt w:val="lowerLetter"/>
      <w:start w:val="1"/>
    </w:lvl>
  </w:abstractNum>
  <w:abstractNum w:abstractNumId="308">
    <w:nsid w:val="2C02FE8C"/>
    <w:multiLevelType w:val="hybridMultilevel"/>
    <w:lvl w:ilvl="0">
      <w:lvlJc w:val="left"/>
      <w:lvlText w:val="%1."/>
      <w:numFmt w:val="decimal"/>
      <w:start w:val="2"/>
    </w:lvl>
  </w:abstractNum>
  <w:abstractNum w:abstractNumId="309">
    <w:nsid w:val="129517E"/>
    <w:multiLevelType w:val="hybridMultilevel"/>
    <w:lvl w:ilvl="0">
      <w:lvlJc w:val="left"/>
      <w:lvlText w:val="(%1)"/>
      <w:numFmt w:val="lowerLetter"/>
      <w:start w:val="1"/>
    </w:lvl>
  </w:abstractNum>
  <w:abstractNum w:abstractNumId="310">
    <w:nsid w:val="763B8C4E"/>
    <w:multiLevelType w:val="hybridMultilevel"/>
    <w:lvl w:ilvl="0">
      <w:lvlJc w:val="left"/>
      <w:lvlText w:val="%1."/>
      <w:numFmt w:val="decimal"/>
      <w:start w:val="1"/>
    </w:lvl>
  </w:abstractNum>
  <w:abstractNum w:abstractNumId="311">
    <w:nsid w:val="4CFB8D32"/>
    <w:multiLevelType w:val="hybridMultilevel"/>
    <w:lvl w:ilvl="0">
      <w:lvlJc w:val="left"/>
      <w:lvlText w:val="•"/>
      <w:numFmt w:val="bullet"/>
      <w:start w:val="1"/>
    </w:lvl>
  </w:abstractNum>
  <w:abstractNum w:abstractNumId="312">
    <w:nsid w:val="62A5D5BD"/>
    <w:multiLevelType w:val="hybridMultilevel"/>
    <w:lvl w:ilvl="0">
      <w:lvlJc w:val="left"/>
      <w:lvlText w:val="•"/>
      <w:numFmt w:val="bullet"/>
      <w:start w:val="1"/>
    </w:lvl>
  </w:abstractNum>
  <w:abstractNum w:abstractNumId="313">
    <w:nsid w:val="718FABF9"/>
    <w:multiLevelType w:val="hybridMultilevel"/>
    <w:lvl w:ilvl="0">
      <w:lvlJc w:val="left"/>
      <w:lvlText w:val="•"/>
      <w:numFmt w:val="bullet"/>
      <w:start w:val="1"/>
    </w:lvl>
  </w:abstractNum>
  <w:abstractNum w:abstractNumId="314">
    <w:nsid w:val="7775797C"/>
    <w:multiLevelType w:val="hybridMultilevel"/>
    <w:lvl w:ilvl="0">
      <w:lvlJc w:val="left"/>
      <w:lvlText w:val="•"/>
      <w:numFmt w:val="bullet"/>
      <w:start w:val="1"/>
    </w:lvl>
  </w:abstractNum>
  <w:abstractNum w:abstractNumId="315">
    <w:nsid w:val="1626FB8C"/>
    <w:multiLevelType w:val="hybridMultilevel"/>
    <w:lvl w:ilvl="0">
      <w:lvlJc w:val="left"/>
      <w:lvlText w:val="%1."/>
      <w:numFmt w:val="decimal"/>
      <w:start w:val="1"/>
    </w:lvl>
    <w:lvl w:ilvl="1">
      <w:lvlJc w:val="left"/>
      <w:lvlText w:val="(%2)"/>
      <w:numFmt w:val="lowerLetter"/>
      <w:start w:val="1"/>
    </w:lvl>
  </w:abstractNum>
  <w:abstractNum w:abstractNumId="316">
    <w:nsid w:val="3957756A"/>
    <w:multiLevelType w:val="hybridMultilevel"/>
    <w:lvl w:ilvl="0">
      <w:lvlJc w:val="left"/>
      <w:lvlText w:val="%1."/>
      <w:numFmt w:val="decimal"/>
      <w:start w:val="1"/>
    </w:lvl>
    <w:lvl w:ilvl="1">
      <w:lvlJc w:val="left"/>
      <w:lvlText w:val="(%2)"/>
      <w:numFmt w:val="lowerLetter"/>
      <w:start w:val="1"/>
    </w:lvl>
  </w:abstractNum>
  <w:abstractNum w:abstractNumId="317">
    <w:nsid w:val="3E6DA1C7"/>
    <w:multiLevelType w:val="hybridMultilevel"/>
    <w:lvl w:ilvl="0">
      <w:lvlJc w:val="left"/>
      <w:lvlText w:val="%1."/>
      <w:numFmt w:val="decimal"/>
      <w:start w:val="1"/>
    </w:lvl>
    <w:lvl w:ilvl="1">
      <w:lvlJc w:val="left"/>
      <w:lvlText w:val="(%2)"/>
      <w:numFmt w:val="lowerLetter"/>
      <w:start w:val="1"/>
    </w:lvl>
  </w:abstractNum>
  <w:abstractNum w:abstractNumId="318">
    <w:nsid w:val="65CA235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47" Type="http://schemas.openxmlformats.org/officeDocument/2006/relationships/image" Target="media/image223.png"/><Relationship Id="rId264" Type="http://schemas.openxmlformats.org/officeDocument/2006/relationships/image" Target="media/image224.png"/><Relationship Id="rId278" Type="http://schemas.openxmlformats.org/officeDocument/2006/relationships/image" Target="media/image225.png"/><Relationship Id="rId291" Type="http://schemas.openxmlformats.org/officeDocument/2006/relationships/image" Target="media/image226.png"/><Relationship Id="rId300" Type="http://schemas.openxmlformats.org/officeDocument/2006/relationships/image" Target="media/image227.png"/><Relationship Id="rId301" Type="http://schemas.openxmlformats.org/officeDocument/2006/relationships/image" Target="media/image228.png"/><Relationship Id="rId302" Type="http://schemas.openxmlformats.org/officeDocument/2006/relationships/image" Target="media/image229.png"/><Relationship Id="rId303" Type="http://schemas.openxmlformats.org/officeDocument/2006/relationships/image" Target="media/image230.png"/><Relationship Id="rId304" Type="http://schemas.openxmlformats.org/officeDocument/2006/relationships/image" Target="media/image231.png"/><Relationship Id="rId305" Type="http://schemas.openxmlformats.org/officeDocument/2006/relationships/image" Target="media/image232.png"/><Relationship Id="rId306" Type="http://schemas.openxmlformats.org/officeDocument/2006/relationships/image" Target="media/image233.png"/><Relationship Id="rId307" Type="http://schemas.openxmlformats.org/officeDocument/2006/relationships/image" Target="media/image234.png"/><Relationship Id="rId308" Type="http://schemas.openxmlformats.org/officeDocument/2006/relationships/image" Target="media/image235.png"/><Relationship Id="rId309" Type="http://schemas.openxmlformats.org/officeDocument/2006/relationships/image" Target="media/image236.png"/><Relationship Id="rId310" Type="http://schemas.openxmlformats.org/officeDocument/2006/relationships/image" Target="media/image237.png"/><Relationship Id="rId311" Type="http://schemas.openxmlformats.org/officeDocument/2006/relationships/image" Target="media/image238.png"/><Relationship Id="rId312" Type="http://schemas.openxmlformats.org/officeDocument/2006/relationships/image" Target="media/image239.png"/><Relationship Id="rId313" Type="http://schemas.openxmlformats.org/officeDocument/2006/relationships/image" Target="media/image240.png"/><Relationship Id="rId314" Type="http://schemas.openxmlformats.org/officeDocument/2006/relationships/image" Target="media/image241.png"/><Relationship Id="rId315" Type="http://schemas.openxmlformats.org/officeDocument/2006/relationships/image" Target="media/image242.png"/><Relationship Id="rId316" Type="http://schemas.openxmlformats.org/officeDocument/2006/relationships/image" Target="media/image243.png"/><Relationship Id="rId317" Type="http://schemas.openxmlformats.org/officeDocument/2006/relationships/image" Target="media/image244.png"/><Relationship Id="rId318" Type="http://schemas.openxmlformats.org/officeDocument/2006/relationships/image" Target="media/image245.png"/><Relationship Id="rId319" Type="http://schemas.openxmlformats.org/officeDocument/2006/relationships/image" Target="media/image246.png"/><Relationship Id="rId320" Type="http://schemas.openxmlformats.org/officeDocument/2006/relationships/image" Target="media/image247.png"/><Relationship Id="rId321" Type="http://schemas.openxmlformats.org/officeDocument/2006/relationships/image" Target="media/image248.png"/><Relationship Id="rId322" Type="http://schemas.openxmlformats.org/officeDocument/2006/relationships/image" Target="media/image249.png"/><Relationship Id="rId323" Type="http://schemas.openxmlformats.org/officeDocument/2006/relationships/image" Target="media/image250.png"/><Relationship Id="rId324" Type="http://schemas.openxmlformats.org/officeDocument/2006/relationships/image" Target="media/image251.png"/><Relationship Id="rId325" Type="http://schemas.openxmlformats.org/officeDocument/2006/relationships/image" Target="media/image252.png"/><Relationship Id="rId326" Type="http://schemas.openxmlformats.org/officeDocument/2006/relationships/image" Target="media/image253.png"/><Relationship Id="rId327" Type="http://schemas.openxmlformats.org/officeDocument/2006/relationships/image" Target="media/image254.png"/><Relationship Id="rId328" Type="http://schemas.openxmlformats.org/officeDocument/2006/relationships/image" Target="media/image255.png"/><Relationship Id="rId329" Type="http://schemas.openxmlformats.org/officeDocument/2006/relationships/image" Target="media/image256.png"/><Relationship Id="rId330" Type="http://schemas.openxmlformats.org/officeDocument/2006/relationships/image" Target="media/image257.png"/><Relationship Id="rId331" Type="http://schemas.openxmlformats.org/officeDocument/2006/relationships/image" Target="media/image258.png"/><Relationship Id="rId332" Type="http://schemas.openxmlformats.org/officeDocument/2006/relationships/image" Target="media/image259.png"/><Relationship Id="rId333" Type="http://schemas.openxmlformats.org/officeDocument/2006/relationships/image" Target="media/image260.png"/><Relationship Id="rId334" Type="http://schemas.openxmlformats.org/officeDocument/2006/relationships/image" Target="media/image261.png"/><Relationship Id="rId335" Type="http://schemas.openxmlformats.org/officeDocument/2006/relationships/image" Target="media/image262.png"/><Relationship Id="rId336" Type="http://schemas.openxmlformats.org/officeDocument/2006/relationships/image" Target="media/image263.png"/><Relationship Id="rId337" Type="http://schemas.openxmlformats.org/officeDocument/2006/relationships/image" Target="media/image264.png"/><Relationship Id="rId338" Type="http://schemas.openxmlformats.org/officeDocument/2006/relationships/image" Target="media/image265.jpeg"/><Relationship Id="rId339" Type="http://schemas.openxmlformats.org/officeDocument/2006/relationships/image" Target="media/image266.png"/><Relationship Id="rId340" Type="http://schemas.openxmlformats.org/officeDocument/2006/relationships/image" Target="media/image267.png"/><Relationship Id="rId341" Type="http://schemas.openxmlformats.org/officeDocument/2006/relationships/image" Target="media/image268.jpeg"/><Relationship Id="rId342" Type="http://schemas.openxmlformats.org/officeDocument/2006/relationships/image" Target="media/image269.png"/><Relationship Id="rId343" Type="http://schemas.openxmlformats.org/officeDocument/2006/relationships/image" Target="media/image270.jpeg"/><Relationship Id="rId344" Type="http://schemas.openxmlformats.org/officeDocument/2006/relationships/image" Target="media/image271.png"/><Relationship Id="rId345" Type="http://schemas.openxmlformats.org/officeDocument/2006/relationships/image" Target="media/image272.png"/><Relationship Id="rId346" Type="http://schemas.openxmlformats.org/officeDocument/2006/relationships/image" Target="media/image273.jpeg"/><Relationship Id="rId347" Type="http://schemas.openxmlformats.org/officeDocument/2006/relationships/image" Target="media/image274.png"/><Relationship Id="rId348" Type="http://schemas.openxmlformats.org/officeDocument/2006/relationships/image" Target="media/image275.jpeg"/><Relationship Id="rId349" Type="http://schemas.openxmlformats.org/officeDocument/2006/relationships/image" Target="media/image276.png"/><Relationship Id="rId350" Type="http://schemas.openxmlformats.org/officeDocument/2006/relationships/image" Target="media/image277.png"/><Relationship Id="rId351" Type="http://schemas.openxmlformats.org/officeDocument/2006/relationships/image" Target="media/image278.jpeg"/><Relationship Id="rId352" Type="http://schemas.openxmlformats.org/officeDocument/2006/relationships/image" Target="media/image279.png"/><Relationship Id="rId353" Type="http://schemas.openxmlformats.org/officeDocument/2006/relationships/image" Target="media/image280.png"/><Relationship Id="rId354" Type="http://schemas.openxmlformats.org/officeDocument/2006/relationships/image" Target="media/image281.jpeg"/><Relationship Id="rId355" Type="http://schemas.openxmlformats.org/officeDocument/2006/relationships/image" Target="media/image282.png"/><Relationship Id="rId356" Type="http://schemas.openxmlformats.org/officeDocument/2006/relationships/image" Target="media/image283.png"/><Relationship Id="rId357" Type="http://schemas.openxmlformats.org/officeDocument/2006/relationships/image" Target="media/image284.png"/><Relationship Id="rId358" Type="http://schemas.openxmlformats.org/officeDocument/2006/relationships/image" Target="media/image285.png"/><Relationship Id="rId359" Type="http://schemas.openxmlformats.org/officeDocument/2006/relationships/image" Target="media/image286.jpeg"/><Relationship Id="rId360" Type="http://schemas.openxmlformats.org/officeDocument/2006/relationships/image" Target="media/image287.png"/><Relationship Id="rId361" Type="http://schemas.openxmlformats.org/officeDocument/2006/relationships/image" Target="media/image288.png"/><Relationship Id="rId362" Type="http://schemas.openxmlformats.org/officeDocument/2006/relationships/image" Target="media/image289.jpeg"/><Relationship Id="rId363" Type="http://schemas.openxmlformats.org/officeDocument/2006/relationships/image" Target="media/image290.png"/><Relationship Id="rId364" Type="http://schemas.openxmlformats.org/officeDocument/2006/relationships/image" Target="media/image291.png"/><Relationship Id="rId365" Type="http://schemas.openxmlformats.org/officeDocument/2006/relationships/image" Target="media/image292.png"/><Relationship Id="rId366" Type="http://schemas.openxmlformats.org/officeDocument/2006/relationships/image" Target="media/image293.png"/><Relationship Id="rId367" Type="http://schemas.openxmlformats.org/officeDocument/2006/relationships/image" Target="media/image294.png"/><Relationship Id="rId368" Type="http://schemas.openxmlformats.org/officeDocument/2006/relationships/image" Target="media/image295.png"/><Relationship Id="rId369" Type="http://schemas.openxmlformats.org/officeDocument/2006/relationships/image" Target="media/image296.png"/><Relationship Id="rId370" Type="http://schemas.openxmlformats.org/officeDocument/2006/relationships/image" Target="media/image297.png"/><Relationship Id="rId371" Type="http://schemas.openxmlformats.org/officeDocument/2006/relationships/image" Target="media/image298.png"/><Relationship Id="rId372" Type="http://schemas.openxmlformats.org/officeDocument/2006/relationships/image" Target="media/image299.png"/><Relationship Id="rId373" Type="http://schemas.openxmlformats.org/officeDocument/2006/relationships/image" Target="media/image300.png"/><Relationship Id="rId374" Type="http://schemas.openxmlformats.org/officeDocument/2006/relationships/image" Target="media/image301.png"/><Relationship Id="rId375" Type="http://schemas.openxmlformats.org/officeDocument/2006/relationships/image" Target="media/image302.png"/><Relationship Id="rId376" Type="http://schemas.openxmlformats.org/officeDocument/2006/relationships/image" Target="media/image303.png"/><Relationship Id="rId377" Type="http://schemas.openxmlformats.org/officeDocument/2006/relationships/image" Target="media/image304.png"/><Relationship Id="rId378" Type="http://schemas.openxmlformats.org/officeDocument/2006/relationships/image" Target="media/image305.png"/><Relationship Id="rId230" Type="http://schemas.openxmlformats.org/officeDocument/2006/relationships/hyperlink" Target="https://www.sec.gov/Archives/edgar/data/1013871/000110465917073701/a17-28575_1ex2d1.htm#Exhibit2_1_040120" TargetMode="External"/><Relationship Id="rId231" Type="http://schemas.openxmlformats.org/officeDocument/2006/relationships/hyperlink" Target="https://www.sec.gov/Archives/edgar/data/1013871/000101387118000011/exhibit2910-k2017.htm" TargetMode="External"/><Relationship Id="rId232" Type="http://schemas.openxmlformats.org/officeDocument/2006/relationships/hyperlink" Target="https://www.sec.gov/Archives/edgar/data/1013871/000101387118000011/exhibit21010-k2017.htm" TargetMode="External"/><Relationship Id="rId233" Type="http://schemas.openxmlformats.org/officeDocument/2006/relationships/hyperlink" Target="https://www.sec.gov/Archives/edgar/data/1013871/000101387121000010/exhibit21-nrgproject_dinox.htm" TargetMode="External"/><Relationship Id="rId234" Type="http://schemas.openxmlformats.org/officeDocument/2006/relationships/hyperlink" Target="https://www.sec.gov/Archives/edgar/data/1013871/000110465922124932/tm2231415d2_ex2-1.htm" TargetMode="External"/><Relationship Id="rId235" Type="http://schemas.openxmlformats.org/officeDocument/2006/relationships/hyperlink" Target="https://www.sec.gov/Archives/edgar/data/1013871/000110465923067085/tm2317549d1_ex2-1.htm" TargetMode="External"/><Relationship Id="rId236" Type="http://schemas.openxmlformats.org/officeDocument/2006/relationships/hyperlink" Target="https://www.sec.gov/Archives/edgar/data/1013871/000101387124000005/exhibit27amendmentno1tostp.htm" TargetMode="External"/><Relationship Id="rId237" Type="http://schemas.openxmlformats.org/officeDocument/2006/relationships/hyperlink" Target="https://www.sec.gov/Archives/edgar/data/1013871/000101387124000005/exhibit28amendmentno2tostp.htm" TargetMode="External"/><Relationship Id="rId238" Type="http://schemas.openxmlformats.org/officeDocument/2006/relationships/hyperlink" Target="https://www.sec.gov/Archives/edgar/data/1013871/000101387124000005/exhibit29amendmentno3tostp.htm" TargetMode="External"/><Relationship Id="rId239" Type="http://schemas.openxmlformats.org/officeDocument/2006/relationships/hyperlink" Target="https://www.sec.gov/Archives/edgar/data/1013871/000110465925049673/tm2514561d2_ex2-1.htm" TargetMode="External"/><Relationship Id="rId240" Type="http://schemas.openxmlformats.org/officeDocument/2006/relationships/hyperlink" Target="https://www.sec.gov/Archives/edgar/data/1013871/000110465925043394/tm2513364d1_ex3-1.htm" TargetMode="External"/><Relationship Id="rId241" Type="http://schemas.openxmlformats.org/officeDocument/2006/relationships/hyperlink" Target="https://www.sec.gov/Archives/edgar/data/1013871/000110465922124084/tm2231415d1_ex3-2.htm" TargetMode="External"/><Relationship Id="rId242" Type="http://schemas.openxmlformats.org/officeDocument/2006/relationships/hyperlink" Target="https://www.sec.gov/Archives/edgar/data/1013871/000110465923030928/tm238056d3_ex3-1.htm" TargetMode="External"/><Relationship Id="rId243" Type="http://schemas.openxmlformats.org/officeDocument/2006/relationships/hyperlink" Target="https://www.sec.gov/Archives/edgar/data/1013871/000095012306009930/y23808exv4w3.htm" TargetMode="External"/><Relationship Id="rId244" Type="http://schemas.openxmlformats.org/officeDocument/2006/relationships/hyperlink" Target="https://www.sec.gov/Archives/edgar/data/1013871/000110465916122668/a16-12000_1ex4d1.htm" TargetMode="External"/><Relationship Id="rId245" Type="http://schemas.openxmlformats.org/officeDocument/2006/relationships/hyperlink" Target="https://www.sec.gov/Archives/edgar/data/1013871/000110465917072529/a17-26165_3ex4d2.htm#Exhibit4_2_110542" TargetMode="External"/><Relationship Id="rId246" Type="http://schemas.openxmlformats.org/officeDocument/2006/relationships/hyperlink" Target="https://www.sec.gov/Archives/edgar/data/1013871/000110465919030025/a19-10048_1ex4d2.htm" TargetMode="External"/><Relationship Id="rId248" Type="http://schemas.openxmlformats.org/officeDocument/2006/relationships/hyperlink" Target="https://www.sec.gov/Archives/edgar/data/1013871/000110465920132413/tm2037559d1_ex4-5.htm" TargetMode="External"/><Relationship Id="rId249" Type="http://schemas.openxmlformats.org/officeDocument/2006/relationships/hyperlink" Target="https://www.sec.gov/Archives/edgar/data/1013871/000110465920132413/tm2037559d1_ex4-6.htm" TargetMode="External"/><Relationship Id="rId250" Type="http://schemas.openxmlformats.org/officeDocument/2006/relationships/hyperlink" Target="https://www.sec.gov/Archives/edgar/data/1013871/000110465921108598/tm2124156d3_ex4-2.htm" TargetMode="External"/><Relationship Id="rId251" Type="http://schemas.openxmlformats.org/officeDocument/2006/relationships/hyperlink" Target="https://www.sec.gov/Archives/edgar/data/1013871/000110465924113526/tm2427141d1_ex4-1.htm" TargetMode="External"/><Relationship Id="rId252" Type="http://schemas.openxmlformats.org/officeDocument/2006/relationships/hyperlink" Target="https://www.sec.gov/Archives/edgar/data/1013871/000110465924113526/tm2427141d1_ex4-2.htm" TargetMode="External"/><Relationship Id="rId253" Type="http://schemas.openxmlformats.org/officeDocument/2006/relationships/hyperlink" Target="https://www.sec.gov/Archives/edgar/data/1013871/000110465925097932/tm2528192d1_ex4-5.htm" TargetMode="External"/><Relationship Id="rId254" Type="http://schemas.openxmlformats.org/officeDocument/2006/relationships/hyperlink" Target="https://www.sec.gov/Archives/edgar/data/1013871/000110465925097932/tm2528192d1_ex4-6.htm" TargetMode="External"/><Relationship Id="rId255" Type="http://schemas.openxmlformats.org/officeDocument/2006/relationships/hyperlink" Target="https://www.sec.gov/Archives/edgar/data/1013871/000110465919032763/a19-10735_1ex4d1.htm" TargetMode="External"/><Relationship Id="rId256" Type="http://schemas.openxmlformats.org/officeDocument/2006/relationships/hyperlink" Target="https://www.sec.gov/Archives/edgar/data/1013871/000110465919032763/a19-10735_1ex4d2.htm" TargetMode="External"/><Relationship Id="rId257" Type="http://schemas.openxmlformats.org/officeDocument/2006/relationships/hyperlink" Target="https://www.sec.gov/Archives/edgar/data/1013871/000110465920132413/tm2037559d1_ex4-1.htm" TargetMode="External"/><Relationship Id="rId258" Type="http://schemas.openxmlformats.org/officeDocument/2006/relationships/hyperlink" Target="https://www.sec.gov/Archives/edgar/data/1013871/000110465920132413/tm2037559d1_ex4-2.htm" TargetMode="External"/><Relationship Id="rId259" Type="http://schemas.openxmlformats.org/officeDocument/2006/relationships/hyperlink" Target="https://www.sec.gov/Archives/edgar/data/1013871/000110465923030928/tm238056d3_ex4-2.htm" TargetMode="External"/><Relationship Id="rId260" Type="http://schemas.openxmlformats.org/officeDocument/2006/relationships/hyperlink" Target="https://www.sec.gov/Archives/edgar/data/1013871/000110465923096577/tm2325038d1_ex4-4.htm" TargetMode="External"/><Relationship Id="rId261" Type="http://schemas.openxmlformats.org/officeDocument/2006/relationships/hyperlink" Target="https://www.sec.gov/Archives/edgar/data/1013871/000110465923096577/tm2325038d1_ex4-5.htm" TargetMode="External"/><Relationship Id="rId262" Type="http://schemas.openxmlformats.org/officeDocument/2006/relationships/hyperlink" Target="https://www.sec.gov/Archives/edgar/data/1013871/000110465925097932/tm2528192d1_ex4-1.htm" TargetMode="External"/><Relationship Id="rId263" Type="http://schemas.openxmlformats.org/officeDocument/2006/relationships/hyperlink" Target="https://www.sec.gov/Archives/edgar/data/1013871/000110465925097932/tm2528192d1_ex4-2.htm" TargetMode="External"/><Relationship Id="rId265" Type="http://schemas.openxmlformats.org/officeDocument/2006/relationships/hyperlink" Target="https://www.sec.gov/Archives/edgar/data/1013871/000110465926008567/tm264311d1_ex4-2.htm" TargetMode="External"/><Relationship Id="rId266" Type="http://schemas.openxmlformats.org/officeDocument/2006/relationships/hyperlink" Target="https://www.sec.gov/Archives/edgar/data/1013871/000110465926008567/tm264311d1_ex4-1.htm" TargetMode="External"/><Relationship Id="rId267" Type="http://schemas.openxmlformats.org/officeDocument/2006/relationships/hyperlink" Target="https://www.sec.gov/Archives/edgar/data/1013871/000101387124000015/ex103amendedandrestatedlon.htm" TargetMode="External"/><Relationship Id="rId268" Type="http://schemas.openxmlformats.org/officeDocument/2006/relationships/hyperlink" Target="https://www.sec.gov/Archives/edgar/data/1013871/000101387124000005/exhibit1024n2024rsu_all.htm" TargetMode="External"/><Relationship Id="rId269" Type="http://schemas.openxmlformats.org/officeDocument/2006/relationships/hyperlink" Target="https://www.sec.gov/Archives/edgar/data/1013871/000095013405006359/c92903exv10w15.htm" TargetMode="External"/><Relationship Id="rId270" Type="http://schemas.openxmlformats.org/officeDocument/2006/relationships/hyperlink" Target="https://www.sec.gov/Archives/edgar/data/1013871/000101387124000005/exhibit1023n2024rpsu_evpxs.htm" TargetMode="External"/><Relationship Id="rId271" Type="http://schemas.openxmlformats.org/officeDocument/2006/relationships/hyperlink" Target="https://www.sec.gov/Archives/edgar/data/1013871/000101387124000005/exhibit1025nrgrsuceo.htm" TargetMode="External"/><Relationship Id="rId272" Type="http://schemas.openxmlformats.org/officeDocument/2006/relationships/hyperlink" Target="https://www.sec.gov/Archives/edgar/data/1013871/000101387125000006/exhibit10102024rpsu_ceo.htm" TargetMode="External"/><Relationship Id="rId273" Type="http://schemas.openxmlformats.org/officeDocument/2006/relationships/hyperlink" Target="https://www.sec.gov/Archives/edgar/data/1013871/000101387125000006/exhibit1011nrg-2025rsugran.htm" TargetMode="External"/><Relationship Id="rId274" Type="http://schemas.openxmlformats.org/officeDocument/2006/relationships/hyperlink" Target="https://www.sec.gov/Archives/edgar/data/1013871/000101387125000006/exhibit1012nrg-2025rpsugra.htm" TargetMode="External"/><Relationship Id="rId275" Type="http://schemas.openxmlformats.org/officeDocument/2006/relationships/hyperlink" Target="https://www.sec.gov/Archives/edgar/data/1713952/000119312520083834/d823728dex44.htm" TargetMode="External"/><Relationship Id="rId276" Type="http://schemas.openxmlformats.org/officeDocument/2006/relationships/hyperlink" Target="https://www.sec.gov/Archives/edgar/data/1013871/000101387123000017/exhibit101amendmenttovivin.htm" TargetMode="External"/><Relationship Id="rId277" Type="http://schemas.openxmlformats.org/officeDocument/2006/relationships/hyperlink" Target="https://www.sec.gov/Archives/edgar/data/1013871/000101387125000006/exhibit1015secondamendment.htm" TargetMode="External"/><Relationship Id="rId279" Type="http://schemas.openxmlformats.org/officeDocument/2006/relationships/hyperlink" Target="https://www.sec.gov/Archives/edgar/data/1013871/000101387123000012/exhibit103rsu.htm" TargetMode="External"/><Relationship Id="rId280" Type="http://schemas.openxmlformats.org/officeDocument/2006/relationships/hyperlink" Target="https://www.sec.gov/Archives/edgar/data/1013871/000101387124000005/exhibit1030vivintsmarthome.htm" TargetMode="External"/><Relationship Id="rId281" Type="http://schemas.openxmlformats.org/officeDocument/2006/relationships/hyperlink" Target="https://www.sec.gov/Archives/edgar/data/1013871/000101387123000012/exhibit102evp_rpsu.htm" TargetMode="External"/><Relationship Id="rId282" Type="http://schemas.openxmlformats.org/officeDocument/2006/relationships/hyperlink" Target="https://www.sec.gov/Archives/edgar/data/1013871/000101387124000005/exhibit1029vivintrpsuandno.htm" TargetMode="External"/><Relationship Id="rId283" Type="http://schemas.openxmlformats.org/officeDocument/2006/relationships/hyperlink" Target="https://www.sec.gov/Archives/edgar/data/1013871/000104746915004516/a2224672zex-10_1.htm" TargetMode="External"/><Relationship Id="rId284" Type="http://schemas.openxmlformats.org/officeDocument/2006/relationships/hyperlink" Target="https://www.sec.gov/Archives/edgar/data/1013871/000101387124000005/exhibit1010amendedandresta.htm" TargetMode="External"/><Relationship Id="rId285" Type="http://schemas.openxmlformats.org/officeDocument/2006/relationships/hyperlink" Target="https://www.sec.gov/Archives/edgar/data/1013871/000101387125000020/exhibit104nrg-amendedandre.htm" TargetMode="External"/><Relationship Id="rId286" Type="http://schemas.openxmlformats.org/officeDocument/2006/relationships/hyperlink" Target="https://www.sec.gov/Archives/edgar/data/1013871/000110465924084617/tm2420624d1_ex10-1.htm" TargetMode="External"/><Relationship Id="rId287" Type="http://schemas.openxmlformats.org/officeDocument/2006/relationships/hyperlink" Target="https://www.sec.gov/Archives/edgar/data/1013871/000110465925070834/tm2521733d1_ex10-1.htm" TargetMode="External"/><Relationship Id="rId288" Type="http://schemas.openxmlformats.org/officeDocument/2006/relationships/hyperlink" Target="https://www.sec.gov/Archives/edgar/data/1013871/000110465926008567/tm264311d1_ex10-1.htm" TargetMode="External"/><Relationship Id="rId289" Type="http://schemas.openxmlformats.org/officeDocument/2006/relationships/hyperlink" Target="https://www.sec.gov/Archives/edgar/data/1013871/000110465920108346/tm2031673d1_ex10-1.htm" TargetMode="External"/><Relationship Id="rId290" Type="http://schemas.openxmlformats.org/officeDocument/2006/relationships/hyperlink" Target="https://www.sec.gov/Archives/edgar/data/1013871/000101387125000020/exhibit103nrgamendmentno5t.htm" TargetMode="External"/><Relationship Id="rId292" Type="http://schemas.openxmlformats.org/officeDocument/2006/relationships/hyperlink" Target="https://www.sec.gov/Archives/edgar/data/1013871/000101387125000025/exhibit101-tefxxmushuxxequ.htm" TargetMode="External"/><Relationship Id="rId293" Type="http://schemas.openxmlformats.org/officeDocument/2006/relationships/hyperlink" Target="https://www.sec.gov/Archives/edgar/data/1013871/000101387125000025/exhibit102-tefxxmushuxxcre.htm" TargetMode="External"/><Relationship Id="rId294" Type="http://schemas.openxmlformats.org/officeDocument/2006/relationships/hyperlink" Target="https://www.sec.gov/Archives/edgar/data/1013871/000110465924074049/tm2417820d1_ex10-2.htm" TargetMode="External"/><Relationship Id="rId295" Type="http://schemas.openxmlformats.org/officeDocument/2006/relationships/hyperlink" Target="https://www.sec.gov/Archives/edgar/data/1013871/000110465923096577/tm2325038d1_ex4-1.htm" TargetMode="External"/><Relationship Id="rId296" Type="http://schemas.openxmlformats.org/officeDocument/2006/relationships/hyperlink" Target="https://www.sec.gov/Archives/edgar/data/1013871/000110465923096577/tm2325038d1_ex4-2.htm" TargetMode="External"/><Relationship Id="rId297" Type="http://schemas.openxmlformats.org/officeDocument/2006/relationships/hyperlink" Target="https://www.sec.gov/Archives/edgar/data/1013871/000110465923096577/tm2325038d1_ex4-3.htm" TargetMode="External"/><Relationship Id="rId298" Type="http://schemas.openxmlformats.org/officeDocument/2006/relationships/hyperlink" Target="https://www.sec.gov/Archives/edgar/data/1567683/000156768318000008/yieldincex1034201710-k.htm" TargetMode="External"/><Relationship Id="rId299" Type="http://schemas.openxmlformats.org/officeDocument/2006/relationships/hyperlink" Target="https://www.sec.gov/Archives/edgar/data/1013871/000101387124000005/exhibit97nrg-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2026-02-24T15:25:24Z</dcterms:created>
  <dcterms:modified xsi:type="dcterms:W3CDTF">2026-02-24T15:25:24Z</dcterms:modified>
</cp:coreProperties>
</file>