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Liyanearachchi Dak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CARNEGIE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NRG ENERGY, INC.</w:t>
              </w:r>
            </w:hyperlink>
            <w:r>
              <w:rPr/>
              <w:t xml:space="preserve"> [ </w:t>
            </w:r>
            <w:r>
              <w:rPr>
                <w:rFonts w:ascii="Times;serif" w:hAnsi="Times;serif"/>
                <w:color w:val="0000FF"/>
                <w:sz w:val="24"/>
                <w:shd w:fill="FFFFFF" w:val="clear"/>
              </w:rPr>
              <w:t>NRG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 VP, Chief Technology Ofc.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63,703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accrued on the Reporting Person's deferred stock units and/or restricted stock units, which become exercisable proportionately with the underlying units to which they relate and may only be settled in NRG common stock. Each dividend equivalent right is the economic equivalent of one share of NRG common stock. Includes 175 dividend equivalent rights.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Christine Zoino,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9789" TargetMode="External"/><Relationship Id="rId5" Type="http://schemas.openxmlformats.org/officeDocument/2006/relationships/hyperlink" Target="http://www.sec.gov/cgi-bin/browse-edgar?action=getcompany&amp;CIK=00010138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3430</Characters>
  <CharactersWithSpaces>3991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