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0002048902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NRG ENERGY,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001-15891</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1301 MCKINNEY STREET</w:t>
              <w:br/>
              <w:t>HOUSTON</w:t>
              <w:br/>
              <w:t xml:space="preserve">TEXAS </w:t>
              <w:br/>
              <w:t>77010</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713-537-3000</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Kinney Virginia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25"/>
        <w:gridCol w:w="1135"/>
        <w:gridCol w:w="1427"/>
        <w:gridCol w:w="1522"/>
        <w:gridCol w:w="1549"/>
        <w:gridCol w:w="1346"/>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25"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42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25" w:type="dxa"/>
            <w:tcBorders/>
            <w:vAlign w:val="center"/>
          </w:tcPr>
          <w:p>
            <w:pPr>
              <w:pStyle w:val="TableContents"/>
              <w:bidi w:val="0"/>
              <w:spacing w:before="0" w:after="0"/>
              <w:jc w:val="left"/>
              <w:rPr/>
            </w:pPr>
            <w:r>
              <w:rPr/>
              <w:t>Raymond James &amp; Associates</w:t>
              <w:br/>
              <w:t>880 Carillon Parkway</w:t>
              <w:br/>
              <w:t>St. Petersburg   FL   33716</w:t>
            </w:r>
          </w:p>
        </w:tc>
        <w:tc>
          <w:tcPr>
            <w:tcW w:w="1135" w:type="dxa"/>
            <w:tcBorders/>
            <w:vAlign w:val="center"/>
          </w:tcPr>
          <w:p>
            <w:pPr>
              <w:pStyle w:val="TableContents"/>
              <w:bidi w:val="0"/>
              <w:spacing w:before="0" w:after="283"/>
              <w:jc w:val="left"/>
              <w:rPr/>
            </w:pPr>
            <w:r>
              <w:rPr/>
              <w:t>11145</w:t>
            </w:r>
          </w:p>
        </w:tc>
        <w:tc>
          <w:tcPr>
            <w:tcW w:w="1427" w:type="dxa"/>
            <w:tcBorders/>
            <w:vAlign w:val="center"/>
          </w:tcPr>
          <w:p>
            <w:pPr>
              <w:pStyle w:val="TableContents"/>
              <w:bidi w:val="0"/>
              <w:spacing w:before="0" w:after="283"/>
              <w:jc w:val="left"/>
              <w:rPr/>
            </w:pPr>
            <w:r>
              <w:rPr/>
              <w:t>1542022.20</w:t>
            </w:r>
          </w:p>
        </w:tc>
        <w:tc>
          <w:tcPr>
            <w:tcW w:w="1522" w:type="dxa"/>
            <w:tcBorders/>
            <w:vAlign w:val="center"/>
          </w:tcPr>
          <w:p>
            <w:pPr>
              <w:pStyle w:val="TableContents"/>
              <w:bidi w:val="0"/>
              <w:spacing w:before="0" w:after="283"/>
              <w:jc w:val="left"/>
              <w:rPr/>
            </w:pPr>
            <w:r>
              <w:rPr/>
              <w:t>210986470</w:t>
            </w:r>
          </w:p>
        </w:tc>
        <w:tc>
          <w:tcPr>
            <w:tcW w:w="1549" w:type="dxa"/>
            <w:tcBorders/>
            <w:vAlign w:val="center"/>
          </w:tcPr>
          <w:p>
            <w:pPr>
              <w:pStyle w:val="TableContents"/>
              <w:bidi w:val="0"/>
              <w:spacing w:before="0" w:after="283"/>
              <w:jc w:val="left"/>
              <w:rPr/>
            </w:pPr>
            <w:r>
              <w:rPr/>
              <w:t>07/15/2026</w:t>
            </w:r>
          </w:p>
        </w:tc>
        <w:tc>
          <w:tcPr>
            <w:tcW w:w="134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01/02/2026</w:t>
            </w:r>
          </w:p>
        </w:tc>
        <w:tc>
          <w:tcPr>
            <w:tcW w:w="1505" w:type="dxa"/>
            <w:tcBorders/>
            <w:vAlign w:val="center"/>
          </w:tcPr>
          <w:p>
            <w:pPr>
              <w:pStyle w:val="TableContents"/>
              <w:bidi w:val="0"/>
              <w:spacing w:before="0" w:after="283"/>
              <w:jc w:val="left"/>
              <w:rPr/>
            </w:pPr>
            <w:r>
              <w:rPr/>
              <w:t>Acquired as Comp</w:t>
            </w:r>
          </w:p>
        </w:tc>
        <w:tc>
          <w:tcPr>
            <w:tcW w:w="1218" w:type="dxa"/>
            <w:tcBorders/>
            <w:vAlign w:val="center"/>
          </w:tcPr>
          <w:p>
            <w:pPr>
              <w:pStyle w:val="TableContents"/>
              <w:bidi w:val="0"/>
              <w:spacing w:before="0" w:after="283"/>
              <w:jc w:val="left"/>
              <w:rPr/>
            </w:pPr>
            <w:r>
              <w:rPr/>
              <w:t>NRG</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11145</w:t>
            </w:r>
          </w:p>
        </w:tc>
        <w:tc>
          <w:tcPr>
            <w:tcW w:w="1078" w:type="dxa"/>
            <w:tcBorders/>
            <w:vAlign w:val="center"/>
          </w:tcPr>
          <w:p>
            <w:pPr>
              <w:pStyle w:val="TableContents"/>
              <w:bidi w:val="0"/>
              <w:spacing w:before="0" w:after="283"/>
              <w:jc w:val="left"/>
              <w:rPr/>
            </w:pPr>
            <w:r>
              <w:rPr/>
              <w:t>01/02/2026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Virginia Kinney,</w:t>
              <w:br/>
              <w:t>2318 Persa St</w:t>
              <w:br/>
              <w:t>Houston   TX   77019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20000</w:t>
            </w:r>
          </w:p>
        </w:tc>
        <w:tc>
          <w:tcPr>
            <w:tcW w:w="1852" w:type="dxa"/>
            <w:tcBorders/>
            <w:vAlign w:val="center"/>
          </w:tcPr>
          <w:p>
            <w:pPr>
              <w:pStyle w:val="TableContents"/>
              <w:bidi w:val="0"/>
              <w:spacing w:before="0" w:after="283"/>
              <w:jc w:val="left"/>
              <w:rPr/>
            </w:pPr>
            <w:r>
              <w:rPr/>
              <w:t>2550162.00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2"/>
        <w:gridCol w:w="6313"/>
      </w:tblGrid>
      <w:tr>
        <w:trPr/>
        <w:tc>
          <w:tcPr>
            <w:tcW w:w="3892" w:type="dxa"/>
            <w:tcBorders/>
            <w:vAlign w:val="center"/>
          </w:tcPr>
          <w:p>
            <w:pPr>
              <w:pStyle w:val="TableContents"/>
              <w:bidi w:val="0"/>
              <w:spacing w:before="0" w:after="283"/>
              <w:jc w:val="left"/>
              <w:rPr/>
            </w:pPr>
            <w:r>
              <w:rPr/>
              <w:t>Remarks</w:t>
            </w:r>
          </w:p>
        </w:tc>
        <w:tc>
          <w:tcPr>
            <w:tcW w:w="6313" w:type="dxa"/>
            <w:tcBorders/>
            <w:vAlign w:val="center"/>
          </w:tcPr>
          <w:p>
            <w:pPr>
              <w:pStyle w:val="TableContents"/>
              <w:bidi w:val="0"/>
              <w:spacing w:before="0" w:after="283"/>
              <w:jc w:val="left"/>
              <w:rPr>
                <w:sz w:val="4"/>
                <w:szCs w:val="4"/>
              </w:rPr>
            </w:pPr>
            <w:r>
              <w:rPr>
                <w:sz w:val="4"/>
                <w:szCs w:val="4"/>
              </w:rPr>
            </w:r>
          </w:p>
        </w:tc>
      </w:tr>
      <w:tr>
        <w:trPr/>
        <w:tc>
          <w:tcPr>
            <w:tcW w:w="3892" w:type="dxa"/>
            <w:tcBorders/>
            <w:vAlign w:val="center"/>
          </w:tcPr>
          <w:p>
            <w:pPr>
              <w:pStyle w:val="TableContents"/>
              <w:bidi w:val="0"/>
              <w:spacing w:before="0" w:after="283"/>
              <w:jc w:val="left"/>
              <w:rPr/>
            </w:pPr>
            <w:r>
              <w:rPr/>
              <w:t>Date of Notice</w:t>
            </w:r>
          </w:p>
        </w:tc>
        <w:tc>
          <w:tcPr>
            <w:tcW w:w="6313" w:type="dxa"/>
            <w:tcBorders/>
            <w:vAlign w:val="center"/>
          </w:tcPr>
          <w:p>
            <w:pPr>
              <w:pStyle w:val="TableContents"/>
              <w:bidi w:val="0"/>
              <w:spacing w:before="0" w:after="0"/>
              <w:jc w:val="left"/>
              <w:rPr/>
            </w:pPr>
            <w:r>
              <w:rPr/>
              <w:t>07/15/2026</w:t>
            </w:r>
          </w:p>
        </w:tc>
      </w:tr>
      <w:tr>
        <w:trPr/>
        <w:tc>
          <w:tcPr>
            <w:tcW w:w="3892" w:type="dxa"/>
            <w:tcBorders/>
            <w:vAlign w:val="center"/>
          </w:tcPr>
          <w:p>
            <w:pPr>
              <w:pStyle w:val="TableContents"/>
              <w:bidi w:val="0"/>
              <w:spacing w:before="0" w:after="283"/>
              <w:jc w:val="left"/>
              <w:rPr/>
            </w:pPr>
            <w:r>
              <w:rPr/>
              <w:t>Date of Plan Adoption or Giving of Instruction, If Relying on Rule 10b5-1</w:t>
            </w:r>
          </w:p>
        </w:tc>
        <w:tc>
          <w:tcPr>
            <w:tcW w:w="6313"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2" w:type="dxa"/>
            <w:tcBorders/>
            <w:vAlign w:val="center"/>
          </w:tcPr>
          <w:p>
            <w:pPr>
              <w:pStyle w:val="TableContents"/>
              <w:bidi w:val="0"/>
              <w:spacing w:before="0" w:after="283"/>
              <w:jc w:val="left"/>
              <w:rPr/>
            </w:pPr>
            <w:r>
              <w:rPr/>
              <w:t>Signature</w:t>
            </w:r>
          </w:p>
        </w:tc>
        <w:tc>
          <w:tcPr>
            <w:tcW w:w="6313" w:type="dxa"/>
            <w:tcBorders/>
            <w:vAlign w:val="center"/>
          </w:tcPr>
          <w:p>
            <w:pPr>
              <w:pStyle w:val="TableContents"/>
              <w:bidi w:val="0"/>
              <w:spacing w:before="0" w:after="0"/>
              <w:jc w:val="left"/>
              <w:rPr/>
            </w:pPr>
            <w:r>
              <w:rPr/>
              <w:t>Rashida Mitchell, as duly authorized representative of Raymond James &amp; Associates, Inc., as attorney-in-fact for Virginia Kinney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3170</Characters>
  <CharactersWithSpaces>3733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