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NRG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001-15891</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41-1724239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420" w:space="720"/>
            <w:col w:w="2400"/>
          </w:cols>
          <w:pgMar w:left="320" w:top="727" w:right="339" w:bottom="1440" w:gutter="0" w:footer="0" w:header="0"/>
          <w:type w:val="continuous"/>
        </w:sectPr>
      </w:pP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910 Louisiana Street, Houston, Texas 77002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537-3000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NRG</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under Item 5.03 below is hereby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(the “Annual Meeting”) of NRG Energy, Inc. (the “Company”) held on May 1, 2025, the Company’s stockholders approved the amendment and restatement of the Company’s Amended and Restated Certificate of Incorporation (the “Restated Charter”) to (i) eliminate supermajority voting requirements applicable to the Company’s common stock; (ii) remove obsolete references to a classified board and specify the standard for removal of directors in accordance with Delaware law; and (iii) make other technical and administrative updates. The Company filed the Restated Charter with the Secretary of State of the State of Delaware on May 1, 2025.</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Restated Charter is qualified in its entirety by reference to the full text of such document, a copy of which is filed herewith as Exhibit 3.1 and incorporated by reference into this Item 5.03.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on May 1, 2025, at which the Company’s stockholders voted on the following proposals, which are described in further detail in the Company’s definitive proxy statement on Schedule 14A filed with the SEC on March 19, 2025. Set forth below are the final voting results for each of the proposals submitted to a vote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Proposal 1 — Election of eleven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 Spencer Abraham</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155,780,924</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6,936,476</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98,343</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Antonio Carrillo</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161,993,426</w:t>
            </w:r>
          </w:p>
        </w:tc>
        <w:tc>
          <w:tcPr>
            <w:tcW w:w="22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709,239</w:t>
            </w:r>
          </w:p>
        </w:tc>
        <w:tc>
          <w:tcPr>
            <w:tcW w:w="2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113,078</w:t>
            </w:r>
          </w:p>
        </w:tc>
        <w:tc>
          <w:tcPr>
            <w:tcW w:w="200" w:type="dxa"/>
            <w:vAlign w:val="bottom"/>
          </w:tcPr>
          <w:p>
            <w:pPr>
              <w:spacing w:after="0"/>
              <w:rPr>
                <w:sz w:val="18"/>
                <w:szCs w:val="18"/>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Carter, Jr.</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161,473,329</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1,231,222</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111,192</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S. Coben</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158,351,939</w:t>
            </w:r>
          </w:p>
        </w:tc>
        <w:tc>
          <w:tcPr>
            <w:tcW w:w="220" w:type="dxa"/>
            <w:vAlign w:val="bottom"/>
          </w:tcPr>
          <w:p>
            <w:pPr>
              <w:spacing w:after="0"/>
              <w:rPr>
                <w:sz w:val="18"/>
                <w:szCs w:val="18"/>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4,331,264</w:t>
            </w:r>
          </w:p>
        </w:tc>
        <w:tc>
          <w:tcPr>
            <w:tcW w:w="2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132,540</w:t>
            </w:r>
          </w:p>
        </w:tc>
        <w:tc>
          <w:tcPr>
            <w:tcW w:w="200" w:type="dxa"/>
            <w:vAlign w:val="bottom"/>
          </w:tcPr>
          <w:p>
            <w:pPr>
              <w:spacing w:after="0"/>
              <w:rPr>
                <w:sz w:val="18"/>
                <w:szCs w:val="18"/>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Heather Cox</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154,279,236</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8,273,748</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262,759</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Elisabeth B. Donohue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161,633,121</w:t>
            </w:r>
          </w:p>
        </w:tc>
        <w:tc>
          <w:tcPr>
            <w:tcW w:w="220" w:type="dxa"/>
            <w:vAlign w:val="bottom"/>
          </w:tcPr>
          <w:p>
            <w:pPr>
              <w:spacing w:after="0"/>
              <w:rPr>
                <w:sz w:val="18"/>
                <w:szCs w:val="18"/>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1,074,350</w:t>
            </w:r>
          </w:p>
        </w:tc>
        <w:tc>
          <w:tcPr>
            <w:tcW w:w="2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108,272</w:t>
            </w:r>
          </w:p>
        </w:tc>
        <w:tc>
          <w:tcPr>
            <w:tcW w:w="200" w:type="dxa"/>
            <w:vAlign w:val="bottom"/>
          </w:tcPr>
          <w:p>
            <w:pPr>
              <w:spacing w:after="0"/>
              <w:rPr>
                <w:sz w:val="18"/>
                <w:szCs w:val="18"/>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Marwan Fawaz</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161,905,599</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796,474</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113,670</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 Howell</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162,181,667</w:t>
            </w:r>
          </w:p>
        </w:tc>
        <w:tc>
          <w:tcPr>
            <w:tcW w:w="22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534,687</w:t>
            </w:r>
          </w:p>
        </w:tc>
        <w:tc>
          <w:tcPr>
            <w:tcW w:w="2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99,389</w:t>
            </w:r>
          </w:p>
        </w:tc>
        <w:tc>
          <w:tcPr>
            <w:tcW w:w="200" w:type="dxa"/>
            <w:vAlign w:val="bottom"/>
          </w:tcPr>
          <w:p>
            <w:pPr>
              <w:spacing w:after="0"/>
              <w:rPr>
                <w:sz w:val="18"/>
                <w:szCs w:val="18"/>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Pourbaix</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157,203,277</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5,498,105</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114,361</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Alexandra Pruner</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159,848,739</w:t>
            </w:r>
          </w:p>
        </w:tc>
        <w:tc>
          <w:tcPr>
            <w:tcW w:w="220" w:type="dxa"/>
            <w:vAlign w:val="bottom"/>
          </w:tcPr>
          <w:p>
            <w:pPr>
              <w:spacing w:after="0"/>
              <w:rPr>
                <w:sz w:val="18"/>
                <w:szCs w:val="18"/>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2,856,897</w:t>
            </w:r>
          </w:p>
        </w:tc>
        <w:tc>
          <w:tcPr>
            <w:tcW w:w="2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110,107</w:t>
            </w:r>
          </w:p>
        </w:tc>
        <w:tc>
          <w:tcPr>
            <w:tcW w:w="200" w:type="dxa"/>
            <w:vAlign w:val="bottom"/>
          </w:tcPr>
          <w:p>
            <w:pPr>
              <w:spacing w:after="0"/>
              <w:rPr>
                <w:sz w:val="18"/>
                <w:szCs w:val="18"/>
                <w:color w:val="auto"/>
              </w:rPr>
            </w:pP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Marcie C. Zlotnik</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161,935,230</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771,405</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109,108</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respect to the foregoing Proposal 1, all eleven directors were elected and each received the affirmative vote of a majority of the votes cast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Proposal 2 — Advisory vote on the compensation of the Company’s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156,422,984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6,046,734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346,025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2 was approved.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52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Ratification of the appointment of KPMG LLP as the Company’s independent registered public accounting firm for the 2025 fiscal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169,768,269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5,976,895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105,011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3 was approved.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Proposal 4 — Approval of the Restated Charter to eliminate supermajority voting requirements.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162,323,997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350,415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141,331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13,034,432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4 was approved.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8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8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Number</w:t>
            </w:r>
          </w:p>
        </w:tc>
        <w:tc>
          <w:tcPr>
            <w:tcW w:w="760" w:type="dxa"/>
            <w:vAlign w:val="bottom"/>
          </w:tcPr>
          <w:p>
            <w:pPr>
              <w:spacing w:after="0"/>
              <w:rPr>
                <w:sz w:val="17"/>
                <w:szCs w:val="17"/>
                <w:color w:val="auto"/>
              </w:rPr>
            </w:pPr>
          </w:p>
        </w:tc>
        <w:tc>
          <w:tcPr>
            <w:tcW w:w="8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Description</w:t>
            </w:r>
          </w:p>
        </w:tc>
        <w:tc>
          <w:tcPr>
            <w:tcW w:w="9020" w:type="dxa"/>
            <w:vAlign w:val="bottom"/>
            <w:gridSpan w:val="2"/>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NRG Energy, Inc., dated May 1,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60" w:type="dxa"/>
            <w:vAlign w:val="bottom"/>
            <w:gridSpan w:val="2"/>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702"/>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NRG Energy,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Christine A. Zoino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Christine A. Zoino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Pursuant to Sections 242 and 245 of the Delaware General Corporation Law, </w:t>
      </w:r>
      <w:r>
        <w:rPr>
          <w:rFonts w:ascii="Times New Roman" w:cs="Times New Roman" w:eastAsia="Times New Roman" w:hAnsi="Times New Roman"/>
          <w:sz w:val="18"/>
          <w:szCs w:val="18"/>
          <w:color w:val="auto"/>
        </w:rPr>
        <w:t>NRG Energy,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existing under the laws of the State of Delaware, the date of the filing of its original Certificate of Incorporation with the Secretary of State of Delaware (the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being May 29, 1992, as such Certificate of Incorporation was amended and restated by that Amended and Restated Certificate of Incorporation filed with the Secretary of State on May 1, 2012 and further amended by that Certificate of Amendment of Amended and Restated Certificate of Incorporation filed with the Secretary of State on December 14, 2012, and as further amended by that Certificate of Designation filed with the Secretary of State on March 9, 2023 hereby certifies as 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NRG Energy,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Delaware General Corporation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510,000,000 shares, consisting of:</w:t>
      </w:r>
    </w:p>
    <w:p>
      <w:pPr>
        <w:spacing w:after="0" w:line="162" w:lineRule="exact"/>
        <w:rPr>
          <w:sz w:val="20"/>
          <w:szCs w:val="20"/>
          <w:color w:val="auto"/>
        </w:rPr>
      </w:pPr>
    </w:p>
    <w:p>
      <w:pPr>
        <w:jc w:val="both"/>
        <w:ind w:left="1880" w:hanging="576"/>
        <w:spacing w:after="0" w:line="261" w:lineRule="auto"/>
        <w:tabs>
          <w:tab w:leader="none" w:pos="1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of which 650,000 has been designated as “10.25% Series A Fixed-Rate Reset Cumulative Redeemable Perpetual Preferred Stock” pursuant to that Certificate of Designation filed with the Secretary of State of Delaware on March 9, 2023,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the same may be amended or restated from time to time and the terms of which are hereby incorporated herein by reference; and</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Common Stock, par value $.01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Preferred Stock and the Common Stock shall have the rights, preferences and limitations set forth below.</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firstLine="656"/>
        <w:spacing w:after="0" w:line="256" w:lineRule="auto"/>
        <w:tabs>
          <w:tab w:leader="none" w:pos="1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xml:space="preserve"> Except as otherwise provided by the Delaware General Corporation Law or this Certificate of Incorporation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the holders of Common Stock, subject to the rights of holders of any series of Preferred Stock, shall share ratably in all dividends as may from time to time be declared by the Board of Directors of the Corporation in respect of the Common Stock out of funds legally available for the payment thereof and payable in cash, stock or otherwise, and in all other distributions (including, without limitation, the dissolution, liquidation and winding up of the Corporation), whether in respect of liquidation or dissolution (voluntary or involuntary) or otherwise, after payment of liabilities and liquidation preference on any outstanding Preferred Stock.</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56"/>
        <w:spacing w:after="0" w:line="266" w:lineRule="auto"/>
        <w:tabs>
          <w:tab w:leader="none" w:pos="14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Except as otherwise provided by the Delaware General Corporation Law or this Certificate and subject to the rights of holders of any series of Preferred Stock, all of the voting power of the stockholders of the Corporation shall be vested in the holders of the Common Stock, and each holder of Common Stock shall have one vote for each share held by such holder on all matters voted upon by the stockholders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provided by the Certificate of Incorporation (including any duly authorized certificate of designation of any series of Preferred Stock), each Director shall be elected by the vote of the majority of the votes cast with respect to that Director's election at any meeting for the election of Directors at which a quorum is present, provided that if the number of nominees at any such meeting exceeds the number of Directors to be elected at the meeting, the Directors shall be elected by the vote of a plurality of the shares represented in person or by proxy at any such meeting and entitled to vote on the election of Directors. For purposes of this Article, a majority of the votes cast means that the number of shares voted “for” a Director must exceed the number of votes cast “against” that Director.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Newly created directorships resulting from an increase in the size of the Board of Directors may be filled by the affirmative vote of a majority of the total number of Directors then in office or by vote of the stockholders.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of the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Indemnification; Limitation of Liability.</w:t>
      </w:r>
    </w:p>
    <w:p>
      <w:pPr>
        <w:spacing w:after="0" w:line="225" w:lineRule="exact"/>
        <w:rPr>
          <w:sz w:val="20"/>
          <w:szCs w:val="20"/>
          <w:color w:val="auto"/>
        </w:rPr>
      </w:pPr>
    </w:p>
    <w:p>
      <w:pPr>
        <w:jc w:val="both"/>
        <w:ind w:firstLine="656"/>
        <w:spacing w:after="0" w:line="261" w:lineRule="auto"/>
        <w:tabs>
          <w:tab w:leader="none" w:pos="14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Delaware General Corporation Law as it now exists or may hereafter be amended, and excepts as otherwise provided in the Corporation's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66" w:lineRule="auto"/>
        <w:tabs>
          <w:tab w:leader="none" w:pos="15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 of Directors</w:t>
      </w:r>
      <w:r>
        <w:rPr>
          <w:rFonts w:ascii="Times New Roman" w:cs="Times New Roman" w:eastAsia="Times New Roman" w:hAnsi="Times New Roman"/>
          <w:sz w:val="18"/>
          <w:szCs w:val="18"/>
          <w:color w:val="auto"/>
        </w:rPr>
        <w:t>. Each Director shall hold office until the next annual meeting of stockholders and until such Director’s successor shall have been duly elected and qualified or until the Director's earlier death, resignation, or removal.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Any Director may be removed, with or without cause, by the holders of a majority of the shares then entitled to vote at an election of Directors.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outstanding shares of that class or series entitled to vote in the election of such Director or Directors or as otherwise provided in a duly authorized certificate of designation of a class or series of Preferred Stock.</w:t>
      </w:r>
    </w:p>
    <w:p>
      <w:pPr>
        <w:spacing w:after="0" w:line="18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and until his or her successor shall have been duly elected and qualified or until such Director's earlier death, resignation, or removal.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Delaware General Corporation Law) outside of the State of Delaware at such place or places as may be designated from time to time by the Board of Directors or in the By-laws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 by the chief executive officer of the Corporation or, if there is no chief executive officer, by the most senior executive officer of the Corporation.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any duly authorized certificate of designation of any series of Preferred Stock,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expressly elects to be governed by Section 203 of the Delaware General Corporation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WITNESS WHEREOF, the undersigned on behalf of the Corporation for the purpose of amending and restating the Certificate of Incorporation pursuant to the General Corporation Law of the State of Delaware, under penalties of perjury does hereby declare and certify that this is the act and deed of the Corporation and the facts stated herein are true, and accordingly has hereunto signed this Amended and Restated Certificate of Incorporation this 1st day of May, 2025.</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NRG Energy,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Curci</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and General Counsel</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3" w:lineRule="exact"/>
        <w:rPr>
          <w:sz w:val="20"/>
          <w:szCs w:val="20"/>
          <w:color w:val="auto"/>
        </w:rPr>
      </w:pPr>
    </w:p>
    <w:p>
      <w:pPr>
        <w:jc w:val="both"/>
        <w:ind w:left="1180" w:right="1199" w:firstLine="29"/>
        <w:spacing w:after="0" w:line="315" w:lineRule="auto"/>
        <w:rPr>
          <w:sz w:val="20"/>
          <w:szCs w:val="20"/>
          <w:color w:val="auto"/>
        </w:rPr>
      </w:pPr>
      <w:r>
        <w:rPr>
          <w:rFonts w:ascii="Times New Roman" w:cs="Times New Roman" w:eastAsia="Times New Roman" w:hAnsi="Times New Roman"/>
          <w:sz w:val="17"/>
          <w:szCs w:val="17"/>
          <w:i w:val="1"/>
          <w:iCs w:val="1"/>
          <w:color w:val="auto"/>
        </w:rPr>
        <w:t>(Filed as Exhibit 3.1 to NRG Energy, Inc.’s Form 8-K filed on March 10, 2023, available at www.sec.gov/Archives/edgar/data/1013871/000110465923030928/tm238056d3_ex3-1.htm )</w:t>
      </w: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2025-05-01T13:11:02Z</dcterms:created>
  <dcterms:modified xsi:type="dcterms:W3CDTF">2025-05-01T13:11:02Z</dcterms:modified>
</cp:coreProperties>
</file>